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9"/>
        <w:gridCol w:w="7709"/>
      </w:tblGrid>
      <w:tr w:rsidR="00787EE4" w:rsidRPr="00277603" w:rsidTr="00955FF6">
        <w:trPr>
          <w:trHeight w:val="348"/>
        </w:trPr>
        <w:tc>
          <w:tcPr>
            <w:tcW w:w="15418" w:type="dxa"/>
            <w:gridSpan w:val="2"/>
          </w:tcPr>
          <w:p w:rsidR="00787EE4" w:rsidRPr="00F85909" w:rsidRDefault="00787EE4" w:rsidP="00955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F8590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ПОРІВНЯЛЬНА ТАБЛИЦЯ</w:t>
            </w:r>
          </w:p>
          <w:p w:rsidR="00787EE4" w:rsidRPr="00277603" w:rsidRDefault="00787EE4" w:rsidP="00277603">
            <w:pPr>
              <w:pStyle w:val="a3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0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Закону України </w:t>
            </w:r>
            <w:r w:rsidRPr="00643E42">
              <w:rPr>
                <w:rFonts w:ascii="Times New Roman" w:hAnsi="Times New Roman"/>
                <w:b/>
                <w:sz w:val="28"/>
                <w:szCs w:val="28"/>
              </w:rPr>
              <w:t xml:space="preserve">«Про внесення змін до Закону України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43E42">
              <w:rPr>
                <w:rFonts w:ascii="Times New Roman" w:hAnsi="Times New Roman"/>
                <w:b/>
                <w:sz w:val="28"/>
                <w:szCs w:val="28"/>
              </w:rPr>
              <w:t>Про банки і банківську діяльність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3E42">
              <w:rPr>
                <w:rFonts w:ascii="Times New Roman" w:hAnsi="Times New Roman"/>
                <w:b/>
                <w:sz w:val="28"/>
                <w:szCs w:val="28"/>
              </w:rPr>
              <w:t xml:space="preserve"> щодо додаткового захисту інтересів держави та вкладників і клієнтів АТ КБ “ПриватБанк”»</w:t>
            </w:r>
          </w:p>
        </w:tc>
      </w:tr>
      <w:tr w:rsidR="00787EE4" w:rsidRPr="00277603" w:rsidTr="00955FF6">
        <w:trPr>
          <w:trHeight w:val="348"/>
        </w:trPr>
        <w:tc>
          <w:tcPr>
            <w:tcW w:w="15418" w:type="dxa"/>
            <w:gridSpan w:val="2"/>
          </w:tcPr>
          <w:p w:rsidR="00787EE4" w:rsidRPr="00955FF6" w:rsidRDefault="00787EE4" w:rsidP="002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02"/>
            </w:tblGrid>
            <w:tr w:rsidR="00787EE4" w:rsidRPr="00277603" w:rsidTr="0035592F">
              <w:trPr>
                <w:tblCellSpacing w:w="0" w:type="dxa"/>
              </w:trPr>
              <w:tc>
                <w:tcPr>
                  <w:tcW w:w="0" w:type="auto"/>
                </w:tcPr>
                <w:p w:rsidR="00787EE4" w:rsidRPr="00277603" w:rsidRDefault="00787EE4" w:rsidP="00F85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27760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ЗАКОН УКРАЇНИ</w:t>
                  </w:r>
                </w:p>
              </w:tc>
            </w:tr>
          </w:tbl>
          <w:p w:rsidR="00787EE4" w:rsidRPr="00277603" w:rsidRDefault="00787EE4" w:rsidP="00277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1" w:name="n3"/>
            <w:bookmarkEnd w:id="1"/>
            <w:r w:rsidRPr="00277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</w:t>
            </w:r>
            <w:r w:rsidRPr="00277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  <w:r w:rsidRPr="002776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банки і банківську</w:t>
            </w:r>
            <w:r w:rsidRPr="00277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діяльність»</w:t>
            </w:r>
          </w:p>
          <w:p w:rsidR="00787EE4" w:rsidRPr="00955FF6" w:rsidRDefault="00787EE4" w:rsidP="00277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43E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277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Верховної Ради України (ВВР), 2001, № 5-6, ст.30</w:t>
            </w:r>
            <w:r w:rsidRPr="00643E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787EE4" w:rsidRPr="00277603" w:rsidTr="00955FF6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418" w:type="dxa"/>
            <w:gridSpan w:val="2"/>
          </w:tcPr>
          <w:p w:rsidR="00787EE4" w:rsidRPr="00955FF6" w:rsidRDefault="0077715A" w:rsidP="0095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hyperlink r:id="rId5" w:anchor="n1360" w:tgtFrame="_blank" w:history="1">
              <w:r w:rsidR="00787EE4" w:rsidRPr="00643E4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Розділ </w:t>
              </w:r>
              <w:r w:rsidR="00787EE4" w:rsidRPr="00643E42">
                <w:rPr>
                  <w:rFonts w:ascii="Times New Roman" w:hAnsi="Times New Roman"/>
                  <w:color w:val="000000"/>
                  <w:sz w:val="28"/>
                  <w:szCs w:val="28"/>
                  <w:lang w:val="ru-RU" w:eastAsia="ru-RU"/>
                </w:rPr>
                <w:t>VII </w:t>
              </w:r>
            </w:hyperlink>
            <w:r w:rsidR="00787EE4" w:rsidRPr="00643E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"Прикінцеві положення"</w:t>
            </w:r>
          </w:p>
        </w:tc>
      </w:tr>
      <w:tr w:rsidR="00787EE4" w:rsidRPr="00277603" w:rsidTr="00955FF6">
        <w:tblPrEx>
          <w:tblLook w:val="01E0" w:firstRow="1" w:lastRow="1" w:firstColumn="1" w:lastColumn="1" w:noHBand="0" w:noVBand="0"/>
        </w:tblPrEx>
        <w:trPr>
          <w:trHeight w:val="1428"/>
        </w:trPr>
        <w:tc>
          <w:tcPr>
            <w:tcW w:w="7709" w:type="dxa"/>
          </w:tcPr>
          <w:p w:rsidR="00787EE4" w:rsidRPr="00955FF6" w:rsidRDefault="00787EE4" w:rsidP="0027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2" w:name="n4174"/>
            <w:bookmarkEnd w:id="2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Пункт відсутній.</w:t>
            </w:r>
          </w:p>
        </w:tc>
        <w:tc>
          <w:tcPr>
            <w:tcW w:w="7709" w:type="dxa"/>
          </w:tcPr>
          <w:p w:rsidR="00787EE4" w:rsidRPr="00955FF6" w:rsidRDefault="00787EE4" w:rsidP="00E86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43E42">
              <w:rPr>
                <w:rFonts w:ascii="Times New Roman" w:hAnsi="Times New Roman"/>
                <w:sz w:val="28"/>
                <w:szCs w:val="28"/>
              </w:rPr>
              <w:t>12. У випадку прийняття Кабінетом Міністрів України та (або) Національним банком України</w:t>
            </w:r>
            <w:r w:rsidRPr="00277603">
              <w:rPr>
                <w:rFonts w:ascii="Times New Roman" w:hAnsi="Times New Roman"/>
                <w:sz w:val="28"/>
                <w:szCs w:val="28"/>
              </w:rPr>
              <w:t>,</w:t>
            </w:r>
            <w:r w:rsidRPr="00643E42">
              <w:rPr>
                <w:rFonts w:ascii="Times New Roman" w:hAnsi="Times New Roman"/>
                <w:sz w:val="28"/>
                <w:szCs w:val="28"/>
              </w:rPr>
              <w:t xml:space="preserve"> на підставі рішення суду</w:t>
            </w:r>
            <w:r w:rsidRPr="00277603">
              <w:rPr>
                <w:rFonts w:ascii="Times New Roman" w:hAnsi="Times New Roman"/>
                <w:sz w:val="28"/>
                <w:szCs w:val="28"/>
              </w:rPr>
              <w:t>,</w:t>
            </w:r>
            <w:r w:rsidRPr="00643E42">
              <w:rPr>
                <w:rFonts w:ascii="Times New Roman" w:hAnsi="Times New Roman"/>
                <w:sz w:val="28"/>
                <w:szCs w:val="28"/>
              </w:rPr>
              <w:t xml:space="preserve"> рішення про повернення АТ КБ “ПриватБанк” попереднім власникам (денаціоналізація АТ КБ “ПриватБанк”), останні зобов’язані</w:t>
            </w:r>
            <w:r w:rsidRPr="00277603">
              <w:rPr>
                <w:rFonts w:ascii="Times New Roman" w:hAnsi="Times New Roman"/>
                <w:sz w:val="28"/>
                <w:szCs w:val="28"/>
              </w:rPr>
              <w:t xml:space="preserve">, перед таким поверненням, </w:t>
            </w:r>
            <w:r w:rsidRPr="00643E42">
              <w:rPr>
                <w:rFonts w:ascii="Times New Roman" w:hAnsi="Times New Roman"/>
                <w:sz w:val="28"/>
                <w:szCs w:val="28"/>
              </w:rPr>
              <w:t>перерахувати на спеціальний рахунок, визначений Кабінетом Міністрів України, суму коштів, визначену таким судовим рішенням, як збитки заподіяні попередніми власниками АТ КБ “ПриватБанк” державі Україна, вкладникам та клієнтам АТ КБ “ПриватБанк”.</w:t>
            </w:r>
          </w:p>
        </w:tc>
      </w:tr>
    </w:tbl>
    <w:p w:rsidR="00787EE4" w:rsidRDefault="00787EE4" w:rsidP="00955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87EE4" w:rsidRDefault="00787EE4" w:rsidP="000A2E34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7D45EA">
        <w:rPr>
          <w:rFonts w:ascii="Times New Roman" w:hAnsi="Times New Roman"/>
          <w:b/>
          <w:sz w:val="28"/>
          <w:szCs w:val="28"/>
        </w:rPr>
        <w:t xml:space="preserve">Народний депутат України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D4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Тимошенко Ю.В.</w:t>
      </w:r>
    </w:p>
    <w:p w:rsidR="00787EE4" w:rsidRDefault="00787EE4" w:rsidP="000A2E34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7D45EA">
        <w:rPr>
          <w:rFonts w:ascii="Times New Roman" w:hAnsi="Times New Roman"/>
          <w:b/>
          <w:sz w:val="28"/>
          <w:szCs w:val="28"/>
        </w:rPr>
        <w:t xml:space="preserve">Народний депутат України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D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Бондарєв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К.А.</w:t>
      </w:r>
    </w:p>
    <w:p w:rsidR="00787EE4" w:rsidRDefault="00787EE4" w:rsidP="000A2E34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7D45EA">
        <w:rPr>
          <w:rFonts w:ascii="Times New Roman" w:hAnsi="Times New Roman"/>
          <w:b/>
          <w:sz w:val="28"/>
          <w:szCs w:val="28"/>
        </w:rPr>
        <w:t xml:space="preserve">Народний депутат України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D4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Цимбалюк М.М.</w:t>
      </w:r>
    </w:p>
    <w:p w:rsidR="00787EE4" w:rsidRPr="00433D86" w:rsidRDefault="00787EE4" w:rsidP="000A2E34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7D45EA">
        <w:rPr>
          <w:rFonts w:ascii="Times New Roman" w:hAnsi="Times New Roman"/>
          <w:b/>
          <w:sz w:val="28"/>
          <w:szCs w:val="28"/>
        </w:rPr>
        <w:t xml:space="preserve">Народний депутат України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D4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Крулько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І.І.</w:t>
      </w:r>
    </w:p>
    <w:p w:rsidR="00787EE4" w:rsidRDefault="00787EE4" w:rsidP="00955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87EE4" w:rsidRPr="00955FF6" w:rsidRDefault="00787EE4" w:rsidP="00955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87EE4" w:rsidRDefault="00787EE4"/>
    <w:sectPr w:rsidR="00787EE4" w:rsidSect="00955F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C80"/>
    <w:multiLevelType w:val="hybridMultilevel"/>
    <w:tmpl w:val="97B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0EA"/>
    <w:rsid w:val="000A2E34"/>
    <w:rsid w:val="001B42DE"/>
    <w:rsid w:val="001E6808"/>
    <w:rsid w:val="00277603"/>
    <w:rsid w:val="002C292B"/>
    <w:rsid w:val="0035592F"/>
    <w:rsid w:val="00433D86"/>
    <w:rsid w:val="00643E42"/>
    <w:rsid w:val="00743308"/>
    <w:rsid w:val="007670EA"/>
    <w:rsid w:val="0077715A"/>
    <w:rsid w:val="00787EE4"/>
    <w:rsid w:val="007D45EA"/>
    <w:rsid w:val="00955FF6"/>
    <w:rsid w:val="00D13604"/>
    <w:rsid w:val="00E86623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972CC-3AEC-4283-90FA-E7707330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E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776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uiPriority w:val="99"/>
    <w:semiHidden/>
    <w:rsid w:val="00C1782A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link w:val="a3"/>
    <w:uiPriority w:val="99"/>
    <w:locked/>
    <w:rsid w:val="0027760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21-1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80;&#1074;&#1072;&#1090;\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user</dc:creator>
  <cp:keywords/>
  <dc:description/>
  <cp:revision>2</cp:revision>
  <dcterms:created xsi:type="dcterms:W3CDTF">2020-04-16T12:09:00Z</dcterms:created>
  <dcterms:modified xsi:type="dcterms:W3CDTF">2020-04-16T12:09:00Z</dcterms:modified>
</cp:coreProperties>
</file>