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988" w:rsidRDefault="001A4988" w:rsidP="001A4988">
      <w:pPr>
        <w:pStyle w:val="af"/>
        <w:ind w:left="5760"/>
        <w:jc w:val="right"/>
        <w:rPr>
          <w:szCs w:val="28"/>
        </w:rPr>
      </w:pPr>
    </w:p>
    <w:p w:rsidR="001A4988" w:rsidRPr="001A4988" w:rsidRDefault="001A4988" w:rsidP="001A4988">
      <w:pPr>
        <w:pStyle w:val="af"/>
        <w:ind w:left="5760"/>
        <w:jc w:val="right"/>
        <w:rPr>
          <w:szCs w:val="28"/>
        </w:rPr>
      </w:pPr>
      <w:r w:rsidRPr="001A4988">
        <w:rPr>
          <w:szCs w:val="28"/>
        </w:rPr>
        <w:t>Верховна Рада України</w:t>
      </w:r>
    </w:p>
    <w:p w:rsidR="001A4988" w:rsidRPr="001A4988" w:rsidRDefault="001A4988" w:rsidP="001A4988">
      <w:pPr>
        <w:widowControl w:val="0"/>
        <w:autoSpaceDE w:val="0"/>
        <w:autoSpaceDN w:val="0"/>
        <w:adjustRightInd w:val="0"/>
        <w:spacing w:after="120" w:line="240" w:lineRule="auto"/>
        <w:ind w:firstLine="709"/>
        <w:jc w:val="both"/>
        <w:rPr>
          <w:rFonts w:ascii="Times New Roman" w:hAnsi="Times New Roman"/>
          <w:bCs/>
          <w:spacing w:val="-4"/>
          <w:sz w:val="28"/>
          <w:szCs w:val="28"/>
        </w:rPr>
      </w:pPr>
    </w:p>
    <w:p w:rsidR="001A4988" w:rsidRPr="001A4988" w:rsidRDefault="001A4988" w:rsidP="001A4988">
      <w:pPr>
        <w:keepNext/>
        <w:widowControl w:val="0"/>
        <w:autoSpaceDE w:val="0"/>
        <w:autoSpaceDN w:val="0"/>
        <w:adjustRightInd w:val="0"/>
        <w:spacing w:after="120" w:line="240" w:lineRule="auto"/>
        <w:ind w:firstLine="709"/>
        <w:jc w:val="both"/>
        <w:rPr>
          <w:rFonts w:ascii="Times New Roman" w:hAnsi="Times New Roman"/>
          <w:sz w:val="28"/>
          <w:szCs w:val="28"/>
          <w:lang w:val="uk-UA"/>
        </w:rPr>
      </w:pPr>
      <w:r w:rsidRPr="001A4988">
        <w:rPr>
          <w:rFonts w:ascii="Times New Roman" w:hAnsi="Times New Roman"/>
          <w:sz w:val="28"/>
          <w:szCs w:val="28"/>
          <w:lang w:val="uk-UA"/>
        </w:rPr>
        <w:t>Комітет Верховної Ради України з питань фінансів, податкової та митної політики на своєму засіданні 20 травня 2020</w:t>
      </w:r>
      <w:r w:rsidRPr="001A4988">
        <w:rPr>
          <w:rFonts w:ascii="Times New Roman" w:hAnsi="Times New Roman"/>
          <w:sz w:val="28"/>
          <w:szCs w:val="28"/>
          <w:lang w:val="uk-UA"/>
        </w:rPr>
        <w:t xml:space="preserve"> року </w:t>
      </w:r>
      <w:r w:rsidRPr="001A4988">
        <w:rPr>
          <w:rFonts w:ascii="Times New Roman" w:hAnsi="Times New Roman"/>
          <w:sz w:val="28"/>
          <w:szCs w:val="28"/>
          <w:lang w:val="uk-UA"/>
        </w:rPr>
        <w:t xml:space="preserve">(протокол № 33) розглянув проект Закону України </w:t>
      </w:r>
      <w:r w:rsidRPr="001A4988">
        <w:rPr>
          <w:rFonts w:ascii="Times New Roman" w:hAnsi="Times New Roman"/>
          <w:bCs/>
          <w:color w:val="000000"/>
          <w:sz w:val="28"/>
          <w:szCs w:val="28"/>
          <w:lang w:val="uk-UA"/>
        </w:rPr>
        <w:t>про внесення змін до деяких законодавчих актів України щодо перших кроків дерегуляції бізнесу шляхом страхування цивільної відповідальності</w:t>
      </w:r>
      <w:r w:rsidRPr="001A4988">
        <w:rPr>
          <w:rFonts w:ascii="Times New Roman" w:hAnsi="Times New Roman"/>
          <w:sz w:val="28"/>
          <w:szCs w:val="28"/>
          <w:lang w:val="uk-UA"/>
        </w:rPr>
        <w:t xml:space="preserve"> (</w:t>
      </w:r>
      <w:r w:rsidRPr="001A4988">
        <w:rPr>
          <w:rFonts w:ascii="Times New Roman" w:hAnsi="Times New Roman"/>
          <w:bCs/>
          <w:color w:val="000000"/>
          <w:sz w:val="28"/>
          <w:szCs w:val="28"/>
          <w:lang w:val="uk-UA"/>
        </w:rPr>
        <w:t>реєстр. № 3361 від 17.04.2020</w:t>
      </w:r>
      <w:r w:rsidRPr="001A4988">
        <w:rPr>
          <w:rFonts w:ascii="Times New Roman" w:hAnsi="Times New Roman"/>
          <w:sz w:val="28"/>
          <w:szCs w:val="28"/>
          <w:lang w:val="uk-UA"/>
        </w:rPr>
        <w:t xml:space="preserve">), внесений народним депутатом України </w:t>
      </w:r>
      <w:proofErr w:type="spellStart"/>
      <w:r w:rsidRPr="001A4988">
        <w:rPr>
          <w:rFonts w:ascii="Times New Roman" w:hAnsi="Times New Roman"/>
          <w:sz w:val="28"/>
          <w:szCs w:val="28"/>
          <w:lang w:val="uk-UA"/>
        </w:rPr>
        <w:t>Бєл</w:t>
      </w:r>
      <w:bookmarkStart w:id="0" w:name="_GoBack"/>
      <w:bookmarkEnd w:id="0"/>
      <w:r w:rsidRPr="001A4988">
        <w:rPr>
          <w:rFonts w:ascii="Times New Roman" w:hAnsi="Times New Roman"/>
          <w:sz w:val="28"/>
          <w:szCs w:val="28"/>
          <w:lang w:val="uk-UA"/>
        </w:rPr>
        <w:t>ьковою</w:t>
      </w:r>
      <w:proofErr w:type="spellEnd"/>
      <w:r w:rsidRPr="001A4988">
        <w:rPr>
          <w:rFonts w:ascii="Times New Roman" w:hAnsi="Times New Roman"/>
          <w:sz w:val="28"/>
          <w:szCs w:val="28"/>
          <w:lang w:val="uk-UA"/>
        </w:rPr>
        <w:t xml:space="preserve"> О.В. та іншими народними депутатами України.</w:t>
      </w:r>
    </w:p>
    <w:p w:rsidR="001A4988" w:rsidRPr="001A4988" w:rsidRDefault="001A4988" w:rsidP="001A4988">
      <w:pPr>
        <w:widowControl w:val="0"/>
        <w:tabs>
          <w:tab w:val="left" w:pos="1134"/>
        </w:tabs>
        <w:spacing w:after="120" w:line="240" w:lineRule="auto"/>
        <w:ind w:firstLine="709"/>
        <w:jc w:val="both"/>
        <w:rPr>
          <w:rStyle w:val="rvts0"/>
          <w:rFonts w:ascii="Times New Roman" w:hAnsi="Times New Roman"/>
          <w:b/>
          <w:sz w:val="28"/>
          <w:szCs w:val="28"/>
          <w:shd w:val="clear" w:color="auto" w:fill="FFFFFF"/>
          <w:lang w:val="uk-UA"/>
        </w:rPr>
      </w:pPr>
      <w:r w:rsidRPr="001A4988">
        <w:rPr>
          <w:rFonts w:ascii="Times New Roman" w:hAnsi="Times New Roman"/>
          <w:sz w:val="28"/>
          <w:szCs w:val="28"/>
          <w:lang w:val="uk-UA"/>
        </w:rPr>
        <w:t xml:space="preserve">Проект </w:t>
      </w:r>
      <w:r w:rsidRPr="001A4988">
        <w:rPr>
          <w:rFonts w:ascii="Times New Roman" w:hAnsi="Times New Roman"/>
          <w:bCs/>
          <w:color w:val="000000"/>
          <w:sz w:val="28"/>
          <w:szCs w:val="28"/>
          <w:lang w:val="uk-UA"/>
        </w:rPr>
        <w:t>Закону</w:t>
      </w:r>
      <w:r w:rsidRPr="001A4988">
        <w:rPr>
          <w:rFonts w:ascii="Times New Roman" w:hAnsi="Times New Roman"/>
          <w:b/>
          <w:bCs/>
          <w:color w:val="000000"/>
          <w:sz w:val="28"/>
          <w:szCs w:val="28"/>
          <w:lang w:val="uk-UA"/>
        </w:rPr>
        <w:t xml:space="preserve"> </w:t>
      </w:r>
      <w:r w:rsidRPr="001A4988">
        <w:rPr>
          <w:rFonts w:ascii="Times New Roman" w:hAnsi="Times New Roman"/>
          <w:sz w:val="28"/>
          <w:szCs w:val="28"/>
          <w:lang w:val="uk-UA"/>
        </w:rPr>
        <w:t xml:space="preserve">розроблено </w:t>
      </w:r>
      <w:r w:rsidRPr="001A4988">
        <w:rPr>
          <w:rStyle w:val="rvts0"/>
          <w:rFonts w:ascii="Times New Roman" w:hAnsi="Times New Roman"/>
          <w:sz w:val="28"/>
          <w:szCs w:val="28"/>
          <w:lang w:val="uk-UA"/>
        </w:rPr>
        <w:t xml:space="preserve">з метою посилення гарантій відшкодування збитків постраждалим у разі порушення суб'єктами </w:t>
      </w:r>
      <w:r w:rsidRPr="001A4988">
        <w:rPr>
          <w:rFonts w:ascii="Times New Roman" w:hAnsi="Times New Roman"/>
          <w:sz w:val="28"/>
          <w:szCs w:val="28"/>
          <w:lang w:val="uk-UA"/>
        </w:rPr>
        <w:t>господарювання вимог чинного законодавства щодо дотримання правил техногенної та пожежної безпеки.</w:t>
      </w:r>
    </w:p>
    <w:p w:rsidR="001A4988" w:rsidRPr="001A4988" w:rsidRDefault="001A4988" w:rsidP="001A4988">
      <w:pPr>
        <w:spacing w:after="120" w:line="240" w:lineRule="auto"/>
        <w:ind w:firstLine="709"/>
        <w:jc w:val="both"/>
        <w:rPr>
          <w:rFonts w:ascii="Times New Roman" w:hAnsi="Times New Roman"/>
          <w:sz w:val="28"/>
          <w:szCs w:val="28"/>
          <w:lang w:val="uk-UA"/>
        </w:rPr>
      </w:pPr>
      <w:r w:rsidRPr="001A4988">
        <w:rPr>
          <w:rFonts w:ascii="Times New Roman" w:hAnsi="Times New Roman"/>
          <w:b/>
          <w:sz w:val="28"/>
          <w:szCs w:val="28"/>
          <w:shd w:val="clear" w:color="auto" w:fill="FFFFFF"/>
          <w:lang w:val="uk-UA"/>
        </w:rPr>
        <w:t>Законопроектом передбачається:</w:t>
      </w:r>
    </w:p>
    <w:p w:rsidR="001A4988" w:rsidRPr="001A4988" w:rsidRDefault="001A4988" w:rsidP="001A4988">
      <w:pPr>
        <w:pStyle w:val="af1"/>
        <w:numPr>
          <w:ilvl w:val="0"/>
          <w:numId w:val="1"/>
        </w:numPr>
        <w:suppressAutoHyphens/>
        <w:spacing w:after="120" w:line="240" w:lineRule="auto"/>
        <w:ind w:left="0" w:firstLine="709"/>
        <w:contextualSpacing w:val="0"/>
        <w:jc w:val="both"/>
        <w:rPr>
          <w:rFonts w:ascii="Times New Roman" w:hAnsi="Times New Roman"/>
          <w:sz w:val="28"/>
          <w:szCs w:val="28"/>
          <w:lang w:val="uk-UA"/>
        </w:rPr>
      </w:pPr>
      <w:r w:rsidRPr="001A4988">
        <w:rPr>
          <w:rFonts w:ascii="Times New Roman" w:hAnsi="Times New Roman"/>
          <w:sz w:val="28"/>
          <w:szCs w:val="28"/>
          <w:lang w:val="uk-UA"/>
        </w:rPr>
        <w:t>упорядкування процедури проведення перевірок суб'єктів господарювання щодо техногенної та пожежної безпеки;</w:t>
      </w:r>
    </w:p>
    <w:p w:rsidR="001A4988" w:rsidRPr="001A4988" w:rsidRDefault="001A4988" w:rsidP="001A4988">
      <w:pPr>
        <w:pStyle w:val="af1"/>
        <w:numPr>
          <w:ilvl w:val="0"/>
          <w:numId w:val="1"/>
        </w:numPr>
        <w:suppressAutoHyphens/>
        <w:spacing w:after="120" w:line="240" w:lineRule="auto"/>
        <w:ind w:left="0" w:firstLine="709"/>
        <w:contextualSpacing w:val="0"/>
        <w:jc w:val="both"/>
        <w:rPr>
          <w:rFonts w:ascii="Times New Roman" w:hAnsi="Times New Roman"/>
          <w:sz w:val="28"/>
          <w:szCs w:val="28"/>
          <w:lang w:val="uk-UA"/>
        </w:rPr>
      </w:pPr>
      <w:r w:rsidRPr="001A4988">
        <w:rPr>
          <w:rFonts w:ascii="Times New Roman" w:hAnsi="Times New Roman"/>
          <w:sz w:val="28"/>
          <w:szCs w:val="28"/>
          <w:lang w:val="uk-UA"/>
        </w:rPr>
        <w:t>зменшення адміністративного тиску на суб’єкти господарювання шляхом скасування обов'язкових перевірок у разі наявності полісу страхування відповідальності перед третіми особами за шкоду, що може бути нанесена при експлуатації об'єктів підвищеної небезпеки;</w:t>
      </w:r>
    </w:p>
    <w:p w:rsidR="001A4988" w:rsidRPr="001A4988" w:rsidRDefault="001A4988" w:rsidP="001A4988">
      <w:pPr>
        <w:pStyle w:val="af1"/>
        <w:numPr>
          <w:ilvl w:val="0"/>
          <w:numId w:val="1"/>
        </w:numPr>
        <w:suppressAutoHyphens/>
        <w:spacing w:after="120" w:line="240" w:lineRule="auto"/>
        <w:ind w:left="0" w:firstLine="709"/>
        <w:contextualSpacing w:val="0"/>
        <w:jc w:val="both"/>
        <w:rPr>
          <w:rFonts w:ascii="Times New Roman" w:hAnsi="Times New Roman"/>
          <w:sz w:val="28"/>
          <w:szCs w:val="28"/>
          <w:lang w:val="uk-UA"/>
        </w:rPr>
      </w:pPr>
      <w:r w:rsidRPr="001A4988">
        <w:rPr>
          <w:rFonts w:ascii="Times New Roman" w:hAnsi="Times New Roman"/>
          <w:bCs/>
          <w:color w:val="000000"/>
          <w:sz w:val="28"/>
          <w:szCs w:val="28"/>
          <w:lang w:val="uk-UA"/>
        </w:rPr>
        <w:t xml:space="preserve">забезпечення гарантій щодо відшкодування шкоди, яку може бути заподіяно життю, здоров’ю, майну третіх осіб та навколишньому природному середовищу внаслідок небезпечної події на територіях, об’єктах нерухомості та/або об’єктах підвищеної небезпеки, включаючи </w:t>
      </w:r>
      <w:proofErr w:type="spellStart"/>
      <w:r w:rsidRPr="001A4988">
        <w:rPr>
          <w:rFonts w:ascii="Times New Roman" w:hAnsi="Times New Roman"/>
          <w:bCs/>
          <w:color w:val="000000"/>
          <w:sz w:val="28"/>
          <w:szCs w:val="28"/>
          <w:lang w:val="uk-UA"/>
        </w:rPr>
        <w:t>пожежовибухонебезпечні</w:t>
      </w:r>
      <w:proofErr w:type="spellEnd"/>
      <w:r w:rsidRPr="001A4988">
        <w:rPr>
          <w:rFonts w:ascii="Times New Roman" w:hAnsi="Times New Roman"/>
          <w:bCs/>
          <w:color w:val="000000"/>
          <w:sz w:val="28"/>
          <w:szCs w:val="28"/>
          <w:lang w:val="uk-UA"/>
        </w:rPr>
        <w:t xml:space="preserve"> об’єкти та об’єкти, господарська діяльність на яких може призвести до аварій екологічного та санітарно-епідеміологічного характеру;</w:t>
      </w:r>
    </w:p>
    <w:p w:rsidR="001A4988" w:rsidRPr="001A4988" w:rsidRDefault="001A4988" w:rsidP="001A4988">
      <w:pPr>
        <w:pStyle w:val="af1"/>
        <w:numPr>
          <w:ilvl w:val="0"/>
          <w:numId w:val="1"/>
        </w:numPr>
        <w:suppressAutoHyphens/>
        <w:spacing w:after="120" w:line="240" w:lineRule="auto"/>
        <w:ind w:left="0" w:firstLine="709"/>
        <w:contextualSpacing w:val="0"/>
        <w:jc w:val="both"/>
        <w:rPr>
          <w:rFonts w:ascii="Times New Roman" w:hAnsi="Times New Roman"/>
          <w:sz w:val="28"/>
          <w:szCs w:val="28"/>
          <w:lang w:val="uk-UA"/>
        </w:rPr>
      </w:pPr>
      <w:r w:rsidRPr="001A4988">
        <w:rPr>
          <w:rFonts w:ascii="Times New Roman" w:hAnsi="Times New Roman"/>
          <w:sz w:val="28"/>
          <w:szCs w:val="28"/>
          <w:lang w:val="uk-UA" w:eastAsia="uk-UA"/>
        </w:rPr>
        <w:t>удосконалення механізму координації між відповідними органами нагляду, господарюючими суб'єктами та установами, що забезпечують надання фінансових послуг;</w:t>
      </w:r>
    </w:p>
    <w:p w:rsidR="001A4988" w:rsidRPr="001A4988" w:rsidRDefault="001A4988" w:rsidP="001A4988">
      <w:pPr>
        <w:pStyle w:val="af1"/>
        <w:numPr>
          <w:ilvl w:val="0"/>
          <w:numId w:val="1"/>
        </w:numPr>
        <w:suppressAutoHyphens/>
        <w:spacing w:after="120" w:line="240" w:lineRule="auto"/>
        <w:ind w:left="0" w:firstLine="709"/>
        <w:contextualSpacing w:val="0"/>
        <w:jc w:val="both"/>
        <w:rPr>
          <w:rFonts w:ascii="Times New Roman" w:hAnsi="Times New Roman"/>
          <w:sz w:val="28"/>
          <w:szCs w:val="28"/>
          <w:lang w:val="uk-UA"/>
        </w:rPr>
      </w:pPr>
      <w:r w:rsidRPr="001A4988">
        <w:rPr>
          <w:rFonts w:ascii="Times New Roman" w:hAnsi="Times New Roman"/>
          <w:sz w:val="28"/>
          <w:szCs w:val="28"/>
          <w:lang w:val="uk-UA" w:eastAsia="uk-UA"/>
        </w:rPr>
        <w:t>удосконалення процедури правового, організаційного та фінансового реагування на наслідки подій, що відбулись в результаті техногенних аварій та пожеж, зокрема щодо взаємодії із постраждалими;</w:t>
      </w:r>
    </w:p>
    <w:p w:rsidR="001A4988" w:rsidRPr="001A4988" w:rsidRDefault="001A4988" w:rsidP="001A4988">
      <w:pPr>
        <w:pStyle w:val="af1"/>
        <w:numPr>
          <w:ilvl w:val="0"/>
          <w:numId w:val="1"/>
        </w:numPr>
        <w:suppressAutoHyphens/>
        <w:spacing w:after="120" w:line="240" w:lineRule="auto"/>
        <w:ind w:left="0" w:firstLine="709"/>
        <w:contextualSpacing w:val="0"/>
        <w:jc w:val="both"/>
        <w:rPr>
          <w:rFonts w:ascii="Times New Roman" w:hAnsi="Times New Roman"/>
          <w:sz w:val="28"/>
          <w:szCs w:val="28"/>
          <w:lang w:val="uk-UA"/>
        </w:rPr>
      </w:pPr>
      <w:r w:rsidRPr="001A4988">
        <w:rPr>
          <w:rFonts w:ascii="Times New Roman" w:hAnsi="Times New Roman"/>
          <w:sz w:val="28"/>
          <w:szCs w:val="28"/>
          <w:lang w:val="uk-UA"/>
        </w:rPr>
        <w:lastRenderedPageBreak/>
        <w:t>гармонізацію законодавства України із законодавством Європейського Союзу у сфері безпеки об’єктів підвищеної небезпеки.</w:t>
      </w:r>
    </w:p>
    <w:p w:rsidR="001A4988" w:rsidRPr="001A4988" w:rsidRDefault="001A4988" w:rsidP="001A4988">
      <w:pPr>
        <w:spacing w:after="120" w:line="240" w:lineRule="auto"/>
        <w:ind w:firstLine="709"/>
        <w:jc w:val="both"/>
        <w:rPr>
          <w:rFonts w:ascii="Times New Roman" w:hAnsi="Times New Roman"/>
          <w:bCs/>
          <w:color w:val="000000"/>
          <w:sz w:val="28"/>
          <w:szCs w:val="28"/>
          <w:lang w:val="uk-UA"/>
        </w:rPr>
      </w:pPr>
      <w:r w:rsidRPr="001A4988">
        <w:rPr>
          <w:rFonts w:ascii="Times New Roman" w:hAnsi="Times New Roman"/>
          <w:sz w:val="28"/>
          <w:szCs w:val="28"/>
          <w:lang w:val="uk-UA"/>
        </w:rPr>
        <w:t xml:space="preserve">Проект Закону передбачає, що </w:t>
      </w:r>
      <w:r w:rsidRPr="001A4988">
        <w:rPr>
          <w:rFonts w:ascii="Times New Roman" w:hAnsi="Times New Roman"/>
          <w:b/>
          <w:sz w:val="28"/>
          <w:szCs w:val="28"/>
          <w:lang w:val="uk-UA"/>
        </w:rPr>
        <w:t>у</w:t>
      </w:r>
      <w:r w:rsidRPr="001A4988">
        <w:rPr>
          <w:rFonts w:ascii="Times New Roman" w:hAnsi="Times New Roman"/>
          <w:b/>
          <w:bCs/>
          <w:color w:val="000000"/>
          <w:sz w:val="28"/>
          <w:szCs w:val="28"/>
          <w:lang w:val="uk-UA"/>
        </w:rPr>
        <w:t xml:space="preserve"> разі наявності у суб'єкта господарювання із середнім та/або незначним ступенями ризику</w:t>
      </w:r>
      <w:r w:rsidRPr="001A4988">
        <w:rPr>
          <w:rFonts w:ascii="Times New Roman" w:hAnsi="Times New Roman"/>
          <w:bCs/>
          <w:color w:val="000000"/>
          <w:sz w:val="28"/>
          <w:szCs w:val="28"/>
          <w:lang w:val="uk-UA"/>
        </w:rPr>
        <w:t xml:space="preserve"> (крім підприємств, установ, організацій державної та комунальної форми власності, об’єктів підвищеної небезпеки, включаючи </w:t>
      </w:r>
      <w:proofErr w:type="spellStart"/>
      <w:r w:rsidRPr="001A4988">
        <w:rPr>
          <w:rFonts w:ascii="Times New Roman" w:hAnsi="Times New Roman"/>
          <w:bCs/>
          <w:color w:val="000000"/>
          <w:sz w:val="28"/>
          <w:szCs w:val="28"/>
          <w:lang w:val="uk-UA"/>
        </w:rPr>
        <w:t>пожежовибухонебезпечні</w:t>
      </w:r>
      <w:proofErr w:type="spellEnd"/>
      <w:r w:rsidRPr="001A4988">
        <w:rPr>
          <w:rFonts w:ascii="Times New Roman" w:hAnsi="Times New Roman"/>
          <w:bCs/>
          <w:color w:val="000000"/>
          <w:sz w:val="28"/>
          <w:szCs w:val="28"/>
          <w:lang w:val="uk-UA"/>
        </w:rPr>
        <w:t xml:space="preserve"> об’єкти та об’єкти, господарська діяльність на яких може призвести до аварій екологічного та санітарно-епідеміологічного характеру) </w:t>
      </w:r>
      <w:r w:rsidRPr="001A4988">
        <w:rPr>
          <w:rFonts w:ascii="Times New Roman" w:hAnsi="Times New Roman"/>
          <w:b/>
          <w:bCs/>
          <w:color w:val="000000"/>
          <w:sz w:val="28"/>
          <w:szCs w:val="28"/>
          <w:lang w:val="uk-UA"/>
        </w:rPr>
        <w:t>діючого договору добровільного страхування цивільної відповідальності</w:t>
      </w:r>
      <w:r w:rsidRPr="001A4988">
        <w:rPr>
          <w:rFonts w:ascii="Times New Roman" w:hAnsi="Times New Roman"/>
          <w:bCs/>
          <w:color w:val="000000"/>
          <w:sz w:val="28"/>
          <w:szCs w:val="28"/>
          <w:lang w:val="uk-UA"/>
        </w:rPr>
        <w:t xml:space="preserve"> суб’єктів господарювання за шкоду, яка може бути заподіяна життю, здоров’ю, майну третіх осіб та навколишньому природньому середовищу внаслідок небезпечної події, що може виникнути на території та/або об’єктах нерухомості, </w:t>
      </w:r>
      <w:r w:rsidRPr="001A4988">
        <w:rPr>
          <w:rFonts w:ascii="Times New Roman" w:hAnsi="Times New Roman"/>
          <w:b/>
          <w:bCs/>
          <w:color w:val="000000"/>
          <w:sz w:val="28"/>
          <w:szCs w:val="28"/>
          <w:lang w:val="uk-UA"/>
        </w:rPr>
        <w:t>періодичність проведення планових перевірок таких суб'єктів збільшується на строк дії договору страхування відповідальності,</w:t>
      </w:r>
      <w:r w:rsidRPr="001A4988">
        <w:rPr>
          <w:rFonts w:ascii="Times New Roman" w:hAnsi="Times New Roman"/>
          <w:bCs/>
          <w:color w:val="000000"/>
          <w:sz w:val="28"/>
          <w:szCs w:val="28"/>
          <w:lang w:val="uk-UA"/>
        </w:rPr>
        <w:t xml:space="preserve"> але не більше шести років поспіль — для суб’єктів господарювання із середнім ступенем ризику та не більше десяти років поспіль — для суб’єктів господарювання з незначним ступенем ризику.</w:t>
      </w:r>
    </w:p>
    <w:p w:rsidR="001A4988" w:rsidRPr="001A4988" w:rsidRDefault="001A4988" w:rsidP="001A4988">
      <w:pPr>
        <w:spacing w:after="120" w:line="240" w:lineRule="auto"/>
        <w:ind w:firstLine="709"/>
        <w:jc w:val="both"/>
        <w:rPr>
          <w:rFonts w:ascii="Times New Roman" w:hAnsi="Times New Roman"/>
          <w:sz w:val="28"/>
          <w:szCs w:val="28"/>
          <w:lang w:val="uk-UA"/>
        </w:rPr>
      </w:pPr>
      <w:r w:rsidRPr="001A4988">
        <w:rPr>
          <w:rFonts w:ascii="Times New Roman" w:hAnsi="Times New Roman"/>
          <w:bCs/>
          <w:color w:val="000000"/>
          <w:sz w:val="28"/>
          <w:szCs w:val="28"/>
          <w:lang w:val="uk-UA"/>
        </w:rPr>
        <w:t>Крім того, передбачені норми щодо інформування про укладання договору та щодо вимог до такого договору. Зокрема, с</w:t>
      </w:r>
      <w:r w:rsidRPr="001A4988">
        <w:rPr>
          <w:rFonts w:ascii="Times New Roman" w:hAnsi="Times New Roman"/>
          <w:sz w:val="28"/>
          <w:szCs w:val="28"/>
          <w:lang w:val="uk-UA"/>
        </w:rPr>
        <w:t>траховик та суб’єкт господарювання подають інформацію про укладення договору страхування відповідальності суб’єкта господарювання центральному органу виконавчої влади, який здійснює державний нагляд у сфері техногенної та пожежної безпеки.</w:t>
      </w:r>
    </w:p>
    <w:p w:rsidR="001A4988" w:rsidRPr="001A4988" w:rsidRDefault="001A4988" w:rsidP="001A4988">
      <w:pPr>
        <w:spacing w:after="120" w:line="240" w:lineRule="auto"/>
        <w:ind w:firstLine="709"/>
        <w:jc w:val="both"/>
        <w:rPr>
          <w:rFonts w:ascii="Times New Roman" w:hAnsi="Times New Roman"/>
          <w:sz w:val="28"/>
          <w:szCs w:val="28"/>
          <w:lang w:val="uk-UA"/>
        </w:rPr>
      </w:pPr>
      <w:r w:rsidRPr="001A4988">
        <w:rPr>
          <w:rFonts w:ascii="Times New Roman" w:hAnsi="Times New Roman"/>
          <w:sz w:val="28"/>
          <w:szCs w:val="28"/>
          <w:lang w:val="uk-UA"/>
        </w:rPr>
        <w:t xml:space="preserve">Договір страхування відповідальності укладається відповідно до заяви суб’єкта господарювання на підставі </w:t>
      </w:r>
      <w:proofErr w:type="spellStart"/>
      <w:r w:rsidRPr="001A4988">
        <w:rPr>
          <w:rFonts w:ascii="Times New Roman" w:hAnsi="Times New Roman"/>
          <w:sz w:val="28"/>
          <w:szCs w:val="28"/>
          <w:lang w:val="uk-UA"/>
        </w:rPr>
        <w:t>акта</w:t>
      </w:r>
      <w:proofErr w:type="spellEnd"/>
      <w:r w:rsidRPr="001A4988">
        <w:rPr>
          <w:rFonts w:ascii="Times New Roman" w:hAnsi="Times New Roman"/>
          <w:sz w:val="28"/>
          <w:szCs w:val="28"/>
          <w:lang w:val="uk-UA"/>
        </w:rPr>
        <w:t xml:space="preserve"> оцінки території та/або об’єкта нерухомості на відповідність вимогам техногенної та пожежної безпеки. В зазначеному акті визначається розмір орієнтовних збитків, які можуть виникнути в разі небезпечної події, що є підставою для визначення мінімальної страхової суми. Форма типового договору страхування відповідальності та форма заяви, затверджується органом, що здійснює державне регулювання у сфері ринків фінансових послуг, за погодженням із центральним органом виконавчої влади, який здійснює державний нагляд у сфері техногенної та пожежної безпеки, форма </w:t>
      </w:r>
      <w:proofErr w:type="spellStart"/>
      <w:r w:rsidRPr="001A4988">
        <w:rPr>
          <w:rFonts w:ascii="Times New Roman" w:hAnsi="Times New Roman"/>
          <w:sz w:val="28"/>
          <w:szCs w:val="28"/>
          <w:lang w:val="uk-UA"/>
        </w:rPr>
        <w:t>акта</w:t>
      </w:r>
      <w:proofErr w:type="spellEnd"/>
      <w:r w:rsidRPr="001A4988">
        <w:rPr>
          <w:rFonts w:ascii="Times New Roman" w:hAnsi="Times New Roman"/>
          <w:sz w:val="28"/>
          <w:szCs w:val="28"/>
          <w:lang w:val="uk-UA"/>
        </w:rPr>
        <w:t xml:space="preserve"> оцінки території та/або об’єкта нерухомості на відповідність вимогам техногенної та пожежної безпеки затверджуються центральним органом виконавчої влади, який забезпечує формування та реалізує державну політику у сфері цивільного захисту, за погодженням із органом, що здійснює державне регулювання у сфері ринків фінансових послуг. У разі дострокового припинення дії договору страхування відповідальності страховик протягом десяти робочих днів з дня припинення дії договору письмово повідомляє про це центральний орган виконавчої влади, який здійснює державний нагляд у сфері техногенної та пожежної безпеки.</w:t>
      </w:r>
    </w:p>
    <w:p w:rsidR="001A4988" w:rsidRPr="001A4988" w:rsidRDefault="001A4988" w:rsidP="001A4988">
      <w:pPr>
        <w:pStyle w:val="ad"/>
        <w:spacing w:line="240" w:lineRule="auto"/>
        <w:ind w:firstLine="709"/>
        <w:jc w:val="both"/>
        <w:rPr>
          <w:rFonts w:ascii="Times New Roman" w:hAnsi="Times New Roman"/>
          <w:sz w:val="28"/>
          <w:szCs w:val="28"/>
          <w:lang w:val="uk-UA"/>
        </w:rPr>
      </w:pPr>
      <w:r w:rsidRPr="001A4988">
        <w:rPr>
          <w:rFonts w:ascii="Times New Roman" w:hAnsi="Times New Roman"/>
          <w:sz w:val="28"/>
          <w:szCs w:val="28"/>
          <w:lang w:val="uk-UA"/>
        </w:rPr>
        <w:lastRenderedPageBreak/>
        <w:t>Н</w:t>
      </w:r>
      <w:r w:rsidRPr="001A4988">
        <w:rPr>
          <w:rStyle w:val="st1"/>
          <w:rFonts w:ascii="Times New Roman" w:hAnsi="Times New Roman"/>
          <w:sz w:val="28"/>
          <w:szCs w:val="28"/>
          <w:lang w:val="uk-UA"/>
        </w:rPr>
        <w:t>а сьогодні суб’єкти господарювання в</w:t>
      </w:r>
      <w:r w:rsidRPr="001A4988">
        <w:rPr>
          <w:rFonts w:ascii="Times New Roman" w:hAnsi="Times New Roman"/>
          <w:sz w:val="28"/>
          <w:szCs w:val="28"/>
          <w:lang w:val="uk-UA"/>
        </w:rPr>
        <w:t xml:space="preserve"> порядку реагування на надзвичайні ситуації техногенного та природного характеру розробляють план локалізації і ліквідації аварій. Таким чином, законодавство покладає на суб’єкта господарювання відповідальність за забезпечення захисту населення. Поданий законопроект посилює таку відповідальність із паралельним посиленням рівня гарантування отримання компенсації постраждалим за нанесену їм шкоду. </w:t>
      </w:r>
    </w:p>
    <w:p w:rsidR="001A4988" w:rsidRPr="001A4988" w:rsidRDefault="001A4988" w:rsidP="001A4988">
      <w:pPr>
        <w:pStyle w:val="ad"/>
        <w:spacing w:line="240" w:lineRule="auto"/>
        <w:ind w:firstLine="709"/>
        <w:jc w:val="both"/>
        <w:rPr>
          <w:rFonts w:ascii="Times New Roman" w:hAnsi="Times New Roman"/>
          <w:sz w:val="28"/>
          <w:szCs w:val="28"/>
          <w:lang w:val="uk-UA"/>
        </w:rPr>
      </w:pPr>
      <w:r w:rsidRPr="001A4988">
        <w:rPr>
          <w:rFonts w:ascii="Times New Roman" w:hAnsi="Times New Roman"/>
          <w:b/>
          <w:sz w:val="28"/>
          <w:szCs w:val="28"/>
          <w:lang w:val="uk-UA"/>
        </w:rPr>
        <w:t>Головне науково-експертне управління</w:t>
      </w:r>
      <w:r w:rsidRPr="001A4988">
        <w:rPr>
          <w:rFonts w:ascii="Times New Roman" w:hAnsi="Times New Roman"/>
          <w:sz w:val="28"/>
          <w:szCs w:val="28"/>
          <w:lang w:val="uk-UA"/>
        </w:rPr>
        <w:t xml:space="preserve"> Апарату Верховної Ради України у своєму висновку </w:t>
      </w:r>
      <w:r w:rsidRPr="001A4988">
        <w:rPr>
          <w:rFonts w:ascii="Times New Roman" w:hAnsi="Times New Roman"/>
          <w:sz w:val="28"/>
          <w:szCs w:val="28"/>
          <w:lang w:val="uk-UA" w:eastAsia="uk-UA"/>
        </w:rPr>
        <w:t>№ 16/3-2020/40268 від 30.04.2020</w:t>
      </w:r>
      <w:r w:rsidRPr="001A4988">
        <w:rPr>
          <w:rFonts w:ascii="Times New Roman" w:hAnsi="Times New Roman"/>
          <w:sz w:val="28"/>
          <w:szCs w:val="28"/>
          <w:lang w:val="uk-UA"/>
        </w:rPr>
        <w:t xml:space="preserve"> не підтримує прийняття поданого законопроекту у запропонованому вигляді.</w:t>
      </w:r>
    </w:p>
    <w:p w:rsidR="001A4988" w:rsidRPr="001A4988" w:rsidRDefault="001A4988" w:rsidP="001A4988">
      <w:pPr>
        <w:pStyle w:val="ad"/>
        <w:spacing w:line="240" w:lineRule="auto"/>
        <w:ind w:firstLine="709"/>
        <w:jc w:val="both"/>
        <w:rPr>
          <w:rFonts w:ascii="Times New Roman" w:hAnsi="Times New Roman"/>
          <w:sz w:val="28"/>
          <w:szCs w:val="28"/>
          <w:lang w:val="uk-UA"/>
        </w:rPr>
      </w:pPr>
      <w:r w:rsidRPr="001A4988">
        <w:rPr>
          <w:rFonts w:ascii="Times New Roman" w:hAnsi="Times New Roman"/>
          <w:sz w:val="28"/>
          <w:szCs w:val="28"/>
          <w:lang w:val="uk-UA"/>
        </w:rPr>
        <w:t>Деякі зауваження Головного науково-експертного управління Апарату Верховної Ради України є слушними та можуть бути розглянуті під час подальшого опрацювання законопроекту.</w:t>
      </w:r>
    </w:p>
    <w:p w:rsidR="001A4988" w:rsidRPr="001A4988" w:rsidRDefault="001A4988" w:rsidP="001A4988">
      <w:pPr>
        <w:keepNext/>
        <w:widowControl w:val="0"/>
        <w:autoSpaceDE w:val="0"/>
        <w:autoSpaceDN w:val="0"/>
        <w:adjustRightInd w:val="0"/>
        <w:spacing w:after="120" w:line="240" w:lineRule="auto"/>
        <w:ind w:firstLine="709"/>
        <w:jc w:val="both"/>
        <w:rPr>
          <w:rFonts w:ascii="Times New Roman" w:hAnsi="Times New Roman"/>
          <w:b/>
          <w:sz w:val="28"/>
          <w:szCs w:val="28"/>
          <w:lang w:val="uk-UA"/>
        </w:rPr>
      </w:pPr>
      <w:r w:rsidRPr="001A4988">
        <w:rPr>
          <w:rFonts w:ascii="Times New Roman" w:hAnsi="Times New Roman"/>
          <w:b/>
          <w:sz w:val="28"/>
          <w:szCs w:val="28"/>
          <w:lang w:val="uk-UA"/>
        </w:rPr>
        <w:t xml:space="preserve">Враховуючи викладене, Комітет вирішив рекомендувати Верховній Раді України проект Закону України </w:t>
      </w:r>
      <w:r w:rsidRPr="001A4988">
        <w:rPr>
          <w:rFonts w:ascii="Times New Roman" w:hAnsi="Times New Roman"/>
          <w:bCs/>
          <w:color w:val="000000"/>
          <w:sz w:val="28"/>
          <w:szCs w:val="28"/>
          <w:lang w:val="uk-UA"/>
        </w:rPr>
        <w:t>про внесення змін до деяких законодавчих актів України щодо перших кроків дерегуляції бізнесу шляхом страхування цивільної відповідальності</w:t>
      </w:r>
      <w:r w:rsidRPr="001A4988">
        <w:rPr>
          <w:rFonts w:ascii="Times New Roman" w:hAnsi="Times New Roman"/>
          <w:sz w:val="28"/>
          <w:szCs w:val="28"/>
          <w:lang w:val="uk-UA"/>
        </w:rPr>
        <w:t xml:space="preserve"> (</w:t>
      </w:r>
      <w:r w:rsidRPr="001A4988">
        <w:rPr>
          <w:rFonts w:ascii="Times New Roman" w:hAnsi="Times New Roman"/>
          <w:bCs/>
          <w:color w:val="000000"/>
          <w:sz w:val="28"/>
          <w:szCs w:val="28"/>
          <w:lang w:val="uk-UA"/>
        </w:rPr>
        <w:t>реєстр. № 3361 від 17.04.2020</w:t>
      </w:r>
      <w:r w:rsidRPr="001A4988">
        <w:rPr>
          <w:rFonts w:ascii="Times New Roman" w:hAnsi="Times New Roman"/>
          <w:sz w:val="28"/>
          <w:szCs w:val="28"/>
          <w:lang w:val="uk-UA"/>
        </w:rPr>
        <w:t xml:space="preserve">), внесений народним депутатом України </w:t>
      </w:r>
      <w:proofErr w:type="spellStart"/>
      <w:r w:rsidRPr="001A4988">
        <w:rPr>
          <w:rFonts w:ascii="Times New Roman" w:hAnsi="Times New Roman"/>
          <w:sz w:val="28"/>
          <w:szCs w:val="28"/>
          <w:lang w:val="uk-UA"/>
        </w:rPr>
        <w:t>Бєльковою</w:t>
      </w:r>
      <w:proofErr w:type="spellEnd"/>
      <w:r w:rsidRPr="001A4988">
        <w:rPr>
          <w:rFonts w:ascii="Times New Roman" w:hAnsi="Times New Roman"/>
          <w:sz w:val="28"/>
          <w:szCs w:val="28"/>
          <w:lang w:val="uk-UA"/>
        </w:rPr>
        <w:t xml:space="preserve"> О.В. та іншими народними депутатами України, включити до порядку денного третьої сесії Верховної Ради України дев’ятого скликання та </w:t>
      </w:r>
      <w:r w:rsidRPr="001A4988">
        <w:rPr>
          <w:rFonts w:ascii="Times New Roman" w:hAnsi="Times New Roman"/>
          <w:b/>
          <w:sz w:val="28"/>
          <w:szCs w:val="28"/>
          <w:lang w:val="uk-UA"/>
        </w:rPr>
        <w:t>прийняти за основу.</w:t>
      </w:r>
    </w:p>
    <w:p w:rsidR="001A4988" w:rsidRPr="001A4988" w:rsidRDefault="001A4988" w:rsidP="001A4988">
      <w:pPr>
        <w:spacing w:after="120" w:line="240" w:lineRule="auto"/>
        <w:ind w:firstLine="709"/>
        <w:jc w:val="both"/>
        <w:rPr>
          <w:rFonts w:ascii="Times New Roman" w:hAnsi="Times New Roman"/>
          <w:sz w:val="28"/>
          <w:szCs w:val="28"/>
          <w:lang w:val="uk-UA"/>
        </w:rPr>
      </w:pPr>
      <w:r w:rsidRPr="001A4988">
        <w:rPr>
          <w:rFonts w:ascii="Times New Roman" w:hAnsi="Times New Roman"/>
          <w:sz w:val="28"/>
          <w:szCs w:val="28"/>
          <w:lang w:val="uk-UA"/>
        </w:rPr>
        <w:t xml:space="preserve">Доповідачем від Комітету визначено Голову підкомітету Комітету Верховної Ради України з питань фінансів, податкової та митної політики – народного депутата України </w:t>
      </w:r>
      <w:proofErr w:type="spellStart"/>
      <w:r w:rsidRPr="001A4988">
        <w:rPr>
          <w:rFonts w:ascii="Times New Roman" w:hAnsi="Times New Roman"/>
          <w:sz w:val="28"/>
          <w:szCs w:val="28"/>
          <w:lang w:val="uk-UA"/>
        </w:rPr>
        <w:t>Бєлькову</w:t>
      </w:r>
      <w:proofErr w:type="spellEnd"/>
      <w:r w:rsidRPr="001A4988">
        <w:rPr>
          <w:rFonts w:ascii="Times New Roman" w:hAnsi="Times New Roman"/>
          <w:sz w:val="28"/>
          <w:szCs w:val="28"/>
          <w:lang w:val="uk-UA"/>
        </w:rPr>
        <w:t xml:space="preserve"> О.В.</w:t>
      </w:r>
    </w:p>
    <w:p w:rsidR="001A4988" w:rsidRPr="001A4988" w:rsidRDefault="001A4988" w:rsidP="001A4988">
      <w:pPr>
        <w:spacing w:after="120"/>
        <w:ind w:firstLine="709"/>
        <w:jc w:val="both"/>
        <w:rPr>
          <w:rFonts w:ascii="Times New Roman" w:hAnsi="Times New Roman"/>
          <w:sz w:val="28"/>
          <w:szCs w:val="28"/>
          <w:lang w:val="uk-UA"/>
        </w:rPr>
      </w:pPr>
    </w:p>
    <w:p w:rsidR="001A4988" w:rsidRPr="001A4988" w:rsidRDefault="001A4988" w:rsidP="001A4988">
      <w:pPr>
        <w:spacing w:after="0"/>
        <w:ind w:firstLine="709"/>
        <w:jc w:val="both"/>
        <w:rPr>
          <w:rFonts w:ascii="Times New Roman" w:hAnsi="Times New Roman"/>
          <w:b/>
          <w:sz w:val="28"/>
          <w:szCs w:val="28"/>
          <w:lang w:val="uk-UA"/>
        </w:rPr>
      </w:pPr>
    </w:p>
    <w:p w:rsidR="001A4988" w:rsidRPr="001A4988" w:rsidRDefault="001A4988" w:rsidP="001A4988">
      <w:pPr>
        <w:spacing w:after="0"/>
        <w:ind w:firstLine="709"/>
        <w:jc w:val="both"/>
        <w:rPr>
          <w:rFonts w:ascii="Times New Roman" w:hAnsi="Times New Roman"/>
          <w:b/>
          <w:sz w:val="28"/>
          <w:szCs w:val="28"/>
          <w:lang w:val="uk-UA"/>
        </w:rPr>
      </w:pPr>
    </w:p>
    <w:p w:rsidR="001A4988" w:rsidRPr="001A4988" w:rsidRDefault="001A4988" w:rsidP="001A4988">
      <w:pPr>
        <w:spacing w:after="0"/>
        <w:ind w:firstLine="709"/>
        <w:rPr>
          <w:rFonts w:ascii="Times New Roman" w:hAnsi="Times New Roman"/>
          <w:b/>
          <w:sz w:val="28"/>
          <w:szCs w:val="28"/>
          <w:lang w:val="uk-UA"/>
        </w:rPr>
      </w:pPr>
      <w:r w:rsidRPr="001A4988">
        <w:rPr>
          <w:rFonts w:ascii="Times New Roman" w:hAnsi="Times New Roman"/>
          <w:b/>
          <w:bCs/>
          <w:sz w:val="28"/>
          <w:szCs w:val="28"/>
          <w:lang w:val="uk-UA"/>
        </w:rPr>
        <w:t>Голова Комітету</w:t>
      </w:r>
      <w:r w:rsidRPr="001A4988">
        <w:rPr>
          <w:rFonts w:ascii="Times New Roman" w:hAnsi="Times New Roman"/>
          <w:b/>
          <w:bCs/>
          <w:sz w:val="28"/>
          <w:szCs w:val="28"/>
          <w:lang w:val="uk-UA"/>
        </w:rPr>
        <w:tab/>
      </w:r>
      <w:r w:rsidRPr="001A4988">
        <w:rPr>
          <w:rFonts w:ascii="Times New Roman" w:hAnsi="Times New Roman"/>
          <w:b/>
          <w:bCs/>
          <w:sz w:val="28"/>
          <w:szCs w:val="28"/>
          <w:lang w:val="uk-UA"/>
        </w:rPr>
        <w:tab/>
      </w:r>
      <w:r w:rsidRPr="001A4988">
        <w:rPr>
          <w:rFonts w:ascii="Times New Roman" w:hAnsi="Times New Roman"/>
          <w:b/>
          <w:bCs/>
          <w:sz w:val="28"/>
          <w:szCs w:val="28"/>
          <w:lang w:val="uk-UA"/>
        </w:rPr>
        <w:tab/>
      </w:r>
      <w:r w:rsidRPr="001A4988">
        <w:rPr>
          <w:rFonts w:ascii="Times New Roman" w:hAnsi="Times New Roman"/>
          <w:b/>
          <w:bCs/>
          <w:sz w:val="28"/>
          <w:szCs w:val="28"/>
          <w:lang w:val="uk-UA"/>
        </w:rPr>
        <w:tab/>
      </w:r>
      <w:r w:rsidRPr="001A4988">
        <w:rPr>
          <w:rFonts w:ascii="Times New Roman" w:hAnsi="Times New Roman"/>
          <w:b/>
          <w:bCs/>
          <w:sz w:val="28"/>
          <w:szCs w:val="28"/>
          <w:lang w:val="uk-UA"/>
        </w:rPr>
        <w:tab/>
      </w:r>
      <w:r w:rsidRPr="001A4988">
        <w:rPr>
          <w:rFonts w:ascii="Times New Roman" w:hAnsi="Times New Roman"/>
          <w:b/>
          <w:bCs/>
          <w:sz w:val="28"/>
          <w:szCs w:val="28"/>
          <w:lang w:val="uk-UA"/>
        </w:rPr>
        <w:tab/>
        <w:t>Д.О. Гетманцев</w:t>
      </w:r>
    </w:p>
    <w:p w:rsidR="001A4988" w:rsidRPr="001A4988" w:rsidRDefault="001A4988" w:rsidP="001A4988">
      <w:pPr>
        <w:spacing w:after="0"/>
        <w:ind w:firstLine="709"/>
        <w:jc w:val="both"/>
        <w:rPr>
          <w:rFonts w:ascii="Times New Roman" w:hAnsi="Times New Roman"/>
          <w:color w:val="000000"/>
          <w:sz w:val="28"/>
          <w:szCs w:val="28"/>
          <w:lang w:val="uk-UA"/>
        </w:rPr>
      </w:pPr>
    </w:p>
    <w:p w:rsidR="001A4988" w:rsidRPr="001A4988" w:rsidRDefault="001A4988" w:rsidP="001A4988">
      <w:pPr>
        <w:spacing w:after="0"/>
        <w:ind w:firstLine="709"/>
        <w:jc w:val="both"/>
        <w:rPr>
          <w:rFonts w:ascii="Times New Roman" w:hAnsi="Times New Roman"/>
          <w:color w:val="000000"/>
          <w:sz w:val="28"/>
          <w:szCs w:val="28"/>
          <w:lang w:val="uk-UA"/>
        </w:rPr>
      </w:pPr>
    </w:p>
    <w:p w:rsidR="001A4988" w:rsidRDefault="001A4988" w:rsidP="001A4988">
      <w:pPr>
        <w:spacing w:after="0"/>
        <w:ind w:firstLine="709"/>
        <w:jc w:val="both"/>
        <w:rPr>
          <w:rFonts w:ascii="Times New Roman" w:hAnsi="Times New Roman"/>
          <w:color w:val="000000"/>
          <w:sz w:val="28"/>
          <w:szCs w:val="28"/>
          <w:lang w:val="uk-UA"/>
        </w:rPr>
      </w:pPr>
    </w:p>
    <w:p w:rsidR="001A4988" w:rsidRDefault="001A4988" w:rsidP="001A4988">
      <w:pPr>
        <w:spacing w:after="0"/>
        <w:ind w:firstLine="709"/>
        <w:jc w:val="both"/>
        <w:rPr>
          <w:rFonts w:ascii="Times New Roman" w:hAnsi="Times New Roman"/>
          <w:color w:val="000000"/>
          <w:sz w:val="28"/>
          <w:szCs w:val="28"/>
          <w:lang w:val="uk-UA"/>
        </w:rPr>
      </w:pPr>
    </w:p>
    <w:p w:rsidR="001A4988" w:rsidRPr="001A4988" w:rsidRDefault="001A4988" w:rsidP="001A4988">
      <w:pPr>
        <w:spacing w:after="0"/>
        <w:ind w:firstLine="709"/>
        <w:jc w:val="both"/>
        <w:rPr>
          <w:rFonts w:ascii="Times New Roman" w:hAnsi="Times New Roman"/>
          <w:color w:val="000000"/>
          <w:sz w:val="28"/>
          <w:szCs w:val="28"/>
          <w:lang w:val="uk-UA"/>
        </w:rPr>
      </w:pPr>
    </w:p>
    <w:p w:rsidR="001A4988" w:rsidRPr="001A4988" w:rsidRDefault="001A4988" w:rsidP="001A4988">
      <w:pPr>
        <w:spacing w:after="0"/>
        <w:ind w:firstLine="709"/>
        <w:jc w:val="both"/>
        <w:rPr>
          <w:rFonts w:ascii="Times New Roman" w:hAnsi="Times New Roman"/>
          <w:color w:val="000000"/>
          <w:sz w:val="28"/>
          <w:szCs w:val="28"/>
          <w:lang w:val="uk-UA"/>
        </w:rPr>
      </w:pPr>
    </w:p>
    <w:p w:rsidR="001A4988" w:rsidRPr="001A4988" w:rsidRDefault="001A4988" w:rsidP="001A4988">
      <w:pPr>
        <w:spacing w:after="0"/>
        <w:ind w:firstLine="709"/>
        <w:jc w:val="both"/>
        <w:rPr>
          <w:rFonts w:ascii="Times New Roman" w:hAnsi="Times New Roman"/>
          <w:color w:val="000000"/>
          <w:sz w:val="20"/>
          <w:szCs w:val="20"/>
          <w:lang w:val="uk-UA"/>
        </w:rPr>
      </w:pPr>
      <w:proofErr w:type="spellStart"/>
      <w:r w:rsidRPr="001A4988">
        <w:rPr>
          <w:rFonts w:ascii="Times New Roman" w:hAnsi="Times New Roman"/>
          <w:color w:val="000000"/>
          <w:sz w:val="20"/>
          <w:szCs w:val="20"/>
          <w:lang w:val="uk-UA"/>
        </w:rPr>
        <w:t>Вик</w:t>
      </w:r>
      <w:proofErr w:type="spellEnd"/>
      <w:r w:rsidRPr="001A4988">
        <w:rPr>
          <w:rFonts w:ascii="Times New Roman" w:hAnsi="Times New Roman"/>
          <w:color w:val="000000"/>
          <w:sz w:val="20"/>
          <w:szCs w:val="20"/>
          <w:lang w:val="uk-UA"/>
        </w:rPr>
        <w:t>. Боцула Т.А.</w:t>
      </w:r>
    </w:p>
    <w:p w:rsidR="001A4988" w:rsidRPr="001A4988" w:rsidRDefault="001A4988" w:rsidP="001A4988">
      <w:pPr>
        <w:spacing w:after="0"/>
        <w:ind w:firstLine="709"/>
        <w:jc w:val="both"/>
        <w:rPr>
          <w:b/>
          <w:sz w:val="20"/>
          <w:szCs w:val="20"/>
          <w:lang w:val="uk-UA"/>
        </w:rPr>
      </w:pPr>
      <w:r>
        <w:rPr>
          <w:rFonts w:ascii="Times New Roman" w:hAnsi="Times New Roman"/>
          <w:color w:val="000000"/>
          <w:sz w:val="20"/>
          <w:szCs w:val="20"/>
          <w:lang w:val="uk-UA"/>
        </w:rPr>
        <w:t xml:space="preserve">         </w:t>
      </w:r>
      <w:r w:rsidRPr="001A4988">
        <w:rPr>
          <w:rFonts w:ascii="Times New Roman" w:hAnsi="Times New Roman"/>
          <w:color w:val="000000"/>
          <w:sz w:val="20"/>
          <w:szCs w:val="20"/>
          <w:lang w:val="uk-UA"/>
        </w:rPr>
        <w:t>т. 255-31-01</w:t>
      </w:r>
    </w:p>
    <w:p w:rsidR="00AA6052" w:rsidRPr="001A4988" w:rsidRDefault="00AA6052" w:rsidP="00AA6052">
      <w:pPr>
        <w:rPr>
          <w:sz w:val="20"/>
          <w:szCs w:val="20"/>
          <w:lang w:val="uk-UA"/>
        </w:rPr>
      </w:pPr>
    </w:p>
    <w:sectPr w:rsidR="00AA6052" w:rsidRPr="001A4988" w:rsidSect="00340E70">
      <w:headerReference w:type="default" r:id="rId8"/>
      <w:headerReference w:type="first" r:id="rId9"/>
      <w:footerReference w:type="first" r:id="rId10"/>
      <w:pgSz w:w="11906" w:h="16838"/>
      <w:pgMar w:top="1134" w:right="851"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303" w:rsidRDefault="00074303" w:rsidP="005E306B">
      <w:pPr>
        <w:spacing w:after="0" w:line="240" w:lineRule="auto"/>
      </w:pPr>
      <w:r>
        <w:separator/>
      </w:r>
    </w:p>
  </w:endnote>
  <w:endnote w:type="continuationSeparator" w:id="0">
    <w:p w:rsidR="00074303" w:rsidRDefault="00074303"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Batang">
    <w:altName w:val="????????_???Ўю¬в?¬рЎю¬µ??¬рЎю¬У"/>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074303">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303" w:rsidRDefault="00074303" w:rsidP="005E306B">
      <w:pPr>
        <w:spacing w:after="0" w:line="240" w:lineRule="auto"/>
      </w:pPr>
      <w:r>
        <w:separator/>
      </w:r>
    </w:p>
  </w:footnote>
  <w:footnote w:type="continuationSeparator" w:id="0">
    <w:p w:rsidR="00074303" w:rsidRDefault="00074303"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88" w:rsidRPr="006C14BC" w:rsidRDefault="001A4988" w:rsidP="001A4988">
    <w:pPr>
      <w:pStyle w:val="af"/>
      <w:ind w:left="5400"/>
      <w:jc w:val="right"/>
      <w:rPr>
        <w:b w:val="0"/>
        <w:sz w:val="20"/>
        <w:szCs w:val="20"/>
      </w:rPr>
    </w:pPr>
    <w:r w:rsidRPr="006C14BC">
      <w:rPr>
        <w:b w:val="0"/>
        <w:sz w:val="20"/>
        <w:szCs w:val="20"/>
      </w:rPr>
      <w:t>До проект</w:t>
    </w:r>
    <w:r>
      <w:rPr>
        <w:b w:val="0"/>
        <w:sz w:val="20"/>
        <w:szCs w:val="20"/>
      </w:rPr>
      <w:t>у</w:t>
    </w:r>
    <w:r w:rsidRPr="006C14BC">
      <w:rPr>
        <w:b w:val="0"/>
        <w:sz w:val="20"/>
        <w:szCs w:val="20"/>
      </w:rPr>
      <w:t xml:space="preserve"> № </w:t>
    </w:r>
    <w:r>
      <w:rPr>
        <w:b w:val="0"/>
        <w:sz w:val="20"/>
        <w:szCs w:val="20"/>
      </w:rPr>
      <w:t>3361</w:t>
    </w:r>
    <w:r w:rsidRPr="006C14BC">
      <w:rPr>
        <w:b w:val="0"/>
        <w:sz w:val="20"/>
        <w:szCs w:val="20"/>
      </w:rPr>
      <w:t xml:space="preserve"> від </w:t>
    </w:r>
    <w:r>
      <w:rPr>
        <w:b w:val="0"/>
        <w:sz w:val="20"/>
        <w:szCs w:val="20"/>
      </w:rPr>
      <w:t>14</w:t>
    </w:r>
    <w:r w:rsidRPr="006C14BC">
      <w:rPr>
        <w:b w:val="0"/>
        <w:sz w:val="20"/>
        <w:szCs w:val="20"/>
      </w:rPr>
      <w:t>.</w:t>
    </w:r>
    <w:r>
      <w:rPr>
        <w:b w:val="0"/>
        <w:sz w:val="20"/>
        <w:szCs w:val="20"/>
      </w:rPr>
      <w:t>04</w:t>
    </w:r>
    <w:r w:rsidRPr="006C14BC">
      <w:rPr>
        <w:b w:val="0"/>
        <w:sz w:val="20"/>
        <w:szCs w:val="20"/>
      </w:rPr>
      <w:t>.20</w:t>
    </w:r>
    <w:r>
      <w:rPr>
        <w:b w:val="0"/>
        <w:sz w:val="20"/>
        <w:szCs w:val="20"/>
      </w:rPr>
      <w:t>20</w:t>
    </w:r>
  </w:p>
  <w:p w:rsidR="001A4988" w:rsidRPr="006C14BC" w:rsidRDefault="001A4988" w:rsidP="001A4988">
    <w:pPr>
      <w:pStyle w:val="af"/>
      <w:ind w:left="5400"/>
      <w:jc w:val="right"/>
      <w:rPr>
        <w:b w:val="0"/>
        <w:sz w:val="20"/>
        <w:szCs w:val="20"/>
      </w:rPr>
    </w:pPr>
    <w:r>
      <w:rPr>
        <w:b w:val="0"/>
        <w:sz w:val="20"/>
        <w:szCs w:val="20"/>
      </w:rPr>
      <w:t>Бєлькова О.В, Гетманцев Д.О. та інші</w:t>
    </w:r>
  </w:p>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340E70">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1A4988" w:rsidRDefault="005B71F5" w:rsidP="0021032F">
          <w:pPr>
            <w:pStyle w:val="a3"/>
            <w:tabs>
              <w:tab w:val="clear" w:pos="4677"/>
              <w:tab w:val="clear" w:pos="9355"/>
            </w:tabs>
            <w:spacing w:before="80"/>
            <w:jc w:val="center"/>
            <w:rPr>
              <w:rFonts w:ascii="Times New Roman" w:hAnsi="Times New Roman"/>
              <w:color w:val="1829A8"/>
              <w:spacing w:val="20"/>
              <w:sz w:val="34"/>
              <w:szCs w:val="34"/>
              <w:lang w:val="uk-UA"/>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r w:rsidR="001A4988">
            <w:rPr>
              <w:rFonts w:ascii="Times New Roman" w:hAnsi="Times New Roman"/>
              <w:color w:val="1829A8"/>
              <w:spacing w:val="20"/>
              <w:sz w:val="34"/>
              <w:szCs w:val="34"/>
              <w:lang w:val="uk-UA"/>
            </w:rPr>
            <w:t xml:space="preserve"> </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B311E8">
            <w:rPr>
              <w:rFonts w:ascii="Times New Roman" w:hAnsi="Times New Roman"/>
              <w:b/>
              <w:color w:val="1829A8"/>
              <w:spacing w:val="20"/>
              <w:sz w:val="24"/>
              <w:szCs w:val="24"/>
              <w:lang w:val="uk-UA"/>
            </w:rPr>
            <w:t>фінансів, податкової та митної політики</w:t>
          </w:r>
        </w:p>
        <w:p w:rsidR="00C27AE9" w:rsidRPr="00C86266" w:rsidRDefault="0080545D" w:rsidP="00B311E8">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A60747">
            <w:rPr>
              <w:rFonts w:ascii="Times New Roman" w:hAnsi="Times New Roman"/>
              <w:color w:val="1829A8"/>
              <w:sz w:val="20"/>
              <w:szCs w:val="20"/>
              <w:lang w:val="uk-UA"/>
            </w:rPr>
            <w:t>2</w:t>
          </w:r>
          <w:r w:rsidR="00B311E8">
            <w:rPr>
              <w:rFonts w:ascii="Times New Roman" w:hAnsi="Times New Roman"/>
              <w:color w:val="1829A8"/>
              <w:sz w:val="20"/>
              <w:szCs w:val="20"/>
              <w:lang w:val="uk-UA"/>
            </w:rPr>
            <w:t>8</w:t>
          </w:r>
          <w:r w:rsidR="00C27AE9" w:rsidRPr="00A833C8">
            <w:rPr>
              <w:rFonts w:ascii="Times New Roman" w:hAnsi="Times New Roman"/>
              <w:color w:val="1829A8"/>
              <w:sz w:val="20"/>
              <w:szCs w:val="20"/>
              <w:lang w:val="uk-UA"/>
            </w:rPr>
            <w:t>-</w:t>
          </w:r>
          <w:r w:rsidR="00A60747">
            <w:rPr>
              <w:rFonts w:ascii="Times New Roman" w:hAnsi="Times New Roman"/>
              <w:color w:val="1829A8"/>
              <w:sz w:val="20"/>
              <w:szCs w:val="20"/>
              <w:lang w:val="uk-UA"/>
            </w:rPr>
            <w:t>0</w:t>
          </w:r>
          <w:r w:rsidR="00B311E8">
            <w:rPr>
              <w:rFonts w:ascii="Times New Roman" w:hAnsi="Times New Roman"/>
              <w:color w:val="1829A8"/>
              <w:sz w:val="20"/>
              <w:szCs w:val="20"/>
              <w:lang w:val="uk-UA"/>
            </w:rPr>
            <w:t>7, факс: 255-25-91</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340E70" w:rsidRPr="00053776" w:rsidTr="003E0669">
      <w:tc>
        <w:tcPr>
          <w:tcW w:w="1087" w:type="dxa"/>
          <w:tcBorders>
            <w:top w:val="nil"/>
          </w:tcBorders>
        </w:tcPr>
        <w:p w:rsidR="00340E70" w:rsidRPr="00053776" w:rsidRDefault="00340E70" w:rsidP="00340E70">
          <w:pPr>
            <w:pStyle w:val="a3"/>
            <w:tabs>
              <w:tab w:val="clear" w:pos="4677"/>
              <w:tab w:val="clear" w:pos="9355"/>
            </w:tabs>
            <w:rPr>
              <w:rFonts w:ascii="Times New Roman" w:hAnsi="Times New Roman"/>
              <w:color w:val="002060"/>
              <w:lang w:val="uk-UA"/>
            </w:rPr>
          </w:pPr>
        </w:p>
      </w:tc>
      <w:tc>
        <w:tcPr>
          <w:tcW w:w="9714" w:type="dxa"/>
        </w:tcPr>
        <w:p w:rsidR="00340E70" w:rsidRPr="00053776" w:rsidRDefault="00340E70" w:rsidP="00340E70">
          <w:pPr>
            <w:pStyle w:val="a3"/>
            <w:tabs>
              <w:tab w:val="clear" w:pos="4677"/>
              <w:tab w:val="clear" w:pos="9355"/>
            </w:tabs>
            <w:rPr>
              <w:rFonts w:ascii="Times New Roman" w:hAnsi="Times New Roman"/>
              <w:color w:val="002060"/>
              <w:lang w:val="uk-UA"/>
            </w:rPr>
          </w:pPr>
        </w:p>
      </w:tc>
      <w:tc>
        <w:tcPr>
          <w:tcW w:w="1086" w:type="dxa"/>
          <w:tcBorders>
            <w:top w:val="nil"/>
          </w:tcBorders>
        </w:tcPr>
        <w:p w:rsidR="00340E70" w:rsidRPr="00053776" w:rsidRDefault="00340E70" w:rsidP="00340E70">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E602D"/>
    <w:multiLevelType w:val="hybridMultilevel"/>
    <w:tmpl w:val="3E049CD6"/>
    <w:lvl w:ilvl="0" w:tplc="43B04A64">
      <w:start w:val="3"/>
      <w:numFmt w:val="bullet"/>
      <w:lvlText w:val="-"/>
      <w:lvlJc w:val="left"/>
      <w:pPr>
        <w:ind w:left="1040" w:hanging="360"/>
      </w:pPr>
      <w:rPr>
        <w:rFonts w:ascii="Times New Roman" w:eastAsia="Times New Roman" w:hAnsi="Times New Roman" w:hint="default"/>
      </w:rPr>
    </w:lvl>
    <w:lvl w:ilvl="1" w:tplc="04220003" w:tentative="1">
      <w:start w:val="1"/>
      <w:numFmt w:val="bullet"/>
      <w:lvlText w:val="o"/>
      <w:lvlJc w:val="left"/>
      <w:pPr>
        <w:ind w:left="1760" w:hanging="360"/>
      </w:pPr>
      <w:rPr>
        <w:rFonts w:ascii="Courier New" w:hAnsi="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hint="default"/>
      </w:rPr>
    </w:lvl>
    <w:lvl w:ilvl="8" w:tplc="04220005" w:tentative="1">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74303"/>
    <w:rsid w:val="000F1586"/>
    <w:rsid w:val="00141617"/>
    <w:rsid w:val="0019108F"/>
    <w:rsid w:val="001966F0"/>
    <w:rsid w:val="001A4988"/>
    <w:rsid w:val="001D3C24"/>
    <w:rsid w:val="0021032F"/>
    <w:rsid w:val="00235CD7"/>
    <w:rsid w:val="002A5D4C"/>
    <w:rsid w:val="002B5FC1"/>
    <w:rsid w:val="002D0561"/>
    <w:rsid w:val="002E0A18"/>
    <w:rsid w:val="002E31BF"/>
    <w:rsid w:val="002E44DA"/>
    <w:rsid w:val="00340E70"/>
    <w:rsid w:val="003A554E"/>
    <w:rsid w:val="003D0DE4"/>
    <w:rsid w:val="003D1CBA"/>
    <w:rsid w:val="00451750"/>
    <w:rsid w:val="004852FA"/>
    <w:rsid w:val="004E4F5C"/>
    <w:rsid w:val="004F7B8A"/>
    <w:rsid w:val="0050620F"/>
    <w:rsid w:val="00524B36"/>
    <w:rsid w:val="0055005A"/>
    <w:rsid w:val="0056039F"/>
    <w:rsid w:val="0056352F"/>
    <w:rsid w:val="005A4728"/>
    <w:rsid w:val="005B71F5"/>
    <w:rsid w:val="005E306B"/>
    <w:rsid w:val="005F20B5"/>
    <w:rsid w:val="00626A3E"/>
    <w:rsid w:val="006312B2"/>
    <w:rsid w:val="00660B13"/>
    <w:rsid w:val="0066623D"/>
    <w:rsid w:val="006F10E8"/>
    <w:rsid w:val="00713E93"/>
    <w:rsid w:val="0073224C"/>
    <w:rsid w:val="00770DCA"/>
    <w:rsid w:val="007F5D91"/>
    <w:rsid w:val="0080545D"/>
    <w:rsid w:val="00903B11"/>
    <w:rsid w:val="00945B68"/>
    <w:rsid w:val="00957D31"/>
    <w:rsid w:val="009A720A"/>
    <w:rsid w:val="00A00059"/>
    <w:rsid w:val="00A53EEC"/>
    <w:rsid w:val="00A60747"/>
    <w:rsid w:val="00A7635E"/>
    <w:rsid w:val="00A833C8"/>
    <w:rsid w:val="00AA6052"/>
    <w:rsid w:val="00AD7F82"/>
    <w:rsid w:val="00B311E8"/>
    <w:rsid w:val="00BD0801"/>
    <w:rsid w:val="00BF1E95"/>
    <w:rsid w:val="00C11FB6"/>
    <w:rsid w:val="00C17E06"/>
    <w:rsid w:val="00C27AE9"/>
    <w:rsid w:val="00C86266"/>
    <w:rsid w:val="00CA7044"/>
    <w:rsid w:val="00CC39A1"/>
    <w:rsid w:val="00CD4A38"/>
    <w:rsid w:val="00CE3E1B"/>
    <w:rsid w:val="00CE6A4B"/>
    <w:rsid w:val="00D242C2"/>
    <w:rsid w:val="00D37FA2"/>
    <w:rsid w:val="00D52549"/>
    <w:rsid w:val="00D57E1B"/>
    <w:rsid w:val="00DF0115"/>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0CDE98"/>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1">
    <w:name w:val="heading 1"/>
    <w:basedOn w:val="a"/>
    <w:next w:val="a"/>
    <w:link w:val="10"/>
    <w:qFormat/>
    <w:locked/>
    <w:rsid w:val="00AA6052"/>
    <w:pPr>
      <w:keepNext/>
      <w:spacing w:after="0" w:line="240" w:lineRule="auto"/>
      <w:ind w:firstLine="6120"/>
      <w:outlineLvl w:val="0"/>
    </w:pPr>
    <w:rPr>
      <w:rFonts w:ascii="Times New Roman" w:eastAsia="Times New Roman" w:hAnsi="Times New Roman"/>
      <w:b/>
      <w:bCs/>
      <w:sz w:val="28"/>
      <w:szCs w:val="20"/>
      <w:lang w:val="uk-UA" w:eastAsia="ru-RU"/>
    </w:rPr>
  </w:style>
  <w:style w:type="paragraph" w:styleId="7">
    <w:name w:val="heading 7"/>
    <w:basedOn w:val="a"/>
    <w:next w:val="a"/>
    <w:link w:val="70"/>
    <w:qFormat/>
    <w:locked/>
    <w:rsid w:val="00AA6052"/>
    <w:pPr>
      <w:keepNext/>
      <w:spacing w:after="0" w:line="240" w:lineRule="auto"/>
      <w:ind w:left="4860" w:firstLine="720"/>
      <w:jc w:val="both"/>
      <w:outlineLvl w:val="6"/>
    </w:pPr>
    <w:rPr>
      <w:rFonts w:ascii="Times New Roman" w:eastAsia="Times New Roman" w:hAnsi="Times New Roman"/>
      <w:b/>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character" w:customStyle="1" w:styleId="10">
    <w:name w:val="Заголовок 1 Знак"/>
    <w:basedOn w:val="a0"/>
    <w:link w:val="1"/>
    <w:rsid w:val="00AA6052"/>
    <w:rPr>
      <w:rFonts w:ascii="Times New Roman" w:eastAsia="Times New Roman" w:hAnsi="Times New Roman"/>
      <w:b/>
      <w:bCs/>
      <w:sz w:val="28"/>
      <w:szCs w:val="20"/>
      <w:lang w:val="uk-UA" w:eastAsia="ru-RU"/>
    </w:rPr>
  </w:style>
  <w:style w:type="character" w:customStyle="1" w:styleId="70">
    <w:name w:val="Заголовок 7 Знак"/>
    <w:basedOn w:val="a0"/>
    <w:link w:val="7"/>
    <w:rsid w:val="00AA6052"/>
    <w:rPr>
      <w:rFonts w:ascii="Times New Roman" w:eastAsia="Times New Roman" w:hAnsi="Times New Roman"/>
      <w:b/>
      <w:bCs/>
      <w:sz w:val="28"/>
      <w:szCs w:val="20"/>
      <w:lang w:val="uk-UA" w:eastAsia="ru-RU"/>
    </w:rPr>
  </w:style>
  <w:style w:type="paragraph" w:styleId="ab">
    <w:name w:val="Body Text Indent"/>
    <w:basedOn w:val="a"/>
    <w:link w:val="ac"/>
    <w:rsid w:val="00AA6052"/>
    <w:pPr>
      <w:spacing w:after="0" w:line="240" w:lineRule="auto"/>
      <w:ind w:firstLine="720"/>
      <w:jc w:val="both"/>
    </w:pPr>
    <w:rPr>
      <w:rFonts w:ascii="Times New Roman" w:eastAsia="Times New Roman" w:hAnsi="Times New Roman"/>
      <w:sz w:val="28"/>
      <w:szCs w:val="24"/>
      <w:lang w:val="uk-UA" w:eastAsia="ru-RU"/>
    </w:rPr>
  </w:style>
  <w:style w:type="character" w:customStyle="1" w:styleId="ac">
    <w:name w:val="Основний текст з відступом Знак"/>
    <w:basedOn w:val="a0"/>
    <w:link w:val="ab"/>
    <w:rsid w:val="00AA6052"/>
    <w:rPr>
      <w:rFonts w:ascii="Times New Roman" w:eastAsia="Times New Roman" w:hAnsi="Times New Roman"/>
      <w:sz w:val="28"/>
      <w:szCs w:val="24"/>
      <w:lang w:val="uk-UA" w:eastAsia="ru-RU"/>
    </w:rPr>
  </w:style>
  <w:style w:type="paragraph" w:styleId="HTML">
    <w:name w:val="HTML Preformatted"/>
    <w:basedOn w:val="a"/>
    <w:link w:val="HTML0"/>
    <w:rsid w:val="00AA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7"/>
      <w:szCs w:val="17"/>
      <w:lang w:eastAsia="ru-RU"/>
    </w:rPr>
  </w:style>
  <w:style w:type="character" w:customStyle="1" w:styleId="HTML0">
    <w:name w:val="Стандартний HTML Знак"/>
    <w:basedOn w:val="a0"/>
    <w:link w:val="HTML"/>
    <w:rsid w:val="00AA6052"/>
    <w:rPr>
      <w:rFonts w:ascii="Courier New" w:eastAsia="Times New Roman" w:hAnsi="Courier New" w:cs="Courier New"/>
      <w:color w:val="000000"/>
      <w:sz w:val="17"/>
      <w:szCs w:val="17"/>
      <w:lang w:val="ru-RU" w:eastAsia="ru-RU"/>
    </w:rPr>
  </w:style>
  <w:style w:type="paragraph" w:styleId="ad">
    <w:name w:val="Body Text"/>
    <w:basedOn w:val="a"/>
    <w:link w:val="ae"/>
    <w:uiPriority w:val="99"/>
    <w:semiHidden/>
    <w:unhideWhenUsed/>
    <w:rsid w:val="001A4988"/>
    <w:pPr>
      <w:spacing w:after="120"/>
    </w:pPr>
  </w:style>
  <w:style w:type="character" w:customStyle="1" w:styleId="ae">
    <w:name w:val="Основний текст Знак"/>
    <w:basedOn w:val="a0"/>
    <w:link w:val="ad"/>
    <w:uiPriority w:val="99"/>
    <w:semiHidden/>
    <w:rsid w:val="001A4988"/>
    <w:rPr>
      <w:lang w:val="ru-RU"/>
    </w:rPr>
  </w:style>
  <w:style w:type="paragraph" w:styleId="af">
    <w:name w:val="Title"/>
    <w:basedOn w:val="a"/>
    <w:link w:val="af0"/>
    <w:uiPriority w:val="99"/>
    <w:qFormat/>
    <w:locked/>
    <w:rsid w:val="001A4988"/>
    <w:pPr>
      <w:spacing w:after="0" w:line="240" w:lineRule="auto"/>
      <w:jc w:val="center"/>
    </w:pPr>
    <w:rPr>
      <w:rFonts w:ascii="Times New Roman" w:eastAsia="Times New Roman" w:hAnsi="Times New Roman"/>
      <w:b/>
      <w:bCs/>
      <w:sz w:val="28"/>
      <w:szCs w:val="24"/>
      <w:lang w:val="uk-UA" w:eastAsia="ru-RU"/>
    </w:rPr>
  </w:style>
  <w:style w:type="character" w:customStyle="1" w:styleId="af0">
    <w:name w:val="Назва Знак"/>
    <w:basedOn w:val="a0"/>
    <w:link w:val="af"/>
    <w:uiPriority w:val="10"/>
    <w:rsid w:val="001A4988"/>
    <w:rPr>
      <w:rFonts w:ascii="Times New Roman" w:eastAsia="Times New Roman" w:hAnsi="Times New Roman"/>
      <w:b/>
      <w:bCs/>
      <w:sz w:val="28"/>
      <w:szCs w:val="24"/>
      <w:lang w:val="uk-UA" w:eastAsia="ru-RU"/>
    </w:rPr>
  </w:style>
  <w:style w:type="paragraph" w:styleId="af1">
    <w:name w:val="List Paragraph"/>
    <w:basedOn w:val="a"/>
    <w:uiPriority w:val="34"/>
    <w:qFormat/>
    <w:rsid w:val="001A4988"/>
    <w:pPr>
      <w:spacing w:after="200" w:line="276" w:lineRule="auto"/>
      <w:ind w:left="720"/>
      <w:contextualSpacing/>
    </w:pPr>
    <w:rPr>
      <w:rFonts w:eastAsia="Batang"/>
    </w:rPr>
  </w:style>
  <w:style w:type="character" w:customStyle="1" w:styleId="rvts0">
    <w:name w:val="rvts0"/>
    <w:basedOn w:val="a0"/>
    <w:rsid w:val="001A4988"/>
    <w:rPr>
      <w:rFonts w:cs="Times New Roman"/>
    </w:rPr>
  </w:style>
  <w:style w:type="character" w:customStyle="1" w:styleId="st1">
    <w:name w:val="st1"/>
    <w:rsid w:val="001A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75281-A75C-4078-B3C2-4225CC96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3898</Words>
  <Characters>2222</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Боцула Тетяна Анатоліївна</cp:lastModifiedBy>
  <cp:revision>3</cp:revision>
  <cp:lastPrinted>2019-11-08T11:28:00Z</cp:lastPrinted>
  <dcterms:created xsi:type="dcterms:W3CDTF">2020-05-22T07:44:00Z</dcterms:created>
  <dcterms:modified xsi:type="dcterms:W3CDTF">2020-05-22T07:47:00Z</dcterms:modified>
</cp:coreProperties>
</file>