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BC94D18" w:rsidRPr="003803C8" w:rsidRDefault="1BC94D18" w:rsidP="1D69283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b/>
          <w:bCs/>
          <w:sz w:val="28"/>
          <w:szCs w:val="28"/>
          <w:lang w:val="uk"/>
        </w:rPr>
        <w:t>ПОЯСНЮВАЛЬНА ЗАПИСКА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3233" w:rsidRPr="003803C8" w:rsidRDefault="1BC94D18" w:rsidP="1D692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803C8">
        <w:rPr>
          <w:rFonts w:ascii="Times New Roman" w:eastAsia="Times New Roman" w:hAnsi="Times New Roman"/>
          <w:b/>
          <w:bCs/>
          <w:sz w:val="28"/>
          <w:szCs w:val="28"/>
          <w:lang w:val="uk"/>
        </w:rPr>
        <w:t>до</w:t>
      </w:r>
      <w:r w:rsidR="00023233" w:rsidRPr="003803C8">
        <w:rPr>
          <w:rFonts w:ascii="Times New Roman" w:eastAsia="Times New Roman" w:hAnsi="Times New Roman"/>
          <w:b/>
          <w:bCs/>
          <w:sz w:val="28"/>
          <w:szCs w:val="28"/>
        </w:rPr>
        <w:t xml:space="preserve"> проекту Закону України</w:t>
      </w:r>
    </w:p>
    <w:p w:rsidR="1BC94D18" w:rsidRPr="003803C8" w:rsidRDefault="1BC94D18" w:rsidP="1D69283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39050603"/>
      <w:r w:rsidRPr="003803C8">
        <w:rPr>
          <w:rFonts w:ascii="Times New Roman" w:eastAsia="Times New Roman" w:hAnsi="Times New Roman"/>
          <w:b/>
          <w:bCs/>
          <w:sz w:val="28"/>
          <w:szCs w:val="28"/>
        </w:rPr>
        <w:t xml:space="preserve">Про внесення змін до деяких законів України </w:t>
      </w:r>
      <w:r w:rsidR="00806138" w:rsidRPr="003803C8">
        <w:rPr>
          <w:rFonts w:ascii="Times New Roman" w:eastAsia="Times New Roman" w:hAnsi="Times New Roman"/>
          <w:b/>
          <w:bCs/>
          <w:sz w:val="28"/>
          <w:szCs w:val="28"/>
        </w:rPr>
        <w:t xml:space="preserve">(щодо врегулювання </w:t>
      </w:r>
      <w:proofErr w:type="spellStart"/>
      <w:r w:rsidR="00B041E7" w:rsidRPr="003803C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питання</w:t>
      </w:r>
      <w:proofErr w:type="spellEnd"/>
      <w:r w:rsidR="00806138" w:rsidRPr="003803C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06138" w:rsidRPr="003803C8">
        <w:rPr>
          <w:rFonts w:ascii="Times New Roman" w:eastAsia="Times New Roman" w:hAnsi="Times New Roman"/>
          <w:b/>
          <w:bCs/>
          <w:sz w:val="28"/>
          <w:szCs w:val="28"/>
        </w:rPr>
        <w:t>неплатежів</w:t>
      </w:r>
      <w:proofErr w:type="spellEnd"/>
      <w:r w:rsidR="00806138" w:rsidRPr="003803C8">
        <w:rPr>
          <w:rFonts w:ascii="Times New Roman" w:eastAsia="Times New Roman" w:hAnsi="Times New Roman"/>
          <w:b/>
          <w:bCs/>
          <w:sz w:val="28"/>
          <w:szCs w:val="28"/>
        </w:rPr>
        <w:t xml:space="preserve"> на ринку електричної енергії та сертифікації оператора системи передачі)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bookmarkEnd w:id="0"/>
    <w:p w:rsidR="1BC94D18" w:rsidRPr="003803C8" w:rsidRDefault="1BC94D18" w:rsidP="1D69283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b/>
          <w:bCs/>
          <w:sz w:val="28"/>
          <w:szCs w:val="28"/>
          <w:lang w:val="uk"/>
        </w:rPr>
        <w:t xml:space="preserve">1. Обґрунтування необхідності прийняття </w:t>
      </w:r>
      <w:r w:rsidR="00507223">
        <w:rPr>
          <w:rFonts w:ascii="Times New Roman" w:eastAsia="Times New Roman" w:hAnsi="Times New Roman"/>
          <w:b/>
          <w:bCs/>
          <w:sz w:val="28"/>
          <w:szCs w:val="28"/>
          <w:lang w:val="uk"/>
        </w:rPr>
        <w:t>акту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041E7" w:rsidRPr="003803C8" w:rsidRDefault="00B041E7" w:rsidP="00B041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803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Проект Закону України «Про внесення змін до деяких законів України (щодо врегулювання питання </w:t>
      </w:r>
      <w:proofErr w:type="spellStart"/>
      <w:r w:rsidRPr="003803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неплатежів</w:t>
      </w:r>
      <w:proofErr w:type="spellEnd"/>
      <w:r w:rsidRPr="003803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ринку електричної енергії та сертифікації оператора системи передачі)</w:t>
      </w:r>
      <w:r w:rsidRPr="00507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3803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(далі – проект Закону) розроблено як альтернативний до проекту Закону України «Про внесення змін до деяких законів України (щодо врегулювання кризи </w:t>
      </w:r>
      <w:proofErr w:type="spellStart"/>
      <w:r w:rsidRPr="003803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неплатежів</w:t>
      </w:r>
      <w:proofErr w:type="spellEnd"/>
      <w:r w:rsidRPr="003803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ринку електричної енергії та питання сертифікації оператора системи передачі), реєстр. №3364 від 21.04.2020.</w:t>
      </w:r>
    </w:p>
    <w:p w:rsidR="00D36D49" w:rsidRPr="003803C8" w:rsidRDefault="00D36D49" w:rsidP="006476B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Стаття 33 </w:t>
      </w:r>
      <w:r w:rsidR="00B041E7" w:rsidRPr="003803C8">
        <w:rPr>
          <w:rFonts w:ascii="Times New Roman" w:eastAsia="Times New Roman" w:hAnsi="Times New Roman"/>
          <w:sz w:val="28"/>
          <w:szCs w:val="28"/>
        </w:rPr>
        <w:t xml:space="preserve">Закон України «Про ринок електричної енергії» №2019-VIII (далі – Закон) 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визначає функції, права та обов’язки оператора системи передачі електричної енергії (далі – ОСП) на ринку електричної енергії, зокрема, щодо забезпечення недискримінаційного доступу до системи передачі, надання послуг з приєднання до системи передачі, розвитку системи передачі, здійснення диспетчерського (оперативно-технологічного) управління ОЕС України, забезпечення роботи балансуючого ринку, ринку допоміжних послуг тощо. </w:t>
      </w:r>
    </w:p>
    <w:p w:rsidR="00D36D49" w:rsidRPr="003803C8" w:rsidRDefault="00D36D49" w:rsidP="006476B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>Оператор системи передачі має бути рівновіддаленим від учасників ринку, не надавати переваг окремим учасникам ринку, у тому числі, в рамках вертикально інтегрованого суб’єкта господарювання, не мати власного інтересу в частині здійснення діяльності на ринку електричної енергії.</w:t>
      </w:r>
    </w:p>
    <w:p w:rsidR="00D36D49" w:rsidRPr="003803C8" w:rsidRDefault="00D36D49" w:rsidP="006476B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З цією метою Законом встановлюються вимоги щодо відокремлення ОСП, зокрема, відповідно до яких ОСП не є складовою частиною вертикально інтегрованого суб'єкта господарювання та здійснює господарську діяльність, що не залежить від діяльності з виробництва, розподілу, постачання електричної енергії та </w:t>
      </w:r>
      <w:proofErr w:type="spellStart"/>
      <w:r w:rsidRPr="003803C8">
        <w:rPr>
          <w:rFonts w:ascii="Times New Roman" w:eastAsia="Times New Roman" w:hAnsi="Times New Roman"/>
          <w:sz w:val="28"/>
          <w:szCs w:val="28"/>
        </w:rPr>
        <w:t>трейдерської</w:t>
      </w:r>
      <w:proofErr w:type="spellEnd"/>
      <w:r w:rsidRPr="003803C8">
        <w:rPr>
          <w:rFonts w:ascii="Times New Roman" w:eastAsia="Times New Roman" w:hAnsi="Times New Roman"/>
          <w:sz w:val="28"/>
          <w:szCs w:val="28"/>
        </w:rPr>
        <w:t xml:space="preserve"> діяльності.</w:t>
      </w:r>
    </w:p>
    <w:p w:rsidR="008722BE" w:rsidRPr="003803C8" w:rsidRDefault="00D36D49" w:rsidP="1D69283D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Згідно </w:t>
      </w:r>
      <w:r w:rsidR="008722BE" w:rsidRPr="003803C8">
        <w:rPr>
          <w:rFonts w:ascii="Times New Roman" w:eastAsia="Times New Roman" w:hAnsi="Times New Roman"/>
          <w:sz w:val="28"/>
          <w:szCs w:val="28"/>
        </w:rPr>
        <w:t xml:space="preserve">з частиною 3 статті 32, чинної редакції Закону ОСП може бути виключно власник системи передачі. </w:t>
      </w:r>
    </w:p>
    <w:p w:rsidR="00B041E7" w:rsidRPr="003803C8" w:rsidRDefault="00B041E7" w:rsidP="1D69283D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Статтею 34 Закону передбачена </w:t>
      </w:r>
      <w:proofErr w:type="spellStart"/>
      <w:r w:rsidRPr="003803C8">
        <w:rPr>
          <w:rFonts w:ascii="Times New Roman" w:eastAsia="Times New Roman" w:hAnsi="Times New Roman"/>
          <w:sz w:val="28"/>
          <w:szCs w:val="28"/>
        </w:rPr>
        <w:t>обов</w:t>
      </w:r>
      <w:proofErr w:type="spellEnd"/>
      <w:r w:rsidRPr="003803C8">
        <w:rPr>
          <w:rFonts w:ascii="Times New Roman" w:eastAsia="Times New Roman" w:hAnsi="Times New Roman"/>
          <w:sz w:val="28"/>
          <w:szCs w:val="28"/>
          <w:lang w:val="ru-RU"/>
        </w:rPr>
        <w:t>’</w:t>
      </w:r>
      <w:proofErr w:type="spellStart"/>
      <w:r w:rsidRPr="003803C8">
        <w:rPr>
          <w:rFonts w:ascii="Times New Roman" w:eastAsia="Times New Roman" w:hAnsi="Times New Roman"/>
          <w:sz w:val="28"/>
          <w:szCs w:val="28"/>
        </w:rPr>
        <w:t>язкова</w:t>
      </w:r>
      <w:proofErr w:type="spellEnd"/>
      <w:r w:rsidRPr="003803C8">
        <w:rPr>
          <w:rFonts w:ascii="Times New Roman" w:eastAsia="Times New Roman" w:hAnsi="Times New Roman"/>
          <w:sz w:val="28"/>
          <w:szCs w:val="28"/>
        </w:rPr>
        <w:t xml:space="preserve"> сертифікація оператора системи передачі.</w:t>
      </w:r>
    </w:p>
    <w:p w:rsidR="008722BE" w:rsidRPr="003803C8" w:rsidRDefault="00B041E7" w:rsidP="006476B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Відповідно до </w:t>
      </w:r>
      <w:r w:rsidR="008722BE" w:rsidRPr="003803C8">
        <w:rPr>
          <w:rFonts w:ascii="Times New Roman" w:eastAsia="Times New Roman" w:hAnsi="Times New Roman"/>
          <w:sz w:val="28"/>
          <w:szCs w:val="28"/>
        </w:rPr>
        <w:t>висновк</w:t>
      </w:r>
      <w:r w:rsidRPr="003803C8">
        <w:rPr>
          <w:rFonts w:ascii="Times New Roman" w:eastAsia="Times New Roman" w:hAnsi="Times New Roman"/>
          <w:sz w:val="28"/>
          <w:szCs w:val="28"/>
        </w:rPr>
        <w:t>у</w:t>
      </w:r>
      <w:r w:rsidR="008722BE" w:rsidRPr="003803C8">
        <w:rPr>
          <w:rFonts w:ascii="Times New Roman" w:eastAsia="Times New Roman" w:hAnsi="Times New Roman"/>
          <w:sz w:val="28"/>
          <w:szCs w:val="28"/>
        </w:rPr>
        <w:t xml:space="preserve"> Секретаріату Енергетичного Співтовариства № 1/20, НЕК «Укренерго» не може бути сертифіковане за моделлю відокремлення власності (OU), враховуючи специфіку українського законодавства.</w:t>
      </w:r>
    </w:p>
    <w:p w:rsidR="00D36D49" w:rsidRPr="003803C8" w:rsidRDefault="008722BE" w:rsidP="1D69283D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Разом з цим, висновок Секретаріату містив пропозиції щодо опрацювання питання внесення змін до Закону, в частині </w:t>
      </w:r>
      <w:r w:rsidR="00776128" w:rsidRPr="003803C8">
        <w:rPr>
          <w:rFonts w:ascii="Times New Roman" w:eastAsia="Times New Roman" w:hAnsi="Times New Roman"/>
          <w:sz w:val="28"/>
          <w:szCs w:val="28"/>
        </w:rPr>
        <w:t xml:space="preserve">запровадження моделі відокремлення </w:t>
      </w:r>
      <w:r w:rsidR="00776128" w:rsidRPr="003803C8">
        <w:rPr>
          <w:rFonts w:ascii="Times New Roman" w:eastAsia="Times New Roman" w:hAnsi="Times New Roman"/>
          <w:sz w:val="28"/>
          <w:szCs w:val="28"/>
          <w:lang w:val="en-US"/>
        </w:rPr>
        <w:t>ISO</w:t>
      </w:r>
      <w:r w:rsidR="00776128" w:rsidRPr="003803C8">
        <w:rPr>
          <w:rFonts w:ascii="Times New Roman" w:eastAsia="Times New Roman" w:hAnsi="Times New Roman"/>
          <w:sz w:val="28"/>
          <w:szCs w:val="28"/>
          <w:lang w:val="ru-RU"/>
        </w:rPr>
        <w:t xml:space="preserve"> для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  <w:r w:rsidR="00776128" w:rsidRPr="003803C8">
        <w:rPr>
          <w:rFonts w:ascii="Times New Roman" w:eastAsia="Times New Roman" w:hAnsi="Times New Roman"/>
          <w:sz w:val="28"/>
          <w:szCs w:val="28"/>
          <w:lang w:val="ru-RU"/>
        </w:rPr>
        <w:t xml:space="preserve">оператора </w:t>
      </w:r>
      <w:r w:rsidR="00776128" w:rsidRPr="003803C8">
        <w:rPr>
          <w:rFonts w:ascii="Times New Roman" w:eastAsia="Times New Roman" w:hAnsi="Times New Roman"/>
          <w:sz w:val="28"/>
          <w:szCs w:val="28"/>
        </w:rPr>
        <w:t>системи в електроенергетиці.</w:t>
      </w:r>
    </w:p>
    <w:p w:rsidR="00776128" w:rsidRPr="003803C8" w:rsidRDefault="00776128" w:rsidP="1D69283D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>Зважаючи на вимоги національного законодавства</w:t>
      </w:r>
      <w:r w:rsidR="003B10AD" w:rsidRPr="003803C8">
        <w:rPr>
          <w:rFonts w:ascii="Times New Roman" w:eastAsia="Times New Roman" w:hAnsi="Times New Roman"/>
          <w:sz w:val="28"/>
          <w:szCs w:val="28"/>
        </w:rPr>
        <w:t>, Директиви 2009/72/ЄС, а також пропозиції Секретаріату згідно з отриманим висновком №1/20 розроблено проект Закону України «</w:t>
      </w:r>
      <w:r w:rsidR="00B041E7" w:rsidRPr="003803C8">
        <w:rPr>
          <w:rFonts w:ascii="Times New Roman" w:eastAsia="Times New Roman" w:hAnsi="Times New Roman"/>
          <w:sz w:val="28"/>
          <w:szCs w:val="28"/>
        </w:rPr>
        <w:t xml:space="preserve">Про внесення змін до деяких законів України (щодо врегулювання питання </w:t>
      </w:r>
      <w:proofErr w:type="spellStart"/>
      <w:r w:rsidR="00B041E7" w:rsidRPr="003803C8">
        <w:rPr>
          <w:rFonts w:ascii="Times New Roman" w:eastAsia="Times New Roman" w:hAnsi="Times New Roman"/>
          <w:sz w:val="28"/>
          <w:szCs w:val="28"/>
        </w:rPr>
        <w:t>неплатежів</w:t>
      </w:r>
      <w:proofErr w:type="spellEnd"/>
      <w:r w:rsidR="00B041E7" w:rsidRPr="003803C8">
        <w:rPr>
          <w:rFonts w:ascii="Times New Roman" w:eastAsia="Times New Roman" w:hAnsi="Times New Roman"/>
          <w:sz w:val="28"/>
          <w:szCs w:val="28"/>
        </w:rPr>
        <w:t xml:space="preserve"> на ринку електричної енергії та сертифікації оператора системи передачі)</w:t>
      </w:r>
      <w:r w:rsidR="003B10AD" w:rsidRPr="003803C8">
        <w:rPr>
          <w:rFonts w:ascii="Times New Roman" w:eastAsia="Times New Roman" w:hAnsi="Times New Roman"/>
          <w:sz w:val="28"/>
          <w:szCs w:val="28"/>
        </w:rPr>
        <w:t>» (далі – проект Закону).</w:t>
      </w:r>
    </w:p>
    <w:p w:rsidR="008E347B" w:rsidRPr="003803C8" w:rsidRDefault="008E347B" w:rsidP="008E347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"/>
        </w:rPr>
      </w:pPr>
      <w:r w:rsidRPr="003803C8">
        <w:rPr>
          <w:rFonts w:ascii="Times New Roman" w:eastAsia="Times New Roman" w:hAnsi="Times New Roman"/>
          <w:sz w:val="28"/>
          <w:szCs w:val="28"/>
        </w:rPr>
        <w:lastRenderedPageBreak/>
        <w:t>Даний проект Закону за своєю суттю є доопрацьованою версією з</w:t>
      </w:r>
      <w:proofErr w:type="spellStart"/>
      <w:r w:rsidR="00B041E7" w:rsidRPr="003803C8">
        <w:rPr>
          <w:rFonts w:ascii="Times New Roman" w:eastAsia="Times New Roman" w:hAnsi="Times New Roman"/>
          <w:sz w:val="28"/>
          <w:szCs w:val="28"/>
          <w:lang w:val="uk"/>
        </w:rPr>
        <w:t>аконопроект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>у</w:t>
      </w:r>
      <w:proofErr w:type="spellEnd"/>
      <w:r w:rsidR="00B041E7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реєстр. № 3364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>.</w:t>
      </w:r>
    </w:p>
    <w:p w:rsidR="00B041E7" w:rsidRPr="003803C8" w:rsidRDefault="008E347B" w:rsidP="008E347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Д</w:t>
      </w:r>
      <w:r w:rsidR="00B041E7" w:rsidRPr="003803C8">
        <w:rPr>
          <w:rFonts w:ascii="Times New Roman" w:eastAsia="Times New Roman" w:hAnsi="Times New Roman"/>
          <w:sz w:val="28"/>
          <w:szCs w:val="28"/>
          <w:lang w:val="uk"/>
        </w:rPr>
        <w:t>аний проект Закону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у відповідності до Директиви 2009/72/ЄС чітко визначає, що мається на увазі під</w:t>
      </w:r>
      <w:r w:rsidR="00B041E7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>терміном «модель відокремлення ISO», який використовується в тексті законопроекту, що відсутнє в законопроекті реєстр. № 3364.</w:t>
      </w:r>
    </w:p>
    <w:p w:rsidR="008E347B" w:rsidRPr="003803C8" w:rsidRDefault="008E347B" w:rsidP="008E347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На відміну від </w:t>
      </w:r>
      <w:r w:rsidR="00E724BA" w:rsidRPr="003803C8">
        <w:rPr>
          <w:rFonts w:ascii="Times New Roman" w:eastAsia="Times New Roman" w:hAnsi="Times New Roman"/>
          <w:sz w:val="28"/>
          <w:szCs w:val="28"/>
          <w:lang w:val="uk"/>
        </w:rPr>
        <w:t>законопроекту реєстр. № 3364 даний проект Закону додатково визначає повноваження органів виконавчої влади після остаточної сертифікації оператора системи передачі.</w:t>
      </w:r>
    </w:p>
    <w:p w:rsidR="008E347B" w:rsidRPr="003803C8" w:rsidRDefault="00E724BA" w:rsidP="008E347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Проектом Закону у відповідності до вимог законодавства визначено </w:t>
      </w:r>
      <w:proofErr w:type="spellStart"/>
      <w:r w:rsidR="00BD5EE7" w:rsidRPr="003803C8">
        <w:rPr>
          <w:rFonts w:ascii="Times New Roman" w:eastAsia="Times New Roman" w:hAnsi="Times New Roman"/>
          <w:sz w:val="28"/>
          <w:szCs w:val="28"/>
          <w:lang w:val="uk"/>
        </w:rPr>
        <w:t>суб</w:t>
      </w:r>
      <w:proofErr w:type="spellEnd"/>
      <w:r w:rsidR="00E36FB3" w:rsidRPr="003803C8">
        <w:rPr>
          <w:rFonts w:ascii="Times New Roman" w:eastAsia="Times New Roman" w:hAnsi="Times New Roman"/>
          <w:sz w:val="28"/>
          <w:szCs w:val="28"/>
          <w:lang w:val="ru-RU"/>
        </w:rPr>
        <w:t>’</w:t>
      </w:r>
      <w:r w:rsidR="00BD5EE7" w:rsidRPr="003803C8">
        <w:rPr>
          <w:rFonts w:ascii="Times New Roman" w:eastAsia="Times New Roman" w:hAnsi="Times New Roman"/>
          <w:sz w:val="28"/>
          <w:szCs w:val="28"/>
        </w:rPr>
        <w:t>є</w:t>
      </w:r>
      <w:proofErr w:type="spellStart"/>
      <w:r w:rsidR="00BD5EE7" w:rsidRPr="003803C8">
        <w:rPr>
          <w:rFonts w:ascii="Times New Roman" w:eastAsia="Times New Roman" w:hAnsi="Times New Roman"/>
          <w:sz w:val="28"/>
          <w:szCs w:val="28"/>
          <w:lang w:val="ru-RU"/>
        </w:rPr>
        <w:t>кта</w:t>
      </w:r>
      <w:proofErr w:type="spellEnd"/>
      <w:r w:rsidR="00BD5EE7" w:rsidRPr="003803C8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="00E36FB3" w:rsidRPr="003803C8">
        <w:rPr>
          <w:rFonts w:ascii="Times New Roman" w:eastAsia="Times New Roman" w:hAnsi="Times New Roman"/>
          <w:sz w:val="28"/>
          <w:szCs w:val="28"/>
          <w:lang w:val="ru-RU"/>
        </w:rPr>
        <w:t>який</w:t>
      </w:r>
      <w:proofErr w:type="spellEnd"/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може бути оператором системи передачі. При цьому зазначені положення викладені по аналогії з тим, як це питання врегульоване на ринку природного газу. Зазначене надає право НЕК Укренерго в більш стислі строки подати запит на сертифікацію.</w:t>
      </w:r>
    </w:p>
    <w:p w:rsidR="00BD5EE7" w:rsidRPr="003803C8" w:rsidRDefault="00BD5EE7" w:rsidP="008E347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Проектом Закону більш чітко визначені повноваження власника системи передачі, виходячи з того, що таким власником є держава в особі відповідного міністерства.</w:t>
      </w:r>
    </w:p>
    <w:p w:rsidR="00BD5EE7" w:rsidRPr="003803C8" w:rsidRDefault="00BD5EE7" w:rsidP="008E347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Проектом Закону приведено положення щодо програми відповідності та уповноваженої особи з питань відповідності оператора системи передачі у відповідність до норм, </w:t>
      </w:r>
      <w:r w:rsidR="00D14D6C" w:rsidRPr="003803C8">
        <w:rPr>
          <w:rFonts w:ascii="Times New Roman" w:eastAsia="Times New Roman" w:hAnsi="Times New Roman"/>
          <w:sz w:val="28"/>
          <w:szCs w:val="28"/>
          <w:lang w:val="uk"/>
        </w:rPr>
        <w:t>які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регулюють схожі положення відносно операторів системи розподілу, що спрямовано на </w:t>
      </w:r>
      <w:r w:rsidR="00D14D6C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врахування особливостей ринку електричної енергії та 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>уніфіка</w:t>
      </w:r>
      <w:r w:rsidR="00D14D6C" w:rsidRPr="003803C8">
        <w:rPr>
          <w:rFonts w:ascii="Times New Roman" w:eastAsia="Times New Roman" w:hAnsi="Times New Roman"/>
          <w:sz w:val="28"/>
          <w:szCs w:val="28"/>
          <w:lang w:val="uk"/>
        </w:rPr>
        <w:t>ц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>ію законодавства в цьому питанні.</w:t>
      </w:r>
    </w:p>
    <w:p w:rsidR="006476BB" w:rsidRPr="003803C8" w:rsidRDefault="006476BB" w:rsidP="006476B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>Зважаючи на викладене прийняття зазначеного проекту Закону дозволить зміцнити рівень безпеки постачання в електроенергетиці України шляхом створення передумов:</w:t>
      </w:r>
    </w:p>
    <w:p w:rsidR="006476BB" w:rsidRPr="003803C8" w:rsidRDefault="006476BB" w:rsidP="006476BB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>для набуття повноправного членства ОСП в об’єднанні європейських операторів систем передачі ENTSO-e</w:t>
      </w:r>
      <w:r w:rsidR="00824BFD" w:rsidRPr="003803C8">
        <w:rPr>
          <w:rFonts w:ascii="Times New Roman" w:eastAsia="Times New Roman" w:hAnsi="Times New Roman"/>
          <w:sz w:val="28"/>
          <w:szCs w:val="28"/>
        </w:rPr>
        <w:t xml:space="preserve"> та отримання доступу до спільних механізмів фінансування проектів будівництва міждержавних з’єднань, спрямованих на синхронізацію О</w:t>
      </w:r>
      <w:r w:rsidR="006A58D2" w:rsidRPr="003803C8">
        <w:rPr>
          <w:rFonts w:ascii="Times New Roman" w:eastAsia="Times New Roman" w:hAnsi="Times New Roman"/>
          <w:sz w:val="28"/>
          <w:szCs w:val="28"/>
        </w:rPr>
        <w:t>Е</w:t>
      </w:r>
      <w:r w:rsidR="00824BFD" w:rsidRPr="003803C8">
        <w:rPr>
          <w:rFonts w:ascii="Times New Roman" w:eastAsia="Times New Roman" w:hAnsi="Times New Roman"/>
          <w:sz w:val="28"/>
          <w:szCs w:val="28"/>
        </w:rPr>
        <w:t>С України з об’єднанням ENTSO-e</w:t>
      </w:r>
      <w:r w:rsidRPr="003803C8">
        <w:rPr>
          <w:rFonts w:ascii="Times New Roman" w:eastAsia="Times New Roman" w:hAnsi="Times New Roman"/>
          <w:sz w:val="28"/>
          <w:szCs w:val="28"/>
        </w:rPr>
        <w:t>;</w:t>
      </w:r>
    </w:p>
    <w:p w:rsidR="00824BFD" w:rsidRPr="003803C8" w:rsidRDefault="006476BB" w:rsidP="00824BFD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>приєднання до спільного механізму</w:t>
      </w:r>
      <w:r w:rsidR="00824BFD" w:rsidRPr="003803C8">
        <w:rPr>
          <w:rFonts w:ascii="Times New Roman" w:eastAsia="Times New Roman" w:hAnsi="Times New Roman"/>
          <w:sz w:val="28"/>
          <w:szCs w:val="28"/>
        </w:rPr>
        <w:t xml:space="preserve"> компенсації витрат, що виникають при транскордонній передачі електроенергії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  <w:r w:rsidR="00824BFD" w:rsidRPr="003803C8">
        <w:rPr>
          <w:rFonts w:ascii="Times New Roman" w:eastAsia="Times New Roman" w:hAnsi="Times New Roman"/>
          <w:sz w:val="28"/>
          <w:szCs w:val="28"/>
        </w:rPr>
        <w:t>(ITC механізму (</w:t>
      </w:r>
      <w:proofErr w:type="spellStart"/>
      <w:r w:rsidR="00824BFD" w:rsidRPr="003803C8">
        <w:rPr>
          <w:rFonts w:ascii="Times New Roman" w:eastAsia="Times New Roman" w:hAnsi="Times New Roman"/>
          <w:sz w:val="28"/>
          <w:szCs w:val="28"/>
        </w:rPr>
        <w:t>Inter-Transmission</w:t>
      </w:r>
      <w:proofErr w:type="spellEnd"/>
      <w:r w:rsidR="00824BFD" w:rsidRPr="003803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24BFD" w:rsidRPr="003803C8">
        <w:rPr>
          <w:rFonts w:ascii="Times New Roman" w:eastAsia="Times New Roman" w:hAnsi="Times New Roman"/>
          <w:sz w:val="28"/>
          <w:szCs w:val="28"/>
        </w:rPr>
        <w:t>System</w:t>
      </w:r>
      <w:proofErr w:type="spellEnd"/>
      <w:r w:rsidR="00824BFD" w:rsidRPr="003803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24BFD" w:rsidRPr="003803C8">
        <w:rPr>
          <w:rFonts w:ascii="Times New Roman" w:eastAsia="Times New Roman" w:hAnsi="Times New Roman"/>
          <w:sz w:val="28"/>
          <w:szCs w:val="28"/>
        </w:rPr>
        <w:t>Operator</w:t>
      </w:r>
      <w:proofErr w:type="spellEnd"/>
      <w:r w:rsidR="00824BFD" w:rsidRPr="003803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24BFD" w:rsidRPr="003803C8">
        <w:rPr>
          <w:rFonts w:ascii="Times New Roman" w:eastAsia="Times New Roman" w:hAnsi="Times New Roman"/>
          <w:sz w:val="28"/>
          <w:szCs w:val="28"/>
        </w:rPr>
        <w:t>Compensation</w:t>
      </w:r>
      <w:proofErr w:type="spellEnd"/>
      <w:r w:rsidR="00824BFD" w:rsidRPr="003803C8">
        <w:rPr>
          <w:rFonts w:ascii="Times New Roman" w:eastAsia="Times New Roman" w:hAnsi="Times New Roman"/>
          <w:sz w:val="28"/>
          <w:szCs w:val="28"/>
        </w:rPr>
        <w:t>), відповідно до вимог Регламенту ЄС 838/2010 «Про встановлення настанов, що стосуються механізму компенсації операторів систем передачі електроенергії та загального нормативного підходу до плати за передачу електроенергії»;</w:t>
      </w:r>
    </w:p>
    <w:p w:rsidR="008C0642" w:rsidRPr="003803C8" w:rsidRDefault="006A58D2" w:rsidP="00824BFD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виконання Україною міжнародних зобов’язань, зокрема, зобов’язань щодо сертифікації Оператора системи передачі згідно із </w:t>
      </w:r>
      <w:r w:rsidR="00847199" w:rsidRPr="003803C8">
        <w:rPr>
          <w:rFonts w:ascii="Times New Roman" w:eastAsia="Times New Roman" w:hAnsi="Times New Roman"/>
          <w:sz w:val="28"/>
          <w:szCs w:val="28"/>
        </w:rPr>
        <w:t xml:space="preserve">положеннями </w:t>
      </w:r>
      <w:r w:rsidR="00847199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Меморандуму 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>про взаєморозуміння між Європейським Союзом, як кредитором, та Україною, як позичальником, від 14 вересня 2018 року.</w:t>
      </w:r>
    </w:p>
    <w:p w:rsidR="00D14D6C" w:rsidRPr="003803C8" w:rsidRDefault="00D14D6C" w:rsidP="1D69283D">
      <w:pPr>
        <w:spacing w:after="0"/>
        <w:ind w:firstLine="705"/>
        <w:jc w:val="both"/>
        <w:rPr>
          <w:rFonts w:ascii="Times New Roman" w:eastAsia="Times New Roman" w:hAnsi="Times New Roman"/>
          <w:b/>
          <w:bCs/>
          <w:sz w:val="28"/>
          <w:szCs w:val="28"/>
          <w:lang w:val="uk"/>
        </w:rPr>
      </w:pP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b/>
          <w:bCs/>
          <w:sz w:val="28"/>
          <w:szCs w:val="28"/>
          <w:lang w:val="uk"/>
        </w:rPr>
        <w:t>2. Мета і шляхи її досягнення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002D4A0B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hyperlink r:id="rId7">
        <w:r w:rsidR="1BC94D18" w:rsidRPr="003803C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"/>
          </w:rPr>
          <w:t>Законопроект</w:t>
        </w:r>
      </w:hyperlink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 розроблено з метою здійснення сертифікації оператора системи передачі електричної енергії у відповідності з вимогами Третього </w:t>
      </w:r>
      <w:proofErr w:type="spellStart"/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>енергопакету</w:t>
      </w:r>
      <w:proofErr w:type="spellEnd"/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ЄС.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Основним завданням законопроекту є законодавче </w:t>
      </w:r>
      <w:r w:rsidR="006A58D2" w:rsidRPr="003803C8">
        <w:rPr>
          <w:rFonts w:ascii="Times New Roman" w:eastAsia="Times New Roman" w:hAnsi="Times New Roman"/>
          <w:sz w:val="28"/>
          <w:szCs w:val="28"/>
          <w:lang w:val="uk"/>
        </w:rPr>
        <w:t>врегулювання питання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сертифікації оператора системи передачі електричної енергії за моделлю 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lastRenderedPageBreak/>
        <w:t>відокремлення ISO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, яка передбачає, що оператор системи користується </w:t>
      </w:r>
      <w:r w:rsidR="006A58D2" w:rsidRPr="003803C8">
        <w:rPr>
          <w:rFonts w:ascii="Times New Roman" w:eastAsia="Times New Roman" w:hAnsi="Times New Roman"/>
          <w:sz w:val="28"/>
          <w:szCs w:val="28"/>
        </w:rPr>
        <w:t>майном, яке забезпечує цілісність об’єднаної енергетичної системи України та диспетчерське (оперативно-технологічне) управління, магістральні та міждержавні електричні мережі праві господарського відання</w:t>
      </w:r>
      <w:r w:rsidRPr="003803C8">
        <w:rPr>
          <w:rFonts w:ascii="Times New Roman" w:eastAsia="Times New Roman" w:hAnsi="Times New Roman"/>
          <w:sz w:val="28"/>
          <w:szCs w:val="28"/>
        </w:rPr>
        <w:t>, при цьому</w:t>
      </w:r>
      <w:r w:rsidR="00847199" w:rsidRPr="003803C8">
        <w:rPr>
          <w:rFonts w:ascii="Times New Roman" w:eastAsia="Times New Roman" w:hAnsi="Times New Roman"/>
          <w:sz w:val="28"/>
          <w:szCs w:val="28"/>
        </w:rPr>
        <w:t>,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  <w:r w:rsidR="006A58D2" w:rsidRPr="003803C8">
        <w:rPr>
          <w:rFonts w:ascii="Times New Roman" w:eastAsia="Times New Roman" w:hAnsi="Times New Roman"/>
          <w:sz w:val="28"/>
          <w:szCs w:val="28"/>
        </w:rPr>
        <w:t xml:space="preserve">зазначене майно 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залишається у </w:t>
      </w:r>
      <w:r w:rsidR="00847199" w:rsidRPr="003803C8">
        <w:rPr>
          <w:rFonts w:ascii="Times New Roman" w:eastAsia="Times New Roman" w:hAnsi="Times New Roman"/>
          <w:sz w:val="28"/>
          <w:szCs w:val="28"/>
        </w:rPr>
        <w:t xml:space="preserve">власності </w:t>
      </w:r>
      <w:r w:rsidRPr="003803C8">
        <w:rPr>
          <w:rFonts w:ascii="Times New Roman" w:eastAsia="Times New Roman" w:hAnsi="Times New Roman"/>
          <w:sz w:val="28"/>
          <w:szCs w:val="28"/>
        </w:rPr>
        <w:t>держави</w:t>
      </w:r>
      <w:r w:rsidR="00EC593B" w:rsidRPr="003803C8">
        <w:rPr>
          <w:rFonts w:ascii="Times New Roman" w:eastAsia="Times New Roman" w:hAnsi="Times New Roman"/>
          <w:sz w:val="28"/>
          <w:szCs w:val="28"/>
        </w:rPr>
        <w:t xml:space="preserve"> та </w:t>
      </w:r>
      <w:r w:rsidR="00EC593B" w:rsidRPr="003803C8">
        <w:rPr>
          <w:rFonts w:ascii="Times New Roman" w:eastAsia="Times New Roman" w:hAnsi="Times New Roman"/>
          <w:bCs/>
          <w:sz w:val="28"/>
          <w:szCs w:val="28"/>
        </w:rPr>
        <w:t xml:space="preserve">врегулювання кризи </w:t>
      </w:r>
      <w:proofErr w:type="spellStart"/>
      <w:r w:rsidR="00EC593B" w:rsidRPr="003803C8">
        <w:rPr>
          <w:rFonts w:ascii="Times New Roman" w:eastAsia="Times New Roman" w:hAnsi="Times New Roman"/>
          <w:bCs/>
          <w:sz w:val="28"/>
          <w:szCs w:val="28"/>
        </w:rPr>
        <w:t>неплатежів</w:t>
      </w:r>
      <w:proofErr w:type="spellEnd"/>
      <w:r w:rsidR="00EC593B" w:rsidRPr="003803C8">
        <w:rPr>
          <w:rFonts w:ascii="Times New Roman" w:eastAsia="Times New Roman" w:hAnsi="Times New Roman"/>
          <w:bCs/>
          <w:sz w:val="28"/>
          <w:szCs w:val="28"/>
        </w:rPr>
        <w:t xml:space="preserve"> на ринку електричної енергії</w:t>
      </w:r>
      <w:r w:rsidRPr="003803C8">
        <w:rPr>
          <w:rFonts w:ascii="Times New Roman" w:eastAsia="Times New Roman" w:hAnsi="Times New Roman"/>
          <w:sz w:val="28"/>
          <w:szCs w:val="28"/>
        </w:rPr>
        <w:t>.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b/>
          <w:bCs/>
          <w:sz w:val="28"/>
          <w:szCs w:val="28"/>
          <w:lang w:val="uk"/>
        </w:rPr>
        <w:t>3. Загальна характеристика та основні положення законопроекту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Поданим проектом 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вносяться зміни і доповнення: </w:t>
      </w:r>
    </w:p>
    <w:p w:rsidR="1BC94D18" w:rsidRPr="003803C8" w:rsidRDefault="00CA2C86" w:rsidP="00CA2C86">
      <w:pPr>
        <w:pStyle w:val="a4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1. 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до 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Закону України «Про ринок електричної енергії», якими визначаються: </w:t>
      </w:r>
    </w:p>
    <w:p w:rsidR="00D14D6C" w:rsidRPr="003803C8" w:rsidRDefault="00CA2C86" w:rsidP="00CA2C86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- </w:t>
      </w:r>
      <w:r w:rsidR="00D14D6C" w:rsidRPr="003803C8">
        <w:rPr>
          <w:rFonts w:ascii="Times New Roman" w:eastAsia="Times New Roman" w:hAnsi="Times New Roman"/>
          <w:sz w:val="28"/>
          <w:szCs w:val="28"/>
        </w:rPr>
        <w:t>особливості моделі відокремлення ISO</w:t>
      </w:r>
    </w:p>
    <w:p w:rsidR="1BC94D18" w:rsidRPr="003803C8" w:rsidRDefault="00CA2C86" w:rsidP="00CA2C8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- 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особливі </w:t>
      </w:r>
      <w:proofErr w:type="spellStart"/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>вимо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>ги</w:t>
      </w:r>
      <w:proofErr w:type="spellEnd"/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 про відокремлення і незалежність оператора системи передачі за моделлю відокремлення ISO; </w:t>
      </w:r>
    </w:p>
    <w:p w:rsidR="1BC94D18" w:rsidRPr="003803C8" w:rsidRDefault="00CA2C86" w:rsidP="00CA2C86">
      <w:pPr>
        <w:spacing w:after="0"/>
        <w:jc w:val="both"/>
        <w:rPr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- о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бов’язки Регулятора, 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>оператора системи передачі та власника системи передачі відповідно до моделі відокремлення ISO;</w:t>
      </w:r>
    </w:p>
    <w:p w:rsidR="1BC94D18" w:rsidRPr="003803C8" w:rsidRDefault="00CA2C86" w:rsidP="00CA2C86">
      <w:pPr>
        <w:spacing w:after="0"/>
        <w:jc w:val="both"/>
        <w:rPr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- </w:t>
      </w:r>
      <w:r w:rsidR="00D14D6C" w:rsidRPr="003803C8">
        <w:rPr>
          <w:rFonts w:ascii="Times New Roman" w:eastAsia="Times New Roman" w:hAnsi="Times New Roman"/>
          <w:sz w:val="28"/>
          <w:szCs w:val="28"/>
        </w:rPr>
        <w:t>ви</w:t>
      </w:r>
      <w:proofErr w:type="spellStart"/>
      <w:r w:rsidR="00D14D6C" w:rsidRPr="003803C8">
        <w:rPr>
          <w:rFonts w:ascii="Times New Roman" w:eastAsia="Times New Roman" w:hAnsi="Times New Roman"/>
          <w:sz w:val="28"/>
          <w:szCs w:val="28"/>
          <w:lang w:val="uk"/>
        </w:rPr>
        <w:t>моги</w:t>
      </w:r>
      <w:proofErr w:type="spellEnd"/>
      <w:r w:rsidR="00D14D6C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до власника системи передачі за моделлю відокремлення ISO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 та зобов’язання</w:t>
      </w:r>
      <w:r w:rsidR="1BC94D18" w:rsidRPr="003803C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ОСП в частині розроблення і запровадження програми відповідності.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Д</w:t>
      </w:r>
      <w:r w:rsidRPr="003803C8">
        <w:rPr>
          <w:rFonts w:ascii="Times New Roman" w:eastAsia="Times New Roman" w:hAnsi="Times New Roman"/>
          <w:sz w:val="28"/>
          <w:szCs w:val="28"/>
        </w:rPr>
        <w:t>ля забезпечення незалежності ОСП законопроектом пропонується:</w:t>
      </w:r>
    </w:p>
    <w:p w:rsidR="1BC94D18" w:rsidRPr="003803C8" w:rsidRDefault="00CA2C86" w:rsidP="00CA2C8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- </w:t>
      </w:r>
      <w:r w:rsidR="00D14D6C" w:rsidRPr="003803C8">
        <w:rPr>
          <w:rFonts w:ascii="Times New Roman" w:eastAsia="Times New Roman" w:hAnsi="Times New Roman"/>
          <w:sz w:val="28"/>
          <w:szCs w:val="28"/>
        </w:rPr>
        <w:t xml:space="preserve">після остаточної сертифікації 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виключити з повноважень 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центрального органу виконавчої влади, що забезпечує формування та реалізацію державної політики в електроенергетичному комплексі, право </w:t>
      </w:r>
      <w:r w:rsidR="00D14D6C" w:rsidRPr="003803C8">
        <w:rPr>
          <w:rFonts w:ascii="Times New Roman" w:eastAsia="Times New Roman" w:hAnsi="Times New Roman"/>
          <w:sz w:val="28"/>
          <w:szCs w:val="28"/>
        </w:rPr>
        <w:t>погодження інвестиційних програм оператора системи передачі та операторів систем розподілу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, а з повноважень центрального органу виконавчої влади, що реалізує державну політику у сфері нагляду (контролю) в галузі електроенергетики, - </w:t>
      </w:r>
      <w:r w:rsidR="00D14D6C" w:rsidRPr="003803C8">
        <w:rPr>
          <w:rFonts w:ascii="Times New Roman" w:eastAsia="Times New Roman" w:hAnsi="Times New Roman"/>
          <w:sz w:val="28"/>
          <w:szCs w:val="28"/>
        </w:rPr>
        <w:t>надання центральному органу виконавчої влади, що забезпечує формування та реалізацію державної політики в електроенергетичному комплексі, висновку щодо пріоритетності технічних рішень для розвитку системи передачі та систем розподілу, передбачених проектами інвестиційних програм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>;</w:t>
      </w:r>
    </w:p>
    <w:p w:rsidR="1BC94D18" w:rsidRPr="003803C8" w:rsidRDefault="00CA2C86" w:rsidP="00CA2C8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- </w:t>
      </w:r>
      <w:r w:rsidR="00D14D6C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чітко 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>визначити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</w:t>
      </w:r>
      <w:r w:rsidR="00D14D6C" w:rsidRPr="003803C8">
        <w:rPr>
          <w:rFonts w:ascii="Times New Roman" w:eastAsia="Times New Roman" w:hAnsi="Times New Roman"/>
          <w:sz w:val="28"/>
          <w:szCs w:val="28"/>
          <w:lang w:val="uk"/>
        </w:rPr>
        <w:t>повноваження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власника системи передачі </w:t>
      </w:r>
      <w:r w:rsidR="00D14D6C" w:rsidRPr="003803C8">
        <w:rPr>
          <w:rFonts w:ascii="Times New Roman" w:eastAsia="Times New Roman" w:hAnsi="Times New Roman"/>
          <w:sz w:val="28"/>
          <w:szCs w:val="28"/>
          <w:lang w:val="uk"/>
        </w:rPr>
        <w:t>щодо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відокремлення і незалежн</w:t>
      </w:r>
      <w:r w:rsidR="00D14D6C" w:rsidRPr="003803C8">
        <w:rPr>
          <w:rFonts w:ascii="Times New Roman" w:eastAsia="Times New Roman" w:hAnsi="Times New Roman"/>
          <w:sz w:val="28"/>
          <w:szCs w:val="28"/>
          <w:lang w:val="uk"/>
        </w:rPr>
        <w:t>ості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 оператора системи передачі, передбачених Законом;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1A14" w:rsidRPr="003803C8" w:rsidRDefault="00E11A14" w:rsidP="00CA2C86">
      <w:pPr>
        <w:spacing w:after="0"/>
        <w:jc w:val="both"/>
        <w:rPr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- </w:t>
      </w:r>
      <w:r w:rsidR="006A2E93" w:rsidRPr="003803C8">
        <w:rPr>
          <w:rFonts w:ascii="Times New Roman" w:eastAsia="Times New Roman" w:hAnsi="Times New Roman"/>
          <w:sz w:val="28"/>
          <w:szCs w:val="28"/>
        </w:rPr>
        <w:t>упорядкувати повноваження центральних органів виконавчої влади по відношенню до ОСП після проведення його остаточної сертифікації;</w:t>
      </w:r>
    </w:p>
    <w:p w:rsidR="00CA2C86" w:rsidRPr="003803C8" w:rsidRDefault="00CA2C86" w:rsidP="00CA2C86">
      <w:pPr>
        <w:spacing w:after="0"/>
        <w:jc w:val="both"/>
        <w:rPr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- крім того, пропонується </w:t>
      </w:r>
      <w:proofErr w:type="spellStart"/>
      <w:r w:rsidRPr="003803C8">
        <w:rPr>
          <w:rFonts w:ascii="Times New Roman" w:eastAsia="Times New Roman" w:hAnsi="Times New Roman"/>
          <w:sz w:val="28"/>
          <w:szCs w:val="28"/>
        </w:rPr>
        <w:t>внести</w:t>
      </w:r>
      <w:proofErr w:type="spellEnd"/>
      <w:r w:rsidRPr="003803C8">
        <w:rPr>
          <w:rFonts w:ascii="Times New Roman" w:eastAsia="Times New Roman" w:hAnsi="Times New Roman"/>
          <w:sz w:val="28"/>
          <w:szCs w:val="28"/>
        </w:rPr>
        <w:t xml:space="preserve"> відповідні доповнення до Закону України «Про ринок електричної енергії», відповідно до яких врегульовується питання використання доходів від розподілу пропускної спроможності міждержавного перетину, які можуть бути </w:t>
      </w:r>
      <w:proofErr w:type="spellStart"/>
      <w:r w:rsidRPr="003803C8">
        <w:rPr>
          <w:rFonts w:ascii="Times New Roman" w:eastAsia="Times New Roman" w:hAnsi="Times New Roman"/>
          <w:sz w:val="28"/>
          <w:szCs w:val="28"/>
        </w:rPr>
        <w:t>срямовані</w:t>
      </w:r>
      <w:proofErr w:type="spellEnd"/>
      <w:r w:rsidRPr="003803C8">
        <w:rPr>
          <w:rFonts w:ascii="Times New Roman" w:eastAsia="Times New Roman" w:hAnsi="Times New Roman"/>
          <w:sz w:val="28"/>
          <w:szCs w:val="28"/>
        </w:rPr>
        <w:t xml:space="preserve"> в тому числі для забезпечення поточної операційної діяльності оператора системи передачі та оплати послуг із забезпечення збільшення частки виробництва електричної енергії з альтернативних джерел</w:t>
      </w:r>
    </w:p>
    <w:p w:rsidR="1BC94D18" w:rsidRPr="003803C8" w:rsidRDefault="00CA2C86" w:rsidP="00CA2C86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2. 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до Господарського кодексу України, якими передбачено, що 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>Регулятор під час погодження інвестицій ОСП керується, зокрема, необхідністю забезпечення безпеки передачі електричної енергії, операційної безпеки ОЕС України;</w:t>
      </w:r>
    </w:p>
    <w:p w:rsidR="1BC94D18" w:rsidRPr="003803C8" w:rsidRDefault="00CA2C86" w:rsidP="00CA2C86">
      <w:pPr>
        <w:spacing w:after="0"/>
        <w:ind w:firstLine="567"/>
        <w:jc w:val="both"/>
        <w:rPr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3. 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>до Закону України «Про управління об’єктами державної власності»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>, згідно з якими суб'єктом управління об'єктами державної власності, що використовуються у процесі провадження діяльності з передачі електричної енергії може бути лише уповноважене Кабінетом Міністрів України міністерство;</w:t>
      </w:r>
    </w:p>
    <w:p w:rsidR="1BC94D18" w:rsidRPr="003803C8" w:rsidRDefault="00CA2C86" w:rsidP="00CA2C86">
      <w:pPr>
        <w:spacing w:after="0"/>
        <w:ind w:firstLine="567"/>
        <w:jc w:val="both"/>
        <w:rPr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lastRenderedPageBreak/>
        <w:t xml:space="preserve">4. 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>до Закону України «Про Кабінет Міністрів України», згідно з якими: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00CA2C86" w:rsidP="00CA2C8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- 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>повноваження Уряду скасовувати акти міністерств та інших центральних органів виконавчої влади повністю чи в окремій частині не поширюється на уповноважених органів управління у процесі здійснення повноважень з управління корпоративними правами держави у статутному капіталі суб’єкта господарювання, який провадить діяльність з передачі електричної енергії;</w:t>
      </w:r>
    </w:p>
    <w:p w:rsidR="1BC94D18" w:rsidRPr="003803C8" w:rsidRDefault="00CA2C86" w:rsidP="00CA2C86">
      <w:pPr>
        <w:spacing w:after="0"/>
        <w:jc w:val="both"/>
        <w:rPr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- </w:t>
      </w:r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>виключно за погодженням з Кабінетом Міністрів України приймаються рішення щодо правочинів, наслідком яких може бути припинення права господарського відання на майно, що використовується у процесі провадження діяльності з передачі електричної енергії.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873E3" w:rsidRPr="003803C8" w:rsidRDefault="000873E3" w:rsidP="009B1104">
      <w:pPr>
        <w:pStyle w:val="a4"/>
        <w:spacing w:after="0"/>
        <w:ind w:firstLine="709"/>
        <w:jc w:val="both"/>
        <w:rPr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>.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3C8">
        <w:rPr>
          <w:rFonts w:ascii="Times New Roman" w:eastAsia="Times New Roman" w:hAnsi="Times New Roman"/>
          <w:b/>
          <w:bCs/>
          <w:sz w:val="28"/>
          <w:szCs w:val="28"/>
          <w:lang w:val="uk"/>
        </w:rPr>
        <w:t>4. Стан нормативно-правової бази у даній сфері правового регулювання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У цій сфері правового регулювання діють: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Господарський кодекс України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002D4A0B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hyperlink r:id="rId8">
        <w:r w:rsidR="1BC94D18" w:rsidRPr="003803C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 України «Про ратифікацію Протоколу про приєднання України до Договору про заснування Енергетичного Співтовариства</w:t>
        </w:r>
      </w:hyperlink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>»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1BC94D18" w:rsidRPr="003803C8" w:rsidRDefault="002D4A0B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hyperlink r:id="rId9">
        <w:r w:rsidR="1BC94D18" w:rsidRPr="003803C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 України «Про ринок електричної енергії</w:t>
        </w:r>
      </w:hyperlink>
      <w:r w:rsidR="1BC94D18" w:rsidRPr="003803C8">
        <w:rPr>
          <w:rFonts w:ascii="Times New Roman" w:eastAsia="Times New Roman" w:hAnsi="Times New Roman"/>
          <w:sz w:val="28"/>
          <w:szCs w:val="28"/>
          <w:lang w:val="uk"/>
        </w:rPr>
        <w:t>»</w:t>
      </w:r>
      <w:r w:rsidR="1BC94D18" w:rsidRPr="003803C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Закон України 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«Про приватизацію державного і комунального майна»;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Закон України «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Про управління об’єктами державної власності»;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Закон України «Про Кабінет Міністрів України»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b/>
          <w:bCs/>
          <w:sz w:val="28"/>
          <w:szCs w:val="28"/>
          <w:lang w:val="uk"/>
        </w:rPr>
        <w:t>5. Фінансово-економічне обґрунтування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Реалізація законопроекту після його прийняття не потребує додаткових витрат із Державного бюджету України.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b/>
          <w:bCs/>
          <w:sz w:val="28"/>
          <w:szCs w:val="28"/>
          <w:lang w:val="uk"/>
        </w:rPr>
        <w:t xml:space="preserve">6. </w:t>
      </w:r>
      <w:r w:rsidRPr="003803C8">
        <w:rPr>
          <w:rFonts w:ascii="Times New Roman" w:eastAsia="Times New Roman" w:hAnsi="Times New Roman"/>
          <w:b/>
          <w:bCs/>
          <w:sz w:val="28"/>
          <w:szCs w:val="28"/>
        </w:rPr>
        <w:t>Прогнозовані соціально-економічні та інші наслідки прийняття законопроекту</w:t>
      </w:r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1BC94D18" w:rsidRPr="003803C8" w:rsidRDefault="1BC94D18" w:rsidP="1D69283D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803C8">
        <w:rPr>
          <w:rFonts w:ascii="Times New Roman" w:eastAsia="Times New Roman" w:hAnsi="Times New Roman"/>
          <w:sz w:val="28"/>
          <w:szCs w:val="28"/>
          <w:lang w:val="uk"/>
        </w:rPr>
        <w:t>Реалізація </w:t>
      </w:r>
      <w:r w:rsidRPr="00632E6A">
        <w:rPr>
          <w:rFonts w:ascii="Times New Roman" w:eastAsia="Times New Roman" w:hAnsi="Times New Roman"/>
          <w:sz w:val="28"/>
          <w:szCs w:val="28"/>
          <w:lang w:val="uk"/>
        </w:rPr>
        <w:t xml:space="preserve"> </w:t>
      </w:r>
      <w:hyperlink r:id="rId10">
        <w:r w:rsidRPr="00632E6A">
          <w:rPr>
            <w:rFonts w:ascii="Times New Roman" w:eastAsia="Times New Roman" w:hAnsi="Times New Roman"/>
            <w:sz w:val="28"/>
            <w:szCs w:val="28"/>
            <w:lang w:val="uk"/>
          </w:rPr>
          <w:t>законопроекту</w:t>
        </w:r>
      </w:hyperlink>
      <w:r w:rsidRPr="003803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забезпечить можливість </w:t>
      </w:r>
      <w:proofErr w:type="spellStart"/>
      <w:r w:rsidRPr="003803C8">
        <w:rPr>
          <w:rFonts w:ascii="Times New Roman" w:eastAsia="Times New Roman" w:hAnsi="Times New Roman"/>
          <w:sz w:val="28"/>
          <w:szCs w:val="28"/>
          <w:lang w:val="uk"/>
        </w:rPr>
        <w:t>сертифікаці</w:t>
      </w:r>
      <w:proofErr w:type="spellEnd"/>
      <w:r w:rsidRPr="003803C8">
        <w:rPr>
          <w:rFonts w:ascii="Times New Roman" w:eastAsia="Times New Roman" w:hAnsi="Times New Roman"/>
          <w:sz w:val="28"/>
          <w:szCs w:val="28"/>
        </w:rPr>
        <w:t xml:space="preserve">ї оператора системи передачі електричної енергії за моделлю відокремлення ISO та подальше виконання міжнародних зобов'язань України щодо імплементації Третього </w:t>
      </w:r>
      <w:proofErr w:type="spellStart"/>
      <w:r w:rsidRPr="003803C8">
        <w:rPr>
          <w:rFonts w:ascii="Times New Roman" w:eastAsia="Times New Roman" w:hAnsi="Times New Roman"/>
          <w:sz w:val="28"/>
          <w:szCs w:val="28"/>
        </w:rPr>
        <w:t>енергопакету</w:t>
      </w:r>
      <w:proofErr w:type="spellEnd"/>
      <w:r w:rsidRPr="003803C8">
        <w:rPr>
          <w:rFonts w:ascii="Times New Roman" w:eastAsia="Times New Roman" w:hAnsi="Times New Roman"/>
          <w:sz w:val="28"/>
          <w:szCs w:val="28"/>
        </w:rPr>
        <w:t xml:space="preserve"> ЄС</w:t>
      </w:r>
      <w:r w:rsidR="00EC593B" w:rsidRPr="003803C8">
        <w:rPr>
          <w:rFonts w:ascii="Times New Roman" w:eastAsia="Times New Roman" w:hAnsi="Times New Roman"/>
          <w:sz w:val="28"/>
          <w:szCs w:val="28"/>
        </w:rPr>
        <w:t xml:space="preserve">, а також сприятиме вжиттю заходів з подолання </w:t>
      </w:r>
      <w:r w:rsidR="00EC593B" w:rsidRPr="003803C8">
        <w:rPr>
          <w:rFonts w:ascii="Times New Roman" w:eastAsia="Times New Roman" w:hAnsi="Times New Roman"/>
          <w:sz w:val="28"/>
          <w:szCs w:val="28"/>
          <w:lang w:val="uk"/>
        </w:rPr>
        <w:t xml:space="preserve">кризи </w:t>
      </w:r>
      <w:proofErr w:type="spellStart"/>
      <w:r w:rsidR="00EC593B" w:rsidRPr="003803C8">
        <w:rPr>
          <w:rFonts w:ascii="Times New Roman" w:eastAsia="Times New Roman" w:hAnsi="Times New Roman"/>
          <w:sz w:val="28"/>
          <w:szCs w:val="28"/>
          <w:lang w:val="uk"/>
        </w:rPr>
        <w:t>неплатежів</w:t>
      </w:r>
      <w:proofErr w:type="spellEnd"/>
      <w:r w:rsidR="00EC593B" w:rsidRPr="003803C8">
        <w:rPr>
          <w:rFonts w:ascii="Times New Roman" w:eastAsia="Times New Roman" w:hAnsi="Times New Roman"/>
          <w:sz w:val="28"/>
          <w:szCs w:val="28"/>
          <w:lang w:val="uk"/>
        </w:rPr>
        <w:t>, що виникла на ринку електричної енергії у І-ІІ кварталах 2020 року.</w:t>
      </w:r>
    </w:p>
    <w:p w:rsidR="1D69283D" w:rsidRPr="003803C8" w:rsidRDefault="1D69283D" w:rsidP="1D69283D">
      <w:pPr>
        <w:spacing w:after="0" w:line="257" w:lineRule="auto"/>
        <w:rPr>
          <w:rFonts w:ascii="Times New Roman" w:eastAsia="Times New Roman" w:hAnsi="Times New Roman"/>
          <w:sz w:val="28"/>
          <w:szCs w:val="28"/>
        </w:rPr>
      </w:pPr>
    </w:p>
    <w:p w:rsidR="00EC593B" w:rsidRPr="003803C8" w:rsidRDefault="00EC593B" w:rsidP="1D69283D">
      <w:pPr>
        <w:spacing w:after="0" w:line="257" w:lineRule="auto"/>
        <w:rPr>
          <w:rFonts w:ascii="Times New Roman" w:eastAsia="Times New Roman" w:hAnsi="Times New Roman"/>
          <w:sz w:val="28"/>
          <w:szCs w:val="28"/>
        </w:rPr>
      </w:pPr>
    </w:p>
    <w:p w:rsidR="001A1A1D" w:rsidRPr="00B8245D" w:rsidRDefault="00023233" w:rsidP="00CA2C8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803C8">
        <w:rPr>
          <w:rFonts w:ascii="Times New Roman" w:eastAsia="Times New Roman" w:hAnsi="Times New Roman"/>
          <w:b/>
          <w:sz w:val="28"/>
          <w:szCs w:val="28"/>
        </w:rPr>
        <w:t>Народні депутати України</w:t>
      </w:r>
      <w:r w:rsidR="001A1A1D">
        <w:rPr>
          <w:rFonts w:ascii="Times New Roman" w:eastAsia="Times New Roman" w:hAnsi="Times New Roman"/>
          <w:b/>
          <w:sz w:val="28"/>
          <w:szCs w:val="28"/>
        </w:rPr>
        <w:tab/>
      </w:r>
      <w:r w:rsidR="001A1A1D">
        <w:rPr>
          <w:rFonts w:ascii="Times New Roman" w:eastAsia="Times New Roman" w:hAnsi="Times New Roman"/>
          <w:b/>
          <w:sz w:val="28"/>
          <w:szCs w:val="28"/>
        </w:rPr>
        <w:tab/>
      </w:r>
      <w:r w:rsidR="001A1A1D">
        <w:rPr>
          <w:rFonts w:ascii="Times New Roman" w:eastAsia="Times New Roman" w:hAnsi="Times New Roman"/>
          <w:b/>
          <w:sz w:val="28"/>
          <w:szCs w:val="28"/>
        </w:rPr>
        <w:tab/>
      </w:r>
    </w:p>
    <w:sectPr w:rsidR="001A1A1D" w:rsidRPr="00B8245D" w:rsidSect="001A1A1D">
      <w:pgSz w:w="11906" w:h="16838"/>
      <w:pgMar w:top="709" w:right="707" w:bottom="568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A0B" w:rsidRDefault="002D4A0B" w:rsidP="00934EB8">
      <w:pPr>
        <w:spacing w:after="0" w:line="240" w:lineRule="auto"/>
      </w:pPr>
      <w:r>
        <w:separator/>
      </w:r>
    </w:p>
  </w:endnote>
  <w:endnote w:type="continuationSeparator" w:id="0">
    <w:p w:rsidR="002D4A0B" w:rsidRDefault="002D4A0B" w:rsidP="0093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A0B" w:rsidRDefault="002D4A0B" w:rsidP="00934EB8">
      <w:pPr>
        <w:spacing w:after="0" w:line="240" w:lineRule="auto"/>
      </w:pPr>
      <w:r>
        <w:separator/>
      </w:r>
    </w:p>
  </w:footnote>
  <w:footnote w:type="continuationSeparator" w:id="0">
    <w:p w:rsidR="002D4A0B" w:rsidRDefault="002D4A0B" w:rsidP="0093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70A3"/>
    <w:multiLevelType w:val="hybridMultilevel"/>
    <w:tmpl w:val="CDA4ABA6"/>
    <w:lvl w:ilvl="0" w:tplc="A5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A8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4C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E3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0C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4A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C3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80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8D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B8F"/>
    <w:multiLevelType w:val="hybridMultilevel"/>
    <w:tmpl w:val="92AE8A8A"/>
    <w:lvl w:ilvl="0" w:tplc="6BC6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074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EE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D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4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82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E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82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EC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D99"/>
    <w:multiLevelType w:val="hybridMultilevel"/>
    <w:tmpl w:val="65CEEC40"/>
    <w:lvl w:ilvl="0" w:tplc="E7007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6B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47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60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07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A9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6B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C4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CB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81BC1"/>
    <w:multiLevelType w:val="hybridMultilevel"/>
    <w:tmpl w:val="F6A0125E"/>
    <w:lvl w:ilvl="0" w:tplc="006ED302">
      <w:start w:val="1"/>
      <w:numFmt w:val="decimal"/>
      <w:lvlText w:val="%1."/>
      <w:lvlJc w:val="left"/>
      <w:pPr>
        <w:ind w:left="720" w:hanging="360"/>
      </w:pPr>
    </w:lvl>
    <w:lvl w:ilvl="1" w:tplc="74789208">
      <w:start w:val="1"/>
      <w:numFmt w:val="decimal"/>
      <w:lvlText w:val="%2."/>
      <w:lvlJc w:val="left"/>
      <w:pPr>
        <w:ind w:left="1440" w:hanging="360"/>
      </w:pPr>
    </w:lvl>
    <w:lvl w:ilvl="2" w:tplc="A510C672">
      <w:start w:val="1"/>
      <w:numFmt w:val="lowerRoman"/>
      <w:lvlText w:val="%3."/>
      <w:lvlJc w:val="right"/>
      <w:pPr>
        <w:ind w:left="2160" w:hanging="180"/>
      </w:pPr>
    </w:lvl>
    <w:lvl w:ilvl="3" w:tplc="8F2C273A">
      <w:start w:val="1"/>
      <w:numFmt w:val="decimal"/>
      <w:lvlText w:val="%4."/>
      <w:lvlJc w:val="left"/>
      <w:pPr>
        <w:ind w:left="2880" w:hanging="360"/>
      </w:pPr>
    </w:lvl>
    <w:lvl w:ilvl="4" w:tplc="38B85740">
      <w:start w:val="1"/>
      <w:numFmt w:val="lowerLetter"/>
      <w:lvlText w:val="%5."/>
      <w:lvlJc w:val="left"/>
      <w:pPr>
        <w:ind w:left="3600" w:hanging="360"/>
      </w:pPr>
    </w:lvl>
    <w:lvl w:ilvl="5" w:tplc="BB380E2E">
      <w:start w:val="1"/>
      <w:numFmt w:val="lowerRoman"/>
      <w:lvlText w:val="%6."/>
      <w:lvlJc w:val="right"/>
      <w:pPr>
        <w:ind w:left="4320" w:hanging="180"/>
      </w:pPr>
    </w:lvl>
    <w:lvl w:ilvl="6" w:tplc="56C097BE">
      <w:start w:val="1"/>
      <w:numFmt w:val="decimal"/>
      <w:lvlText w:val="%7."/>
      <w:lvlJc w:val="left"/>
      <w:pPr>
        <w:ind w:left="5040" w:hanging="360"/>
      </w:pPr>
    </w:lvl>
    <w:lvl w:ilvl="7" w:tplc="EF3096CC">
      <w:start w:val="1"/>
      <w:numFmt w:val="lowerLetter"/>
      <w:lvlText w:val="%8."/>
      <w:lvlJc w:val="left"/>
      <w:pPr>
        <w:ind w:left="5760" w:hanging="360"/>
      </w:pPr>
    </w:lvl>
    <w:lvl w:ilvl="8" w:tplc="97AE7A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E3C8B"/>
    <w:multiLevelType w:val="hybridMultilevel"/>
    <w:tmpl w:val="E2903726"/>
    <w:lvl w:ilvl="0" w:tplc="0634612A">
      <w:start w:val="1"/>
      <w:numFmt w:val="decimal"/>
      <w:lvlText w:val="%1)"/>
      <w:lvlJc w:val="left"/>
      <w:pPr>
        <w:ind w:left="720" w:hanging="360"/>
      </w:pPr>
    </w:lvl>
    <w:lvl w:ilvl="1" w:tplc="DFE854EE">
      <w:start w:val="1"/>
      <w:numFmt w:val="lowerLetter"/>
      <w:lvlText w:val="%2."/>
      <w:lvlJc w:val="left"/>
      <w:pPr>
        <w:ind w:left="1440" w:hanging="360"/>
      </w:pPr>
    </w:lvl>
    <w:lvl w:ilvl="2" w:tplc="B5D41E6C">
      <w:start w:val="1"/>
      <w:numFmt w:val="lowerRoman"/>
      <w:lvlText w:val="%3."/>
      <w:lvlJc w:val="right"/>
      <w:pPr>
        <w:ind w:left="2160" w:hanging="180"/>
      </w:pPr>
    </w:lvl>
    <w:lvl w:ilvl="3" w:tplc="9F94583E">
      <w:start w:val="1"/>
      <w:numFmt w:val="decimal"/>
      <w:lvlText w:val="%4."/>
      <w:lvlJc w:val="left"/>
      <w:pPr>
        <w:ind w:left="2880" w:hanging="360"/>
      </w:pPr>
    </w:lvl>
    <w:lvl w:ilvl="4" w:tplc="DFC62850">
      <w:start w:val="1"/>
      <w:numFmt w:val="lowerLetter"/>
      <w:lvlText w:val="%5."/>
      <w:lvlJc w:val="left"/>
      <w:pPr>
        <w:ind w:left="3600" w:hanging="360"/>
      </w:pPr>
    </w:lvl>
    <w:lvl w:ilvl="5" w:tplc="F73C6AD2">
      <w:start w:val="1"/>
      <w:numFmt w:val="lowerRoman"/>
      <w:lvlText w:val="%6."/>
      <w:lvlJc w:val="right"/>
      <w:pPr>
        <w:ind w:left="4320" w:hanging="180"/>
      </w:pPr>
    </w:lvl>
    <w:lvl w:ilvl="6" w:tplc="8864E8C2">
      <w:start w:val="1"/>
      <w:numFmt w:val="decimal"/>
      <w:lvlText w:val="%7."/>
      <w:lvlJc w:val="left"/>
      <w:pPr>
        <w:ind w:left="5040" w:hanging="360"/>
      </w:pPr>
    </w:lvl>
    <w:lvl w:ilvl="7" w:tplc="EFAAE444">
      <w:start w:val="1"/>
      <w:numFmt w:val="lowerLetter"/>
      <w:lvlText w:val="%8."/>
      <w:lvlJc w:val="left"/>
      <w:pPr>
        <w:ind w:left="5760" w:hanging="360"/>
      </w:pPr>
    </w:lvl>
    <w:lvl w:ilvl="8" w:tplc="8DE063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5E6C"/>
    <w:multiLevelType w:val="hybridMultilevel"/>
    <w:tmpl w:val="19460BB4"/>
    <w:lvl w:ilvl="0" w:tplc="5AD057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4F0D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C0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9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E4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A0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49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44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88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23D20"/>
    <w:multiLevelType w:val="hybridMultilevel"/>
    <w:tmpl w:val="5E5A1336"/>
    <w:lvl w:ilvl="0" w:tplc="77A6C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C6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48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60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85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EC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87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CD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2A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DB897B"/>
    <w:rsid w:val="00023233"/>
    <w:rsid w:val="000873E3"/>
    <w:rsid w:val="001219EB"/>
    <w:rsid w:val="001A1A1D"/>
    <w:rsid w:val="001B738E"/>
    <w:rsid w:val="002D4A0B"/>
    <w:rsid w:val="002F4FB7"/>
    <w:rsid w:val="00303E1E"/>
    <w:rsid w:val="003803C8"/>
    <w:rsid w:val="003B10AD"/>
    <w:rsid w:val="003B5A0B"/>
    <w:rsid w:val="00507223"/>
    <w:rsid w:val="00632E6A"/>
    <w:rsid w:val="006476BB"/>
    <w:rsid w:val="006A2E93"/>
    <w:rsid w:val="006A58D2"/>
    <w:rsid w:val="00776128"/>
    <w:rsid w:val="007F37A0"/>
    <w:rsid w:val="00806138"/>
    <w:rsid w:val="00824BFD"/>
    <w:rsid w:val="00847199"/>
    <w:rsid w:val="008722BE"/>
    <w:rsid w:val="008830BB"/>
    <w:rsid w:val="008C0642"/>
    <w:rsid w:val="008E347B"/>
    <w:rsid w:val="00934EB8"/>
    <w:rsid w:val="009B1104"/>
    <w:rsid w:val="00A222F1"/>
    <w:rsid w:val="00A63277"/>
    <w:rsid w:val="00A75952"/>
    <w:rsid w:val="00AA537D"/>
    <w:rsid w:val="00B041E7"/>
    <w:rsid w:val="00B12F26"/>
    <w:rsid w:val="00B8245D"/>
    <w:rsid w:val="00BD5EE7"/>
    <w:rsid w:val="00CA2C86"/>
    <w:rsid w:val="00D14D6C"/>
    <w:rsid w:val="00D36D49"/>
    <w:rsid w:val="00E11A14"/>
    <w:rsid w:val="00E36FB3"/>
    <w:rsid w:val="00E724BA"/>
    <w:rsid w:val="00EC593B"/>
    <w:rsid w:val="00EE20E4"/>
    <w:rsid w:val="00F00A30"/>
    <w:rsid w:val="02CA0087"/>
    <w:rsid w:val="03DA0023"/>
    <w:rsid w:val="0830827D"/>
    <w:rsid w:val="083134C8"/>
    <w:rsid w:val="088ED1CC"/>
    <w:rsid w:val="08CDEEB6"/>
    <w:rsid w:val="08E07269"/>
    <w:rsid w:val="0A130F9B"/>
    <w:rsid w:val="0CC35D00"/>
    <w:rsid w:val="0D994D76"/>
    <w:rsid w:val="12DB897B"/>
    <w:rsid w:val="1604C7BC"/>
    <w:rsid w:val="1A56A4B8"/>
    <w:rsid w:val="1BC94D18"/>
    <w:rsid w:val="1CFF2BEE"/>
    <w:rsid w:val="1D69283D"/>
    <w:rsid w:val="219EB8E4"/>
    <w:rsid w:val="253F9FF6"/>
    <w:rsid w:val="2C72BBC1"/>
    <w:rsid w:val="2CFD8FC0"/>
    <w:rsid w:val="30BFB96A"/>
    <w:rsid w:val="30D50296"/>
    <w:rsid w:val="3E4FEE7C"/>
    <w:rsid w:val="42375BE9"/>
    <w:rsid w:val="4246C5B0"/>
    <w:rsid w:val="48057BE3"/>
    <w:rsid w:val="4A1B0068"/>
    <w:rsid w:val="4F74FF43"/>
    <w:rsid w:val="5157ADEC"/>
    <w:rsid w:val="53819A10"/>
    <w:rsid w:val="5A9EC5C1"/>
    <w:rsid w:val="5CA5CBFD"/>
    <w:rsid w:val="65D51CD0"/>
    <w:rsid w:val="6EA51A57"/>
    <w:rsid w:val="6F119E26"/>
    <w:rsid w:val="6F811D29"/>
    <w:rsid w:val="7017B4B5"/>
    <w:rsid w:val="71C36BDA"/>
    <w:rsid w:val="736C44B4"/>
    <w:rsid w:val="7594B828"/>
    <w:rsid w:val="7596E0D9"/>
    <w:rsid w:val="7688484A"/>
    <w:rsid w:val="7A5EFD33"/>
    <w:rsid w:val="7AA81BA0"/>
    <w:rsid w:val="7DF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6D4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824BF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34E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4EB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34E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4EB8"/>
    <w:rPr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632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278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JI00632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arch.ligazakon.ua/l_doc2.nsf/link1/JI00632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72019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Links>
    <vt:vector size="24" baseType="variant">
      <vt:variant>
        <vt:i4>983141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http://search.ligazakon.ua/l_doc2.nsf/link1/JI00632I.html</vt:lpwstr>
      </vt:variant>
      <vt:variant>
        <vt:lpwstr/>
      </vt:variant>
      <vt:variant>
        <vt:i4>852014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http://search.ligazakon.ua/l_doc2.nsf/link1/T172019.html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http://search.ligazakon.ua/l_doc2.nsf/link1/T102787.html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http://search.ligazakon.ua/l_doc2.nsf/link1/JI00632I.html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2020-04-30T08:15:00Z</dcterms:created>
  <dcterms:modified xsi:type="dcterms:W3CDTF">2020-04-30T08:34:00Z</dcterms:modified>
</cp:coreProperties>
</file>