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0865" w14:textId="77777777" w:rsidR="00D01694" w:rsidRPr="006204E7" w:rsidRDefault="00D01694" w:rsidP="00D016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6204E7">
        <w:rPr>
          <w:b/>
          <w:bCs/>
          <w:sz w:val="28"/>
          <w:szCs w:val="28"/>
          <w:lang w:val="uk-UA"/>
        </w:rPr>
        <w:t>ПОРІВНЯЛЬНА ТАБЛИЦЯ</w:t>
      </w:r>
    </w:p>
    <w:p w14:paraId="30510866" w14:textId="5EDD10BE" w:rsidR="00D01694" w:rsidRPr="006204E7" w:rsidRDefault="00D01694" w:rsidP="00A80F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6204E7">
        <w:rPr>
          <w:sz w:val="28"/>
          <w:szCs w:val="28"/>
          <w:lang w:val="uk-UA"/>
        </w:rPr>
        <w:t>до про</w:t>
      </w:r>
      <w:r w:rsidR="007E717A">
        <w:rPr>
          <w:sz w:val="28"/>
          <w:szCs w:val="28"/>
          <w:lang w:val="uk-UA"/>
        </w:rPr>
        <w:t>є</w:t>
      </w:r>
      <w:r w:rsidRPr="006204E7">
        <w:rPr>
          <w:sz w:val="28"/>
          <w:szCs w:val="28"/>
          <w:lang w:val="uk-UA"/>
        </w:rPr>
        <w:t xml:space="preserve">кту Закону України </w:t>
      </w:r>
      <w:r w:rsidR="0057070F" w:rsidRPr="006204E7">
        <w:rPr>
          <w:sz w:val="28"/>
          <w:szCs w:val="28"/>
          <w:lang w:val="uk-UA"/>
        </w:rPr>
        <w:t>"</w:t>
      </w:r>
      <w:r w:rsidR="00F03D90">
        <w:rPr>
          <w:sz w:val="28"/>
          <w:szCs w:val="28"/>
          <w:lang w:val="uk-UA"/>
        </w:rPr>
        <w:t>Про внесення змін до деяких законодавчих актів України щодо передачі корпоративних прав в управління</w:t>
      </w:r>
      <w:r w:rsidR="00A80F0A" w:rsidRPr="006204E7">
        <w:rPr>
          <w:sz w:val="28"/>
          <w:szCs w:val="28"/>
          <w:lang w:val="uk-UA" w:eastAsia="uk-UA"/>
        </w:rPr>
        <w:t>"</w:t>
      </w:r>
    </w:p>
    <w:p w14:paraId="30510867" w14:textId="77777777" w:rsidR="00A80F0A" w:rsidRPr="006204E7" w:rsidRDefault="00A80F0A" w:rsidP="00A80F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D01694" w:rsidRPr="00F61EE0" w14:paraId="3051086A" w14:textId="77777777" w:rsidTr="00411BDA">
        <w:trPr>
          <w:tblHeader/>
        </w:trPr>
        <w:tc>
          <w:tcPr>
            <w:tcW w:w="7393" w:type="dxa"/>
            <w:shd w:val="clear" w:color="auto" w:fill="F2F2F2" w:themeFill="background1" w:themeFillShade="F2"/>
            <w:hideMark/>
          </w:tcPr>
          <w:p w14:paraId="30510868" w14:textId="77777777" w:rsidR="00D01694" w:rsidRPr="00F61EE0" w:rsidRDefault="00D01694" w:rsidP="00D0169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61EE0">
              <w:rPr>
                <w:b/>
                <w:bCs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393" w:type="dxa"/>
            <w:shd w:val="clear" w:color="auto" w:fill="F2F2F2" w:themeFill="background1" w:themeFillShade="F2"/>
            <w:hideMark/>
          </w:tcPr>
          <w:p w14:paraId="30510869" w14:textId="77777777" w:rsidR="00D01694" w:rsidRPr="00F61EE0" w:rsidRDefault="00D01694" w:rsidP="00D0169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61EE0">
              <w:rPr>
                <w:b/>
                <w:bCs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D01694" w:rsidRPr="00411BDA" w14:paraId="3051086C" w14:textId="77777777" w:rsidTr="00411BDA">
        <w:tc>
          <w:tcPr>
            <w:tcW w:w="14786" w:type="dxa"/>
            <w:gridSpan w:val="2"/>
            <w:shd w:val="clear" w:color="auto" w:fill="F2F2F2" w:themeFill="background1" w:themeFillShade="F2"/>
            <w:hideMark/>
          </w:tcPr>
          <w:p w14:paraId="3051086B" w14:textId="35AE8716" w:rsidR="00D01694" w:rsidRPr="00F61EE0" w:rsidRDefault="000302E2" w:rsidP="00D0169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61EE0">
              <w:rPr>
                <w:b/>
                <w:bCs/>
                <w:sz w:val="28"/>
                <w:szCs w:val="28"/>
                <w:lang w:val="uk-UA"/>
              </w:rPr>
              <w:t>Закон України "Про запобігання корупції"</w:t>
            </w:r>
          </w:p>
        </w:tc>
      </w:tr>
      <w:tr w:rsidR="008B5C53" w:rsidRPr="00F61EE0" w14:paraId="3051087E" w14:textId="77777777" w:rsidTr="00411BDA">
        <w:tc>
          <w:tcPr>
            <w:tcW w:w="7393" w:type="dxa"/>
          </w:tcPr>
          <w:p w14:paraId="12B0DAD9" w14:textId="5929C7A4" w:rsidR="001351D5" w:rsidRPr="00F61EE0" w:rsidRDefault="001351D5" w:rsidP="00EE468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F61EE0"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Стаття 36.</w:t>
            </w:r>
            <w:r w:rsidR="00F20B79" w:rsidRPr="00F61EE0"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>Запобігання конфлікту інтересів у зв’язку з наявністю в особи підприємств чи корпоративних прав</w:t>
            </w:r>
          </w:p>
          <w:p w14:paraId="07E8C853" w14:textId="77777777" w:rsidR="00EE4687" w:rsidRPr="00F61EE0" w:rsidRDefault="00EE4687" w:rsidP="00EE468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25C87912" w14:textId="61F8AD7B" w:rsidR="001351D5" w:rsidRPr="00F61EE0" w:rsidRDefault="001351D5" w:rsidP="001351D5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  <w:bookmarkStart w:id="1" w:name="n406"/>
            <w:bookmarkEnd w:id="1"/>
            <w:r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>1. Особи, зазначені у</w:t>
            </w:r>
            <w:r w:rsidR="00F20B79"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9" w:anchor="n26" w:history="1">
              <w:r w:rsidRPr="00F61EE0">
                <w:rPr>
                  <w:rStyle w:val="rvts9"/>
                  <w:bCs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пункті 1</w:t>
              </w:r>
            </w:hyperlink>
            <w:r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F20B79"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10" w:anchor="n38" w:history="1">
              <w:r w:rsidRPr="00F61EE0">
                <w:rPr>
                  <w:rStyle w:val="rvts9"/>
                  <w:bCs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підпункті "а" пункту 2</w:t>
              </w:r>
            </w:hyperlink>
            <w:r w:rsidR="00F20B79"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>частини першої статті 3 цього Закону, зобов’язані протягом 30 днів після призначення (обрання) на посаду передати в управління іншій особі належні їм підприємства та корпоративні права у порядку, встановленому законом.</w:t>
            </w:r>
          </w:p>
          <w:p w14:paraId="77DFF16A" w14:textId="355A8110" w:rsidR="00EE4687" w:rsidRPr="00F61EE0" w:rsidRDefault="00EE4687" w:rsidP="001351D5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6C160B6A" w14:textId="1C7C0AE0" w:rsidR="00EE4687" w:rsidRPr="00F61EE0" w:rsidRDefault="00EE4687" w:rsidP="00EE468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rPr>
                <w:rStyle w:val="rvts9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F61EE0">
              <w:rPr>
                <w:rStyle w:val="rvts9"/>
                <w:b/>
                <w:sz w:val="28"/>
                <w:szCs w:val="28"/>
                <w:shd w:val="clear" w:color="auto" w:fill="FFFFFF"/>
                <w:lang w:val="uk-UA"/>
              </w:rPr>
              <w:t>Відсутній</w:t>
            </w:r>
          </w:p>
          <w:p w14:paraId="16AE3425" w14:textId="3413343A" w:rsidR="00EE4687" w:rsidRPr="00F61EE0" w:rsidRDefault="00EE4687" w:rsidP="001351D5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14:paraId="5FC7652B" w14:textId="7F810320" w:rsidR="00EE4687" w:rsidRPr="00F61EE0" w:rsidRDefault="00EE4687" w:rsidP="001351D5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1361E108" w14:textId="2D02B3DE" w:rsidR="00EE4687" w:rsidRPr="00F61EE0" w:rsidRDefault="00EE4687" w:rsidP="001351D5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5BBB1BD2" w14:textId="34272EC4" w:rsidR="00EE4687" w:rsidRPr="00F61EE0" w:rsidRDefault="00EE4687" w:rsidP="001351D5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5E39E91F" w14:textId="6EB134E2" w:rsidR="00EE4687" w:rsidRPr="00F61EE0" w:rsidRDefault="00EE4687" w:rsidP="001351D5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1F46AE27" w14:textId="7593BEF1" w:rsidR="00EE4687" w:rsidRPr="00F61EE0" w:rsidRDefault="00EE4687" w:rsidP="001351D5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40112D45" w14:textId="6E028482" w:rsidR="00EE4687" w:rsidRPr="00F61EE0" w:rsidRDefault="00EE4687" w:rsidP="001351D5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71A26443" w14:textId="7DED540C" w:rsidR="00EE4687" w:rsidRPr="00F61EE0" w:rsidRDefault="00EE4687" w:rsidP="001351D5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14BE5E5A" w14:textId="268B4495" w:rsidR="00EE4687" w:rsidRPr="00F61EE0" w:rsidRDefault="00EE4687" w:rsidP="001351D5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4ECB19B0" w14:textId="60A55D9C" w:rsidR="00EE4687" w:rsidRPr="00F61EE0" w:rsidRDefault="00EE4687" w:rsidP="0018761D">
            <w:pPr>
              <w:pStyle w:val="rvps2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4305205C" w14:textId="77777777" w:rsidR="00EE4687" w:rsidRPr="00F61EE0" w:rsidRDefault="00EE4687" w:rsidP="001351D5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16D970E6" w14:textId="77777777" w:rsidR="001351D5" w:rsidRPr="00F61EE0" w:rsidRDefault="001351D5" w:rsidP="001351D5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  <w:bookmarkStart w:id="2" w:name="n407"/>
            <w:bookmarkEnd w:id="2"/>
            <w:r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>У такому випадку особам, зазначеним у пункті 1, підпункті "а" пункту 2 частини першої статті 3 цього Закону, забороняється передавати в управління належні їм підприємства та корпоративні права на користь членів своєї сім’ї.</w:t>
            </w:r>
          </w:p>
          <w:p w14:paraId="56636591" w14:textId="67E30866" w:rsidR="008B5C53" w:rsidRPr="00F61EE0" w:rsidRDefault="008B5C53" w:rsidP="002F6268">
            <w:pPr>
              <w:autoSpaceDE w:val="0"/>
              <w:autoSpaceDN w:val="0"/>
              <w:adjustRightInd w:val="0"/>
              <w:contextualSpacing/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14:paraId="0BC60E1E" w14:textId="23FDB735" w:rsidR="00813FEC" w:rsidRPr="00F61EE0" w:rsidRDefault="00813FEC" w:rsidP="00813FEC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61EE0">
              <w:rPr>
                <w:rStyle w:val="rvts9"/>
                <w:color w:val="000000"/>
                <w:sz w:val="28"/>
                <w:szCs w:val="28"/>
                <w:shd w:val="clear" w:color="auto" w:fill="FFFFFF"/>
                <w:lang w:val="ru-RU"/>
              </w:rPr>
              <w:t>…</w:t>
            </w:r>
          </w:p>
          <w:p w14:paraId="3051086F" w14:textId="1C8FDECF" w:rsidR="00813FEC" w:rsidRPr="00F61EE0" w:rsidRDefault="00813FEC" w:rsidP="002F6268">
            <w:pPr>
              <w:autoSpaceDE w:val="0"/>
              <w:autoSpaceDN w:val="0"/>
              <w:adjustRightInd w:val="0"/>
              <w:contextualSpacing/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7393" w:type="dxa"/>
          </w:tcPr>
          <w:p w14:paraId="5FCCE446" w14:textId="695C9BA7" w:rsidR="00EE4687" w:rsidRPr="00F61EE0" w:rsidRDefault="00EE4687" w:rsidP="00EE468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F61EE0"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Стаття 36.</w:t>
            </w:r>
            <w:r w:rsidR="00F20B79" w:rsidRPr="00F61EE0"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>Запобігання конфлікту інтересів у зв’язку з наявністю в особи підприємств чи корпоративних прав</w:t>
            </w:r>
          </w:p>
          <w:p w14:paraId="05C40237" w14:textId="77777777" w:rsidR="0047128E" w:rsidRPr="00F61EE0" w:rsidRDefault="0047128E" w:rsidP="00EB2663">
            <w:pPr>
              <w:autoSpaceDE w:val="0"/>
              <w:autoSpaceDN w:val="0"/>
              <w:adjustRightInd w:val="0"/>
              <w:ind w:firstLine="567"/>
              <w:contextualSpacing/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06117213" w14:textId="6C6A859F" w:rsidR="00EE4687" w:rsidRPr="00F61EE0" w:rsidRDefault="00EE4687" w:rsidP="00EE468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>1. Особи, зазначені у</w:t>
            </w:r>
            <w:r w:rsidR="00F20B79"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11" w:anchor="n26" w:history="1">
              <w:r w:rsidRPr="00F61EE0">
                <w:rPr>
                  <w:rStyle w:val="rvts9"/>
                  <w:bCs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пункті 1</w:t>
              </w:r>
            </w:hyperlink>
            <w:r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F20B79"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12" w:anchor="n38" w:history="1">
              <w:r w:rsidRPr="00F61EE0">
                <w:rPr>
                  <w:rStyle w:val="rvts9"/>
                  <w:bCs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підпункті "а" пункту 2</w:t>
              </w:r>
            </w:hyperlink>
            <w:r w:rsidR="00F20B79"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>частини першої статті 3 цього Закону, зобов’язані протягом 30 днів після призначення (обрання) на посаду передати в управління іншій особі належні їм підприємства та корпоративні права у порядку, встановленому законом.</w:t>
            </w:r>
          </w:p>
          <w:p w14:paraId="6651E85D" w14:textId="58F43D15" w:rsidR="00EE4687" w:rsidRPr="00F61EE0" w:rsidRDefault="00EE4687" w:rsidP="00EE468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0AF35D9A" w14:textId="27C83188" w:rsidR="00EE4687" w:rsidRPr="00F61EE0" w:rsidRDefault="00EE4687" w:rsidP="00EE4687">
            <w:pPr>
              <w:autoSpaceDE w:val="0"/>
              <w:autoSpaceDN w:val="0"/>
              <w:adjustRightInd w:val="0"/>
              <w:ind w:firstLine="567"/>
              <w:contextualSpacing/>
              <w:rPr>
                <w:rStyle w:val="rvts9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61EE0">
              <w:rPr>
                <w:rStyle w:val="rvts9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Якщо на момент закінчення вказаного тридцятиденного строку в системі депозитарного обліку встановлено обмеження на здійснення операцій з акціями на підставі відповідного рішення Національної комісії з цінних паперів та фондового ринку про зупинення внесення змін до системи депозитарного обліку, особи, зазначені у пункті 1, підпункті "а" пункту </w:t>
            </w:r>
            <w:r w:rsidRPr="00F61EE0">
              <w:rPr>
                <w:rStyle w:val="rvts9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2 частини першої статті 3 цього Закону, зобов’язані передати </w:t>
            </w:r>
            <w:r w:rsidR="009B1216" w:rsidRPr="00F61EE0">
              <w:rPr>
                <w:rStyle w:val="rvts9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такі</w:t>
            </w:r>
            <w:r w:rsidRPr="00F61EE0">
              <w:rPr>
                <w:rStyle w:val="rvts9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належні їм акції в управління іншій особі протягом 30 днів з дати відновлення внесення змін до системи депозитарного обліку щодо </w:t>
            </w:r>
            <w:r w:rsidR="0018761D" w:rsidRPr="00F61EE0">
              <w:rPr>
                <w:rStyle w:val="rvts9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відповідних</w:t>
            </w:r>
            <w:r w:rsidRPr="00F61EE0">
              <w:rPr>
                <w:rStyle w:val="rvts9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акцій. </w:t>
            </w:r>
          </w:p>
          <w:p w14:paraId="2CD82B3E" w14:textId="77777777" w:rsidR="00EE4687" w:rsidRPr="00F61EE0" w:rsidRDefault="00EE4687" w:rsidP="00EE468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2C4696BC" w14:textId="77777777" w:rsidR="006F00D7" w:rsidRPr="00F61EE0" w:rsidRDefault="00EE4687" w:rsidP="002F62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 xml:space="preserve">У </w:t>
            </w:r>
            <w:r w:rsidR="00A460A8" w:rsidRPr="00F61EE0">
              <w:rPr>
                <w:rStyle w:val="rvts9"/>
                <w:b/>
                <w:sz w:val="28"/>
                <w:szCs w:val="28"/>
                <w:shd w:val="clear" w:color="auto" w:fill="FFFFFF"/>
                <w:lang w:val="uk-UA"/>
              </w:rPr>
              <w:t>вказаних</w:t>
            </w:r>
            <w:r w:rsidR="00004594" w:rsidRPr="00F61EE0">
              <w:rPr>
                <w:rStyle w:val="rvts9"/>
                <w:b/>
                <w:sz w:val="28"/>
                <w:szCs w:val="28"/>
                <w:shd w:val="clear" w:color="auto" w:fill="FFFFFF"/>
                <w:lang w:val="uk-UA"/>
              </w:rPr>
              <w:t xml:space="preserve"> вище випадках</w:t>
            </w:r>
            <w:r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 xml:space="preserve"> особам, зазначеним у пункті 1, підпункті "а" пункту 2 частини першої статті 3 цього Закону, забороняється передавати в управління належні їм підприємства та корпоративні права на користь членів своєї сім’ї.</w:t>
            </w:r>
          </w:p>
          <w:p w14:paraId="565B0EAD" w14:textId="77777777" w:rsidR="00813FEC" w:rsidRPr="00F61EE0" w:rsidRDefault="00813FEC" w:rsidP="002F62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3051087D" w14:textId="5CD9570C" w:rsidR="00813FEC" w:rsidRPr="00F61EE0" w:rsidRDefault="00813FEC" w:rsidP="002F62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</w:tc>
      </w:tr>
      <w:tr w:rsidR="002F6268" w:rsidRPr="00411BDA" w14:paraId="55CC2066" w14:textId="77777777" w:rsidTr="00411BDA">
        <w:tc>
          <w:tcPr>
            <w:tcW w:w="14786" w:type="dxa"/>
            <w:gridSpan w:val="2"/>
            <w:shd w:val="clear" w:color="auto" w:fill="F2F2F2" w:themeFill="background1" w:themeFillShade="F2"/>
            <w:hideMark/>
          </w:tcPr>
          <w:p w14:paraId="4B74AAE0" w14:textId="023C6AA2" w:rsidR="002F6268" w:rsidRPr="00F61EE0" w:rsidRDefault="002F6268" w:rsidP="002821E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61EE0">
              <w:rPr>
                <w:b/>
                <w:bCs/>
                <w:sz w:val="28"/>
                <w:szCs w:val="28"/>
                <w:lang w:val="uk-UA"/>
              </w:rPr>
              <w:lastRenderedPageBreak/>
              <w:t>Закон України "</w:t>
            </w:r>
            <w:r w:rsidR="00813FEC" w:rsidRPr="00F61EE0">
              <w:rPr>
                <w:b/>
                <w:bCs/>
                <w:sz w:val="28"/>
                <w:szCs w:val="28"/>
                <w:lang w:val="uk-UA"/>
              </w:rPr>
              <w:t>Про цінні папери та фондовий ринок</w:t>
            </w:r>
            <w:r w:rsidRPr="00F61EE0">
              <w:rPr>
                <w:b/>
                <w:bCs/>
                <w:sz w:val="28"/>
                <w:szCs w:val="28"/>
                <w:lang w:val="uk-UA"/>
              </w:rPr>
              <w:t>"</w:t>
            </w:r>
          </w:p>
        </w:tc>
      </w:tr>
      <w:tr w:rsidR="00D01694" w:rsidRPr="00F61EE0" w14:paraId="30510887" w14:textId="77777777" w:rsidTr="00411BDA">
        <w:tc>
          <w:tcPr>
            <w:tcW w:w="7393" w:type="dxa"/>
          </w:tcPr>
          <w:p w14:paraId="30510880" w14:textId="683030C8" w:rsidR="006204E7" w:rsidRPr="00F61EE0" w:rsidRDefault="00A37646" w:rsidP="00D01694">
            <w:pPr>
              <w:autoSpaceDE w:val="0"/>
              <w:autoSpaceDN w:val="0"/>
              <w:adjustRightInd w:val="0"/>
              <w:ind w:firstLine="567"/>
              <w:contextualSpacing/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61EE0"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Стаття 17. Діяльність з торгівлі цінними паперами</w:t>
            </w:r>
          </w:p>
          <w:p w14:paraId="1BCC53F5" w14:textId="08BD95AE" w:rsidR="00A37646" w:rsidRPr="00F61EE0" w:rsidRDefault="00A37646" w:rsidP="00D01694">
            <w:pPr>
              <w:autoSpaceDE w:val="0"/>
              <w:autoSpaceDN w:val="0"/>
              <w:adjustRightInd w:val="0"/>
              <w:ind w:firstLine="567"/>
              <w:contextualSpacing/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6C23E61C" w14:textId="059C5261" w:rsidR="00A37646" w:rsidRPr="00F61EE0" w:rsidRDefault="009A0509" w:rsidP="00D01694">
            <w:pPr>
              <w:autoSpaceDE w:val="0"/>
              <w:autoSpaceDN w:val="0"/>
              <w:adjustRightInd w:val="0"/>
              <w:ind w:firstLine="567"/>
              <w:contextualSpacing/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61EE0"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5910FAF3" w14:textId="7B782074" w:rsidR="009A0509" w:rsidRPr="00F61EE0" w:rsidRDefault="009A0509" w:rsidP="009A0509">
            <w:pPr>
              <w:autoSpaceDE w:val="0"/>
              <w:autoSpaceDN w:val="0"/>
              <w:adjustRightInd w:val="0"/>
              <w:ind w:firstLine="567"/>
              <w:contextualSpacing/>
              <w:rPr>
                <w:rStyle w:val="rvts9"/>
                <w:bCs/>
                <w:color w:val="000000"/>
                <w:sz w:val="28"/>
                <w:szCs w:val="28"/>
                <w:lang w:val="uk-UA"/>
              </w:rPr>
            </w:pPr>
          </w:p>
          <w:p w14:paraId="6E104755" w14:textId="77777777" w:rsidR="009A0509" w:rsidRPr="00F61EE0" w:rsidRDefault="009A0509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t xml:space="preserve">5. Діяльність з управління цінними паперами - діяльність, яка провадиться торговцем цінними паперами від свого імені за винагороду протягом визначеного строку </w:t>
            </w:r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lastRenderedPageBreak/>
              <w:t>на підставі договору про управління переданими йому цінними паперами, іншими фінансовими інструментами та коштами, призначеними для інвестування в цінні папери та інші фінансові інструменти, а також отриманими у процесі управління цінними паперами, іншими фінансовими інструментами і коштами в інтересах установника управління або визначених ним третіх осіб.</w:t>
            </w:r>
          </w:p>
          <w:p w14:paraId="3F0306FC" w14:textId="77777777" w:rsidR="00BB5637" w:rsidRPr="00F61EE0" w:rsidRDefault="00BB5637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bookmarkStart w:id="3" w:name="n425"/>
            <w:bookmarkStart w:id="4" w:name="n426"/>
            <w:bookmarkEnd w:id="3"/>
            <w:bookmarkEnd w:id="4"/>
          </w:p>
          <w:p w14:paraId="2A99A2C2" w14:textId="22F57E82" w:rsidR="009A0509" w:rsidRPr="00F61EE0" w:rsidRDefault="009A0509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t>Договір про управління цінними паперами, іншими фінансовими інструментами і коштами, призначеними для інвестування в цінні папери та інші фінансові інструменти, може передбачати виникнення у торговця цінними паперами права довірчої власності на передані йому в управління цінні папери, інші фінансові інструменти і кошти, призначені для інвестування в цінні папери та інші фінансові інструменти, а також виникнення права довірчої власності на кошти, цінні папери, інші фінансові інструменти, отримані торговцем цінними паперами від управління цінними паперами та іншими фінансовими інструментами.</w:t>
            </w:r>
          </w:p>
          <w:p w14:paraId="6402A78E" w14:textId="77777777" w:rsidR="00BB5637" w:rsidRPr="00F61EE0" w:rsidRDefault="00BB5637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bookmarkStart w:id="5" w:name="n427"/>
            <w:bookmarkStart w:id="6" w:name="n428"/>
            <w:bookmarkEnd w:id="5"/>
            <w:bookmarkEnd w:id="6"/>
          </w:p>
          <w:p w14:paraId="6DBBA3EF" w14:textId="258114AB" w:rsidR="009A0509" w:rsidRPr="00F61EE0" w:rsidRDefault="009A0509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lastRenderedPageBreak/>
              <w:t>Торговець цінними паперами, який провадить діяльність з управління цінними паперами, може надавати консультації, пов’язані з обслуговуванням установника управління.</w:t>
            </w:r>
          </w:p>
          <w:p w14:paraId="6CE3D334" w14:textId="77777777" w:rsidR="00BB5637" w:rsidRPr="00F61EE0" w:rsidRDefault="00BB5637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bookmarkStart w:id="7" w:name="n429"/>
            <w:bookmarkStart w:id="8" w:name="n430"/>
            <w:bookmarkEnd w:id="7"/>
            <w:bookmarkEnd w:id="8"/>
          </w:p>
          <w:p w14:paraId="08069FE2" w14:textId="6D676A30" w:rsidR="009A0509" w:rsidRPr="00F61EE0" w:rsidRDefault="009A0509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t>Торговець цінними паперами має право укладати договори про управління цінними паперами з фізичними та юридичними особами.</w:t>
            </w:r>
          </w:p>
          <w:p w14:paraId="33619479" w14:textId="77777777" w:rsidR="00BB5637" w:rsidRPr="00F61EE0" w:rsidRDefault="00BB5637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01304A04" w14:textId="4189A220" w:rsidR="009A0509" w:rsidRPr="00F61EE0" w:rsidRDefault="009A0509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bookmarkStart w:id="9" w:name="n431"/>
            <w:bookmarkEnd w:id="9"/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t>Сума договору про управління цінними паперами з одним клієнтом - фізичною особою має становити не менше суми, еквівалентної 100 мінімальним заробітним платам.</w:t>
            </w:r>
          </w:p>
          <w:p w14:paraId="581D79FE" w14:textId="038E75E0" w:rsidR="00BB5637" w:rsidRPr="00F61EE0" w:rsidRDefault="00BB5637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0B4CD5F7" w14:textId="1DB91211" w:rsidR="00783DBD" w:rsidRPr="00F61EE0" w:rsidRDefault="00783DBD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5FF6C587" w14:textId="77777777" w:rsidR="00783DBD" w:rsidRPr="00F61EE0" w:rsidRDefault="00783DBD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3FAD1ABB" w14:textId="6EE74FF9" w:rsidR="00284A4F" w:rsidRPr="00F61EE0" w:rsidRDefault="00284A4F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3AF3EDB5" w14:textId="77777777" w:rsidR="00284A4F" w:rsidRPr="00F61EE0" w:rsidRDefault="00284A4F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349435AC" w14:textId="7DDDF357" w:rsidR="009A0509" w:rsidRPr="00F61EE0" w:rsidRDefault="009A0509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bookmarkStart w:id="10" w:name="n432"/>
            <w:bookmarkEnd w:id="10"/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t>Істотні умови договору про управління цінними паперами встановлюються законом та за домовленістю сторін.</w:t>
            </w:r>
          </w:p>
          <w:p w14:paraId="46CD4A4A" w14:textId="77777777" w:rsidR="00BB5637" w:rsidRPr="00F61EE0" w:rsidRDefault="00BB5637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34DBE67F" w14:textId="4CA7D21F" w:rsidR="009A0509" w:rsidRPr="00F61EE0" w:rsidRDefault="009A0509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bookmarkStart w:id="11" w:name="n433"/>
            <w:bookmarkEnd w:id="11"/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lastRenderedPageBreak/>
              <w:t>Договір про управління цінними паперами не може укладатися торговцем цінними паперами з компанією з управління активами.</w:t>
            </w:r>
          </w:p>
          <w:p w14:paraId="5D34D5E9" w14:textId="77777777" w:rsidR="00BB5637" w:rsidRPr="00F61EE0" w:rsidRDefault="00BB5637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73266166" w14:textId="1A53601E" w:rsidR="009A0509" w:rsidRPr="00F61EE0" w:rsidRDefault="009A0509" w:rsidP="009A050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bookmarkStart w:id="12" w:name="n434"/>
            <w:bookmarkEnd w:id="12"/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t>Торговець цінними паперами здійснює управління цінними паперами відповідно до вимог</w:t>
            </w:r>
            <w:r w:rsidR="0000625E" w:rsidRPr="00F61EE0">
              <w:rPr>
                <w:rStyle w:val="rvts9"/>
                <w:bCs/>
                <w:sz w:val="28"/>
                <w:szCs w:val="28"/>
                <w:lang w:val="uk-UA"/>
              </w:rPr>
              <w:t xml:space="preserve"> </w:t>
            </w:r>
            <w:hyperlink r:id="rId13" w:tgtFrame="_blank" w:history="1">
              <w:r w:rsidRPr="00F61EE0">
                <w:rPr>
                  <w:rStyle w:val="rvts9"/>
                  <w:bCs/>
                  <w:color w:val="000000"/>
                  <w:sz w:val="28"/>
                  <w:szCs w:val="28"/>
                  <w:lang w:val="uk-UA"/>
                </w:rPr>
                <w:t>Цивільного кодексу України</w:t>
              </w:r>
            </w:hyperlink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t>, цього Закону, інших законів, нормативно-правових актів Національної комісії з цінних паперів та фондового ринку.</w:t>
            </w:r>
          </w:p>
          <w:p w14:paraId="66BC7407" w14:textId="77777777" w:rsidR="006204E7" w:rsidRPr="00F61EE0" w:rsidRDefault="006204E7" w:rsidP="00BB5637">
            <w:pPr>
              <w:autoSpaceDE w:val="0"/>
              <w:autoSpaceDN w:val="0"/>
              <w:adjustRightInd w:val="0"/>
              <w:ind w:firstLine="567"/>
              <w:contextualSpacing/>
              <w:rPr>
                <w:sz w:val="28"/>
                <w:szCs w:val="28"/>
                <w:lang w:val="uk-UA"/>
              </w:rPr>
            </w:pPr>
          </w:p>
          <w:p w14:paraId="30510882" w14:textId="35E52F78" w:rsidR="0082493E" w:rsidRPr="00F61EE0" w:rsidRDefault="0082493E" w:rsidP="00BB5637">
            <w:pPr>
              <w:autoSpaceDE w:val="0"/>
              <w:autoSpaceDN w:val="0"/>
              <w:adjustRightInd w:val="0"/>
              <w:ind w:firstLine="567"/>
              <w:contextualSpacing/>
              <w:rPr>
                <w:sz w:val="28"/>
                <w:szCs w:val="28"/>
                <w:lang w:val="uk-UA"/>
              </w:rPr>
            </w:pPr>
            <w:r w:rsidRPr="00F61EE0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7393" w:type="dxa"/>
          </w:tcPr>
          <w:p w14:paraId="112C37BF" w14:textId="77777777" w:rsidR="00BB5637" w:rsidRPr="00F61EE0" w:rsidRDefault="00BB5637" w:rsidP="00BB5637">
            <w:pPr>
              <w:autoSpaceDE w:val="0"/>
              <w:autoSpaceDN w:val="0"/>
              <w:adjustRightInd w:val="0"/>
              <w:ind w:firstLine="567"/>
              <w:contextualSpacing/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61EE0"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Стаття 17. Діяльність з торгівлі цінними паперами</w:t>
            </w:r>
          </w:p>
          <w:p w14:paraId="68634A60" w14:textId="77777777" w:rsidR="00BB5637" w:rsidRPr="00F61EE0" w:rsidRDefault="00BB5637" w:rsidP="00BB5637">
            <w:pPr>
              <w:autoSpaceDE w:val="0"/>
              <w:autoSpaceDN w:val="0"/>
              <w:adjustRightInd w:val="0"/>
              <w:ind w:firstLine="567"/>
              <w:contextualSpacing/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44293EF9" w14:textId="77777777" w:rsidR="00BB5637" w:rsidRPr="00F61EE0" w:rsidRDefault="00BB5637" w:rsidP="00BB5637">
            <w:pPr>
              <w:autoSpaceDE w:val="0"/>
              <w:autoSpaceDN w:val="0"/>
              <w:adjustRightInd w:val="0"/>
              <w:ind w:firstLine="567"/>
              <w:contextualSpacing/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61EE0"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7D619C70" w14:textId="77777777" w:rsidR="00BB5637" w:rsidRPr="00F61EE0" w:rsidRDefault="00BB5637" w:rsidP="00BB5637">
            <w:pPr>
              <w:autoSpaceDE w:val="0"/>
              <w:autoSpaceDN w:val="0"/>
              <w:adjustRightInd w:val="0"/>
              <w:ind w:firstLine="567"/>
              <w:contextualSpacing/>
              <w:rPr>
                <w:rStyle w:val="rvts9"/>
                <w:bCs/>
                <w:color w:val="000000"/>
                <w:sz w:val="28"/>
                <w:szCs w:val="28"/>
                <w:lang w:val="uk-UA"/>
              </w:rPr>
            </w:pPr>
          </w:p>
          <w:p w14:paraId="24BB678E" w14:textId="77777777" w:rsidR="00BB5637" w:rsidRPr="00F61EE0" w:rsidRDefault="00BB5637" w:rsidP="00BB563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t xml:space="preserve">5. Діяльність з управління цінними паперами - діяльність, яка провадиться торговцем цінними паперами від свого імені за винагороду протягом визначеного строку </w:t>
            </w:r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lastRenderedPageBreak/>
              <w:t>на підставі договору про управління переданими йому цінними паперами, іншими фінансовими інструментами та коштами, призначеними для інвестування в цінні папери та інші фінансові інструменти, а також отриманими у процесі управління цінними паперами, іншими фінансовими інструментами і коштами в інтересах установника управління або визначених ним третіх осіб.</w:t>
            </w:r>
          </w:p>
          <w:p w14:paraId="44807798" w14:textId="77777777" w:rsidR="00BB5637" w:rsidRPr="00F61EE0" w:rsidRDefault="00BB5637" w:rsidP="00BB563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0F78E73A" w14:textId="77777777" w:rsidR="00BB5637" w:rsidRPr="00F61EE0" w:rsidRDefault="00BB5637" w:rsidP="00BB563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t>Договір про управління цінними паперами, іншими фінансовими інструментами і коштами, призначеними для інвестування в цінні папери та інші фінансові інструменти, може передбачати виникнення у торговця цінними паперами права довірчої власності на передані йому в управління цінні папери, інші фінансові інструменти і кошти, призначені для інвестування в цінні папери та інші фінансові інструменти, а також виникнення права довірчої власності на кошти, цінні папери, інші фінансові інструменти, отримані торговцем цінними паперами від управління цінними паперами та іншими фінансовими інструментами.</w:t>
            </w:r>
          </w:p>
          <w:p w14:paraId="2C4B49DA" w14:textId="77777777" w:rsidR="00BB5637" w:rsidRPr="00F61EE0" w:rsidRDefault="00BB5637" w:rsidP="00BB563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5F5D095C" w14:textId="77777777" w:rsidR="00BB5637" w:rsidRPr="00F61EE0" w:rsidRDefault="00BB5637" w:rsidP="00BB563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lastRenderedPageBreak/>
              <w:t>Торговець цінними паперами, який провадить діяльність з управління цінними паперами, може надавати консультації, пов’язані з обслуговуванням установника управління.</w:t>
            </w:r>
          </w:p>
          <w:p w14:paraId="0F3CEE1C" w14:textId="77777777" w:rsidR="00BB5637" w:rsidRPr="00F61EE0" w:rsidRDefault="00BB5637" w:rsidP="00BB563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2F8759ED" w14:textId="77777777" w:rsidR="00BB5637" w:rsidRPr="00F61EE0" w:rsidRDefault="00BB5637" w:rsidP="00BB563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t>Торговець цінними паперами має право укладати договори про управління цінними паперами з фізичними та юридичними особами.</w:t>
            </w:r>
          </w:p>
          <w:p w14:paraId="7691A3F3" w14:textId="77777777" w:rsidR="00BB5637" w:rsidRPr="00F61EE0" w:rsidRDefault="00BB5637" w:rsidP="00BB563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38740E2E" w14:textId="0CEB4CA0" w:rsidR="006864A3" w:rsidRPr="00F61EE0" w:rsidRDefault="00BB5637" w:rsidP="00D15E4A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t>Сума договору про управління цінними паперами з одним клієнтом - фізичною особою має становити не менше суми, еквівалентної 100 мінімальним заробітним платам.</w:t>
            </w:r>
            <w:r w:rsidR="00284A4F" w:rsidRPr="00F61EE0">
              <w:rPr>
                <w:rStyle w:val="rvts9"/>
                <w:bCs/>
                <w:sz w:val="28"/>
                <w:szCs w:val="28"/>
                <w:lang w:val="uk-UA"/>
              </w:rPr>
              <w:t xml:space="preserve"> </w:t>
            </w:r>
            <w:r w:rsidR="00783DBD" w:rsidRPr="00F61EE0">
              <w:rPr>
                <w:rStyle w:val="rvts9"/>
                <w:b/>
                <w:sz w:val="28"/>
                <w:szCs w:val="28"/>
                <w:lang w:val="uk-UA"/>
              </w:rPr>
              <w:t>Вказане</w:t>
            </w:r>
            <w:r w:rsidR="00284A4F" w:rsidRPr="00F61EE0">
              <w:rPr>
                <w:rStyle w:val="rvts9"/>
                <w:b/>
                <w:sz w:val="28"/>
                <w:szCs w:val="28"/>
                <w:lang w:val="uk-UA"/>
              </w:rPr>
              <w:t xml:space="preserve"> обмеження </w:t>
            </w:r>
            <w:r w:rsidR="00783DBD" w:rsidRPr="00F61EE0">
              <w:rPr>
                <w:rStyle w:val="rvts9"/>
                <w:b/>
                <w:sz w:val="28"/>
                <w:szCs w:val="28"/>
                <w:lang w:val="uk-UA"/>
              </w:rPr>
              <w:t>щодо</w:t>
            </w:r>
            <w:r w:rsidR="00284A4F" w:rsidRPr="00F61EE0">
              <w:rPr>
                <w:rStyle w:val="rvts9"/>
                <w:b/>
                <w:sz w:val="28"/>
                <w:szCs w:val="28"/>
                <w:lang w:val="uk-UA"/>
              </w:rPr>
              <w:t xml:space="preserve"> суми</w:t>
            </w:r>
            <w:r w:rsidR="00C5547F" w:rsidRPr="00F61EE0">
              <w:rPr>
                <w:rStyle w:val="rvts9"/>
                <w:b/>
                <w:sz w:val="28"/>
                <w:szCs w:val="28"/>
                <w:lang w:val="uk-UA"/>
              </w:rPr>
              <w:t xml:space="preserve"> </w:t>
            </w:r>
            <w:r w:rsidR="00284A4F" w:rsidRPr="00F61EE0">
              <w:rPr>
                <w:rStyle w:val="rvts9"/>
                <w:b/>
                <w:sz w:val="28"/>
                <w:szCs w:val="28"/>
                <w:lang w:val="uk-UA"/>
              </w:rPr>
              <w:t xml:space="preserve">не поширюється на </w:t>
            </w:r>
            <w:r w:rsidR="003318E9">
              <w:rPr>
                <w:rStyle w:val="rvts9"/>
                <w:b/>
                <w:sz w:val="28"/>
                <w:szCs w:val="28"/>
                <w:lang w:val="uk-UA"/>
              </w:rPr>
              <w:t>договори</w:t>
            </w:r>
            <w:r w:rsidR="00834D2C" w:rsidRPr="00F61EE0">
              <w:rPr>
                <w:rStyle w:val="rvts9"/>
                <w:b/>
                <w:sz w:val="28"/>
                <w:szCs w:val="28"/>
                <w:lang w:val="uk-UA"/>
              </w:rPr>
              <w:t xml:space="preserve"> про управління цінними паперами</w:t>
            </w:r>
            <w:r w:rsidR="003318E9">
              <w:rPr>
                <w:rStyle w:val="rvts9"/>
                <w:b/>
                <w:sz w:val="28"/>
                <w:szCs w:val="28"/>
                <w:lang w:val="uk-UA"/>
              </w:rPr>
              <w:t xml:space="preserve">, </w:t>
            </w:r>
            <w:r w:rsidR="000045DB">
              <w:rPr>
                <w:rStyle w:val="rvts9"/>
                <w:b/>
                <w:sz w:val="28"/>
                <w:szCs w:val="28"/>
                <w:lang w:val="uk-UA"/>
              </w:rPr>
              <w:t>що укладаються</w:t>
            </w:r>
            <w:r w:rsidR="00695BCE">
              <w:rPr>
                <w:rStyle w:val="rvts9"/>
                <w:b/>
                <w:sz w:val="28"/>
                <w:szCs w:val="28"/>
                <w:lang w:val="uk-UA"/>
              </w:rPr>
              <w:t xml:space="preserve"> </w:t>
            </w:r>
            <w:r w:rsidR="00783DBD" w:rsidRPr="00F61EE0">
              <w:rPr>
                <w:rStyle w:val="rvts9"/>
                <w:b/>
                <w:sz w:val="28"/>
                <w:szCs w:val="28"/>
                <w:lang w:val="uk-UA"/>
              </w:rPr>
              <w:t>на виконання вимог статті 36 Закону України "Про запобігання корупції".</w:t>
            </w:r>
          </w:p>
          <w:p w14:paraId="51254BD8" w14:textId="77777777" w:rsidR="006864A3" w:rsidRPr="00F61EE0" w:rsidRDefault="006864A3" w:rsidP="00BB563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2308517A" w14:textId="77777777" w:rsidR="00BB5637" w:rsidRPr="00F61EE0" w:rsidRDefault="00BB5637" w:rsidP="00BB563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t>Істотні умови договору про управління цінними паперами встановлюються законом та за домовленістю сторін.</w:t>
            </w:r>
          </w:p>
          <w:p w14:paraId="112A869F" w14:textId="77777777" w:rsidR="00BB5637" w:rsidRPr="00F61EE0" w:rsidRDefault="00BB5637" w:rsidP="00BB563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277B3850" w14:textId="77777777" w:rsidR="00BB5637" w:rsidRPr="00F61EE0" w:rsidRDefault="00BB5637" w:rsidP="00BB563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lastRenderedPageBreak/>
              <w:t>Договір про управління цінними паперами не може укладатися торговцем цінними паперами з компанією з управління активами.</w:t>
            </w:r>
          </w:p>
          <w:p w14:paraId="3D2C1188" w14:textId="77777777" w:rsidR="00BB5637" w:rsidRPr="00F61EE0" w:rsidRDefault="00BB5637" w:rsidP="00BB563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</w:p>
          <w:p w14:paraId="5EA95849" w14:textId="57B24ED3" w:rsidR="00BB5637" w:rsidRPr="00F61EE0" w:rsidRDefault="00BB5637" w:rsidP="00BB563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t>Торговець цінними паперами здійснює управління цінними паперами відповідно до вимог</w:t>
            </w:r>
            <w:r w:rsidR="0000625E" w:rsidRPr="00F61EE0">
              <w:rPr>
                <w:rStyle w:val="rvts9"/>
                <w:bCs/>
                <w:sz w:val="28"/>
                <w:szCs w:val="28"/>
                <w:lang w:val="uk-UA"/>
              </w:rPr>
              <w:t xml:space="preserve"> </w:t>
            </w:r>
            <w:hyperlink r:id="rId14" w:tgtFrame="_blank" w:history="1">
              <w:r w:rsidRPr="00F61EE0">
                <w:rPr>
                  <w:rStyle w:val="rvts9"/>
                  <w:bCs/>
                  <w:color w:val="000000"/>
                  <w:sz w:val="28"/>
                  <w:szCs w:val="28"/>
                  <w:lang w:val="uk-UA"/>
                </w:rPr>
                <w:t>Цивільного кодексу України</w:t>
              </w:r>
            </w:hyperlink>
            <w:r w:rsidRPr="00F61EE0">
              <w:rPr>
                <w:rStyle w:val="rvts9"/>
                <w:bCs/>
                <w:sz w:val="28"/>
                <w:szCs w:val="28"/>
                <w:lang w:val="uk-UA"/>
              </w:rPr>
              <w:t>, цього Закону, інших законів, нормативно-правових актів Національної комісії з цінних паперів та фондового ринку.</w:t>
            </w:r>
          </w:p>
          <w:p w14:paraId="48237A8F" w14:textId="77777777" w:rsidR="008B5C53" w:rsidRPr="00F61EE0" w:rsidRDefault="008B5C53" w:rsidP="00BB5637">
            <w:pPr>
              <w:autoSpaceDE w:val="0"/>
              <w:autoSpaceDN w:val="0"/>
              <w:adjustRightInd w:val="0"/>
              <w:ind w:firstLine="567"/>
              <w:contextualSpacing/>
              <w:rPr>
                <w:bCs/>
                <w:sz w:val="28"/>
                <w:szCs w:val="28"/>
                <w:lang w:val="uk-UA"/>
              </w:rPr>
            </w:pPr>
          </w:p>
          <w:p w14:paraId="76374BDC" w14:textId="77777777" w:rsidR="0082493E" w:rsidRPr="00F61EE0" w:rsidRDefault="0082493E" w:rsidP="00BB5637">
            <w:pPr>
              <w:autoSpaceDE w:val="0"/>
              <w:autoSpaceDN w:val="0"/>
              <w:adjustRightInd w:val="0"/>
              <w:ind w:firstLine="567"/>
              <w:contextualSpacing/>
              <w:rPr>
                <w:bCs/>
                <w:sz w:val="28"/>
                <w:szCs w:val="28"/>
                <w:lang w:val="uk-UA"/>
              </w:rPr>
            </w:pPr>
            <w:r w:rsidRPr="00F61EE0">
              <w:rPr>
                <w:bCs/>
                <w:sz w:val="28"/>
                <w:szCs w:val="28"/>
                <w:lang w:val="uk-UA"/>
              </w:rPr>
              <w:t>…</w:t>
            </w:r>
          </w:p>
          <w:p w14:paraId="30510886" w14:textId="0E97F24E" w:rsidR="0082493E" w:rsidRPr="00F61EE0" w:rsidRDefault="0082493E" w:rsidP="00BB5637">
            <w:pPr>
              <w:autoSpaceDE w:val="0"/>
              <w:autoSpaceDN w:val="0"/>
              <w:adjustRightInd w:val="0"/>
              <w:ind w:firstLine="567"/>
              <w:contextualSpacing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3051089D" w14:textId="77777777" w:rsidR="00052DC3" w:rsidRDefault="00052DC3" w:rsidP="00D01694">
      <w:pPr>
        <w:rPr>
          <w:lang w:val="uk-UA"/>
        </w:rPr>
      </w:pPr>
    </w:p>
    <w:p w14:paraId="3051089E" w14:textId="77777777" w:rsidR="008113EA" w:rsidRDefault="008113EA" w:rsidP="00D01694">
      <w:pPr>
        <w:rPr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8"/>
        <w:gridCol w:w="6970"/>
      </w:tblGrid>
      <w:tr w:rsidR="008113EA" w:rsidRPr="008113EA" w14:paraId="305108A1" w14:textId="77777777" w:rsidTr="008113EA">
        <w:tc>
          <w:tcPr>
            <w:tcW w:w="7087" w:type="dxa"/>
          </w:tcPr>
          <w:p w14:paraId="3051089F" w14:textId="77777777" w:rsidR="008113EA" w:rsidRPr="008113EA" w:rsidRDefault="008113EA" w:rsidP="008113EA">
            <w:pPr>
              <w:ind w:left="708"/>
              <w:rPr>
                <w:b/>
                <w:bCs/>
                <w:sz w:val="28"/>
                <w:szCs w:val="28"/>
                <w:lang w:val="uk-UA"/>
              </w:rPr>
            </w:pPr>
            <w:r w:rsidRPr="008113EA">
              <w:rPr>
                <w:b/>
                <w:bCs/>
                <w:sz w:val="28"/>
                <w:szCs w:val="28"/>
                <w:lang w:val="uk-UA"/>
              </w:rPr>
              <w:t>Народний депутат України</w:t>
            </w:r>
          </w:p>
        </w:tc>
        <w:tc>
          <w:tcPr>
            <w:tcW w:w="7087" w:type="dxa"/>
          </w:tcPr>
          <w:p w14:paraId="305108A0" w14:textId="7EF70000" w:rsidR="008113EA" w:rsidRPr="008113EA" w:rsidRDefault="008113EA" w:rsidP="008113EA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8113EA">
              <w:rPr>
                <w:b/>
                <w:bCs/>
                <w:sz w:val="28"/>
                <w:szCs w:val="28"/>
                <w:lang w:val="uk-UA"/>
              </w:rPr>
              <w:t>Макаров О.А. (посв. №</w:t>
            </w:r>
            <w:r w:rsidR="008628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113EA">
              <w:rPr>
                <w:b/>
                <w:bCs/>
                <w:sz w:val="28"/>
                <w:szCs w:val="28"/>
                <w:lang w:val="uk-UA"/>
              </w:rPr>
              <w:t>214)</w:t>
            </w:r>
          </w:p>
        </w:tc>
      </w:tr>
      <w:tr w:rsidR="005A1CE3" w:rsidRPr="008113EA" w14:paraId="305108A5" w14:textId="77777777" w:rsidTr="008113EA">
        <w:tc>
          <w:tcPr>
            <w:tcW w:w="7087" w:type="dxa"/>
          </w:tcPr>
          <w:p w14:paraId="305108A2" w14:textId="77777777" w:rsidR="005A1CE3" w:rsidRDefault="005A1CE3" w:rsidP="008113EA">
            <w:pPr>
              <w:ind w:left="708"/>
              <w:rPr>
                <w:b/>
                <w:bCs/>
                <w:sz w:val="28"/>
                <w:szCs w:val="28"/>
                <w:lang w:val="uk-UA"/>
              </w:rPr>
            </w:pPr>
          </w:p>
          <w:p w14:paraId="305108A3" w14:textId="77777777" w:rsidR="005A1CE3" w:rsidRPr="008113EA" w:rsidRDefault="005A1CE3" w:rsidP="008113EA">
            <w:pPr>
              <w:ind w:left="7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Інші народні депутати України</w:t>
            </w:r>
          </w:p>
        </w:tc>
        <w:tc>
          <w:tcPr>
            <w:tcW w:w="7087" w:type="dxa"/>
          </w:tcPr>
          <w:p w14:paraId="305108A4" w14:textId="77777777" w:rsidR="005A1CE3" w:rsidRPr="008113EA" w:rsidRDefault="005A1CE3" w:rsidP="008113EA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05108A6" w14:textId="77777777" w:rsidR="008113EA" w:rsidRPr="006204E7" w:rsidRDefault="008113EA" w:rsidP="00D01694">
      <w:pPr>
        <w:rPr>
          <w:lang w:val="uk-UA"/>
        </w:rPr>
      </w:pPr>
    </w:p>
    <w:sectPr w:rsidR="008113EA" w:rsidRPr="006204E7" w:rsidSect="001909ED">
      <w:footerReference w:type="default" r:id="rId15"/>
      <w:pgSz w:w="16838" w:h="11906" w:orient="landscape"/>
      <w:pgMar w:top="1560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5728" w14:textId="77777777" w:rsidR="00B70B82" w:rsidRDefault="00B70B82" w:rsidP="00194077">
      <w:pPr>
        <w:spacing w:line="240" w:lineRule="auto"/>
      </w:pPr>
      <w:r>
        <w:separator/>
      </w:r>
    </w:p>
  </w:endnote>
  <w:endnote w:type="continuationSeparator" w:id="0">
    <w:p w14:paraId="4E9477E6" w14:textId="77777777" w:rsidR="00B70B82" w:rsidRDefault="00B70B82" w:rsidP="00194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08AB" w14:textId="318F2E04" w:rsidR="006204E7" w:rsidRDefault="006204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51C5E" w:rsidRPr="00551C5E">
      <w:rPr>
        <w:noProof/>
        <w:lang w:val="uk-UA"/>
      </w:rPr>
      <w:t>5</w:t>
    </w:r>
    <w:r>
      <w:fldChar w:fldCharType="end"/>
    </w:r>
  </w:p>
  <w:p w14:paraId="305108AC" w14:textId="77777777" w:rsidR="006204E7" w:rsidRDefault="006204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71A2" w14:textId="77777777" w:rsidR="00B70B82" w:rsidRDefault="00B70B82" w:rsidP="00194077">
      <w:pPr>
        <w:spacing w:line="240" w:lineRule="auto"/>
      </w:pPr>
      <w:r>
        <w:separator/>
      </w:r>
    </w:p>
  </w:footnote>
  <w:footnote w:type="continuationSeparator" w:id="0">
    <w:p w14:paraId="7333260D" w14:textId="77777777" w:rsidR="00B70B82" w:rsidRDefault="00B70B82" w:rsidP="001940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94"/>
    <w:rsid w:val="00004594"/>
    <w:rsid w:val="000045DB"/>
    <w:rsid w:val="0000625E"/>
    <w:rsid w:val="00014592"/>
    <w:rsid w:val="000302E2"/>
    <w:rsid w:val="00046E4E"/>
    <w:rsid w:val="00052DC3"/>
    <w:rsid w:val="00057149"/>
    <w:rsid w:val="00074BF4"/>
    <w:rsid w:val="0009074E"/>
    <w:rsid w:val="000966AA"/>
    <w:rsid w:val="000C1919"/>
    <w:rsid w:val="000D3909"/>
    <w:rsid w:val="001351D5"/>
    <w:rsid w:val="0018761D"/>
    <w:rsid w:val="001909ED"/>
    <w:rsid w:val="00194077"/>
    <w:rsid w:val="001A7DDE"/>
    <w:rsid w:val="001E364A"/>
    <w:rsid w:val="00251F09"/>
    <w:rsid w:val="00270FFC"/>
    <w:rsid w:val="00284A4F"/>
    <w:rsid w:val="00293951"/>
    <w:rsid w:val="002E7A6C"/>
    <w:rsid w:val="002F0764"/>
    <w:rsid w:val="002F6268"/>
    <w:rsid w:val="00326AC6"/>
    <w:rsid w:val="003318E9"/>
    <w:rsid w:val="00332BC6"/>
    <w:rsid w:val="00396D27"/>
    <w:rsid w:val="003F79F6"/>
    <w:rsid w:val="00403CD6"/>
    <w:rsid w:val="00405CE9"/>
    <w:rsid w:val="00411BDA"/>
    <w:rsid w:val="0044463E"/>
    <w:rsid w:val="00453EEE"/>
    <w:rsid w:val="00463623"/>
    <w:rsid w:val="0047128E"/>
    <w:rsid w:val="004A39CE"/>
    <w:rsid w:val="004A4E74"/>
    <w:rsid w:val="005014F1"/>
    <w:rsid w:val="00551C5E"/>
    <w:rsid w:val="0057070F"/>
    <w:rsid w:val="005901CD"/>
    <w:rsid w:val="005A1CE3"/>
    <w:rsid w:val="005F5308"/>
    <w:rsid w:val="006002FC"/>
    <w:rsid w:val="00617789"/>
    <w:rsid w:val="006204E7"/>
    <w:rsid w:val="0065442D"/>
    <w:rsid w:val="00670F65"/>
    <w:rsid w:val="00680BF4"/>
    <w:rsid w:val="006864A3"/>
    <w:rsid w:val="00695BCE"/>
    <w:rsid w:val="006A22D3"/>
    <w:rsid w:val="006B13F0"/>
    <w:rsid w:val="006B7D35"/>
    <w:rsid w:val="006C548D"/>
    <w:rsid w:val="006D0566"/>
    <w:rsid w:val="006F00D7"/>
    <w:rsid w:val="00704DDD"/>
    <w:rsid w:val="00731846"/>
    <w:rsid w:val="00732DEC"/>
    <w:rsid w:val="00743B8A"/>
    <w:rsid w:val="00754260"/>
    <w:rsid w:val="00782147"/>
    <w:rsid w:val="00783DBD"/>
    <w:rsid w:val="007D7A53"/>
    <w:rsid w:val="007E717A"/>
    <w:rsid w:val="00806C3F"/>
    <w:rsid w:val="008113EA"/>
    <w:rsid w:val="008115FA"/>
    <w:rsid w:val="00813FEC"/>
    <w:rsid w:val="0082493E"/>
    <w:rsid w:val="00834D2C"/>
    <w:rsid w:val="008628BB"/>
    <w:rsid w:val="00887FEE"/>
    <w:rsid w:val="00896851"/>
    <w:rsid w:val="008A24B5"/>
    <w:rsid w:val="008B5C53"/>
    <w:rsid w:val="008C45F3"/>
    <w:rsid w:val="00900457"/>
    <w:rsid w:val="00917B51"/>
    <w:rsid w:val="009A0509"/>
    <w:rsid w:val="009A661F"/>
    <w:rsid w:val="009B1216"/>
    <w:rsid w:val="00A175E3"/>
    <w:rsid w:val="00A37646"/>
    <w:rsid w:val="00A37F7C"/>
    <w:rsid w:val="00A460A8"/>
    <w:rsid w:val="00A80F0A"/>
    <w:rsid w:val="00A85389"/>
    <w:rsid w:val="00AA5207"/>
    <w:rsid w:val="00AD125D"/>
    <w:rsid w:val="00AF4BCD"/>
    <w:rsid w:val="00AF5D7C"/>
    <w:rsid w:val="00AF7DBB"/>
    <w:rsid w:val="00B20A4A"/>
    <w:rsid w:val="00B21D02"/>
    <w:rsid w:val="00B70B82"/>
    <w:rsid w:val="00BB5637"/>
    <w:rsid w:val="00BE735A"/>
    <w:rsid w:val="00C469FF"/>
    <w:rsid w:val="00C504FD"/>
    <w:rsid w:val="00C5547F"/>
    <w:rsid w:val="00C826F2"/>
    <w:rsid w:val="00C851C3"/>
    <w:rsid w:val="00C90729"/>
    <w:rsid w:val="00CD49F1"/>
    <w:rsid w:val="00CE7A2D"/>
    <w:rsid w:val="00D01694"/>
    <w:rsid w:val="00D15E4A"/>
    <w:rsid w:val="00D16EEC"/>
    <w:rsid w:val="00D36A66"/>
    <w:rsid w:val="00D514DD"/>
    <w:rsid w:val="00D67E87"/>
    <w:rsid w:val="00D75C3F"/>
    <w:rsid w:val="00DB16FA"/>
    <w:rsid w:val="00DB5B96"/>
    <w:rsid w:val="00E00058"/>
    <w:rsid w:val="00E05426"/>
    <w:rsid w:val="00E055F6"/>
    <w:rsid w:val="00EA02CB"/>
    <w:rsid w:val="00EB2663"/>
    <w:rsid w:val="00EC37B1"/>
    <w:rsid w:val="00EE4687"/>
    <w:rsid w:val="00EF218F"/>
    <w:rsid w:val="00F03D90"/>
    <w:rsid w:val="00F20B79"/>
    <w:rsid w:val="00F4554E"/>
    <w:rsid w:val="00F61EE0"/>
    <w:rsid w:val="00F65205"/>
    <w:rsid w:val="00F83239"/>
    <w:rsid w:val="00F85FA4"/>
    <w:rsid w:val="00F8749D"/>
    <w:rsid w:val="00F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0865"/>
  <w14:defaultImageDpi w14:val="0"/>
  <w15:docId w15:val="{B43ED4AA-9EF6-4370-8220-9649C3EA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39"/>
    <w:pPr>
      <w:spacing w:after="0" w:line="276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694"/>
    <w:pPr>
      <w:spacing w:after="0" w:line="240" w:lineRule="auto"/>
    </w:pPr>
    <w:rPr>
      <w:rFonts w:eastAsiaTheme="minorEastAsia" w:cs="Times New Roman"/>
      <w:sz w:val="24"/>
      <w:szCs w:val="24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01694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194077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194077"/>
    <w:rPr>
      <w:rFonts w:ascii="Times New Roman" w:hAnsi="Times New Roman" w:cs="Times New Roman"/>
      <w:sz w:val="24"/>
      <w:lang w:val="en-GB" w:eastAsia="x-none"/>
    </w:rPr>
  </w:style>
  <w:style w:type="paragraph" w:styleId="a6">
    <w:name w:val="footer"/>
    <w:basedOn w:val="a"/>
    <w:link w:val="a7"/>
    <w:uiPriority w:val="99"/>
    <w:unhideWhenUsed/>
    <w:rsid w:val="00194077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194077"/>
    <w:rPr>
      <w:rFonts w:ascii="Times New Roman" w:hAnsi="Times New Roman" w:cs="Times New Roman"/>
      <w:sz w:val="24"/>
      <w:lang w:val="en-GB" w:eastAsia="x-none"/>
    </w:rPr>
  </w:style>
  <w:style w:type="character" w:styleId="a8">
    <w:name w:val="Hyperlink"/>
    <w:basedOn w:val="a0"/>
    <w:uiPriority w:val="99"/>
    <w:semiHidden/>
    <w:unhideWhenUsed/>
    <w:rsid w:val="006204E7"/>
    <w:rPr>
      <w:rFonts w:cs="Times New Roman"/>
      <w:color w:val="0000FF"/>
      <w:u w:val="single"/>
    </w:rPr>
  </w:style>
  <w:style w:type="character" w:customStyle="1" w:styleId="rvts46">
    <w:name w:val="rvts46"/>
    <w:basedOn w:val="a0"/>
    <w:rsid w:val="006204E7"/>
    <w:rPr>
      <w:rFonts w:cs="Times New Roman"/>
    </w:rPr>
  </w:style>
  <w:style w:type="paragraph" w:styleId="a9">
    <w:name w:val="List Paragraph"/>
    <w:basedOn w:val="a"/>
    <w:uiPriority w:val="34"/>
    <w:qFormat/>
    <w:rsid w:val="008113EA"/>
    <w:pPr>
      <w:ind w:left="720"/>
      <w:contextualSpacing/>
    </w:pPr>
  </w:style>
  <w:style w:type="paragraph" w:customStyle="1" w:styleId="rvps2">
    <w:name w:val="rvps2"/>
    <w:basedOn w:val="a"/>
    <w:rsid w:val="001351D5"/>
    <w:pPr>
      <w:spacing w:before="100" w:beforeAutospacing="1" w:after="100" w:afterAutospacing="1" w:line="240" w:lineRule="auto"/>
      <w:jc w:val="left"/>
    </w:pPr>
    <w:rPr>
      <w:szCs w:val="24"/>
      <w:lang w:val="en-US"/>
    </w:rPr>
  </w:style>
  <w:style w:type="character" w:customStyle="1" w:styleId="rvts11">
    <w:name w:val="rvts11"/>
    <w:basedOn w:val="a0"/>
    <w:rsid w:val="009A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435-15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435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6647F-A651-450E-92E8-0093FA7A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50A7F-AFB5-4BB4-A7DE-E94FDF455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0937A-EA4E-49AA-95C2-BA0F02EA4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4417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2020-05-06T09:54:00Z</dcterms:created>
  <dcterms:modified xsi:type="dcterms:W3CDTF">2020-05-06T09:54:00Z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