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13" w:rsidRPr="00F7328F" w:rsidRDefault="00BF4113" w:rsidP="00BF4113">
      <w:pPr>
        <w:pStyle w:val="3"/>
        <w:spacing w:beforeLines="60" w:before="144" w:beforeAutospacing="0" w:afterLines="60" w:after="144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7328F">
        <w:rPr>
          <w:color w:val="000000"/>
          <w:sz w:val="28"/>
          <w:szCs w:val="28"/>
        </w:rPr>
        <w:t>ПОРІВНЯЛЬНА ТАБ</w:t>
      </w:r>
      <w:r>
        <w:rPr>
          <w:color w:val="000000"/>
          <w:sz w:val="28"/>
          <w:szCs w:val="28"/>
        </w:rPr>
        <w:t>ЛИЦЯ</w:t>
      </w:r>
      <w:r>
        <w:rPr>
          <w:color w:val="000000"/>
          <w:sz w:val="28"/>
          <w:szCs w:val="28"/>
        </w:rPr>
        <w:br/>
        <w:t xml:space="preserve">до проекту Закону України </w:t>
      </w:r>
      <w:r w:rsidR="00AE2E93">
        <w:rPr>
          <w:color w:val="000000"/>
          <w:sz w:val="28"/>
          <w:szCs w:val="28"/>
        </w:rPr>
        <w:t>„</w:t>
      </w:r>
      <w:r w:rsidRPr="00F7328F">
        <w:rPr>
          <w:color w:val="000000"/>
          <w:sz w:val="28"/>
          <w:szCs w:val="28"/>
        </w:rPr>
        <w:t xml:space="preserve">Про </w:t>
      </w:r>
      <w:r w:rsidR="007C790A">
        <w:rPr>
          <w:color w:val="000000"/>
          <w:sz w:val="28"/>
          <w:szCs w:val="28"/>
        </w:rPr>
        <w:t>заборону фінансових пірамід</w:t>
      </w:r>
      <w:r w:rsidR="00AE2E93">
        <w:rPr>
          <w:color w:val="000000"/>
          <w:sz w:val="28"/>
          <w:szCs w:val="28"/>
        </w:rPr>
        <w:t>”</w:t>
      </w:r>
      <w:r w:rsidRPr="00F7328F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7281"/>
      </w:tblGrid>
      <w:tr w:rsidR="00BF4113" w:rsidRPr="00972130" w:rsidTr="00972130">
        <w:tc>
          <w:tcPr>
            <w:tcW w:w="7393" w:type="dxa"/>
          </w:tcPr>
          <w:p w:rsidR="00BF4113" w:rsidRPr="00972130" w:rsidRDefault="00BF4113" w:rsidP="00972130">
            <w:pPr>
              <w:jc w:val="center"/>
              <w:rPr>
                <w:sz w:val="28"/>
                <w:szCs w:val="28"/>
              </w:rPr>
            </w:pPr>
            <w:r w:rsidRPr="00972130">
              <w:rPr>
                <w:b/>
                <w:color w:val="000000"/>
                <w:sz w:val="28"/>
                <w:szCs w:val="28"/>
              </w:rPr>
              <w:t xml:space="preserve">Зміст положення (норми) </w:t>
            </w:r>
            <w:r w:rsidRPr="00972130">
              <w:rPr>
                <w:b/>
                <w:color w:val="000000"/>
                <w:sz w:val="28"/>
                <w:szCs w:val="28"/>
              </w:rPr>
              <w:br/>
              <w:t>чинного законодавства</w:t>
            </w:r>
          </w:p>
        </w:tc>
        <w:tc>
          <w:tcPr>
            <w:tcW w:w="7393" w:type="dxa"/>
          </w:tcPr>
          <w:p w:rsidR="00BF4113" w:rsidRPr="00972130" w:rsidRDefault="00BF4113" w:rsidP="00972130">
            <w:pPr>
              <w:jc w:val="center"/>
              <w:rPr>
                <w:sz w:val="28"/>
                <w:szCs w:val="28"/>
              </w:rPr>
            </w:pPr>
            <w:r w:rsidRPr="00972130">
              <w:rPr>
                <w:b/>
                <w:color w:val="000000"/>
                <w:sz w:val="28"/>
                <w:szCs w:val="28"/>
              </w:rPr>
              <w:t>Зміст відповідного положення (норми) проекту акта</w:t>
            </w:r>
          </w:p>
        </w:tc>
      </w:tr>
      <w:tr w:rsidR="00BF4113" w:rsidRPr="00972130" w:rsidTr="00972130">
        <w:tc>
          <w:tcPr>
            <w:tcW w:w="14786" w:type="dxa"/>
            <w:gridSpan w:val="2"/>
          </w:tcPr>
          <w:p w:rsidR="00BF4113" w:rsidRPr="00972130" w:rsidRDefault="00BF4113" w:rsidP="00972130">
            <w:pPr>
              <w:jc w:val="center"/>
              <w:rPr>
                <w:b/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center"/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>Кримінальний кодекс України</w:t>
            </w:r>
          </w:p>
          <w:p w:rsidR="00BF4113" w:rsidRPr="00972130" w:rsidRDefault="00BF4113">
            <w:pPr>
              <w:rPr>
                <w:sz w:val="28"/>
                <w:szCs w:val="28"/>
              </w:rPr>
            </w:pPr>
          </w:p>
        </w:tc>
      </w:tr>
      <w:tr w:rsidR="00BF4113" w:rsidRPr="00972130" w:rsidTr="00972130">
        <w:tc>
          <w:tcPr>
            <w:tcW w:w="7393" w:type="dxa"/>
          </w:tcPr>
          <w:p w:rsidR="00BF4113" w:rsidRPr="00972130" w:rsidRDefault="00BF4113" w:rsidP="00972130">
            <w:pPr>
              <w:jc w:val="center"/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>Стаття 185. Крадіжка</w:t>
            </w:r>
          </w:p>
          <w:p w:rsidR="00BF4113" w:rsidRPr="00972130" w:rsidRDefault="00BF4113">
            <w:pPr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…</w:t>
            </w:r>
          </w:p>
          <w:p w:rsidR="00BF4113" w:rsidRPr="00972130" w:rsidRDefault="00BF4113">
            <w:pPr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Примітка. 1. У статтях 185, 186 та 189 - 191 повторним визнається злочин, вчинений особою, яка раніше вчинила будь-який із злочинів, передбачених цими статтями або статтями 187, 262 цього Кодексу.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2. У статтях 185, 186, 189 та</w:t>
            </w:r>
            <w:r w:rsidRPr="00972130">
              <w:rPr>
                <w:b/>
                <w:sz w:val="28"/>
                <w:szCs w:val="28"/>
              </w:rPr>
              <w:t xml:space="preserve"> </w:t>
            </w:r>
            <w:r w:rsidRPr="00972130">
              <w:rPr>
                <w:sz w:val="28"/>
                <w:szCs w:val="28"/>
              </w:rPr>
              <w:t>190 цього Кодексу значна шкода визнається із врахуванням матеріального становища потерпілого та якщо йому спричинені збитки на суму від ста до двохсот п'ятдесяти неоподатковуваних мінімумів доходів громадян.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 xml:space="preserve">3. У статтях </w:t>
            </w:r>
            <w:r w:rsidRPr="00972130">
              <w:rPr>
                <w:b/>
                <w:sz w:val="28"/>
                <w:szCs w:val="28"/>
              </w:rPr>
              <w:t>185 - 191</w:t>
            </w:r>
            <w:r w:rsidRPr="00972130">
              <w:rPr>
                <w:sz w:val="28"/>
                <w:szCs w:val="28"/>
              </w:rPr>
              <w:t>, 194 цього Кодексу у великих розмірах визнається злочин, що вчинений однією особою чи групою осіб на суму, яка в двісті п'ятдесят і більше разів перевищує неоподатковуваний мінімум доходів громадян на момент вчинення злочину.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lastRenderedPageBreak/>
              <w:t xml:space="preserve">4. У статтях 185 - 187 та </w:t>
            </w:r>
            <w:r w:rsidRPr="00972130">
              <w:rPr>
                <w:b/>
                <w:sz w:val="28"/>
                <w:szCs w:val="28"/>
              </w:rPr>
              <w:t>189 - 191</w:t>
            </w:r>
            <w:r w:rsidRPr="00972130">
              <w:rPr>
                <w:sz w:val="28"/>
                <w:szCs w:val="28"/>
              </w:rPr>
              <w:t>, 194 цього Кодексу в особливо великих розмірах визнається злочин, що вчинений однією особою чи групою осіб на суму, яка в шістсот і більше разів перевищує неоподатковуваний мінімум доходів громадян на момент вчинення злочину.</w:t>
            </w:r>
          </w:p>
        </w:tc>
        <w:tc>
          <w:tcPr>
            <w:tcW w:w="7393" w:type="dxa"/>
          </w:tcPr>
          <w:p w:rsidR="00BF4113" w:rsidRPr="00972130" w:rsidRDefault="00BF4113" w:rsidP="00972130">
            <w:pPr>
              <w:jc w:val="center"/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lastRenderedPageBreak/>
              <w:t>Стаття 185. Крадіжка</w:t>
            </w:r>
          </w:p>
          <w:p w:rsidR="00BF4113" w:rsidRPr="00972130" w:rsidRDefault="00BF4113" w:rsidP="00BF4113">
            <w:pPr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…</w:t>
            </w:r>
          </w:p>
          <w:p w:rsidR="00BF4113" w:rsidRPr="00972130" w:rsidRDefault="00BF4113">
            <w:pPr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Примітка. 1. У статтях 185, 186 та 189 - 191 повторним визнається злочин, вчинений особою, яка раніше вчинила будь-який із злочинів, передбачених цими статтями або статтями 187, 262 цього Кодексу.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0D6E9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2. У статтях 185, 186, 189 та</w:t>
            </w:r>
            <w:r w:rsidR="00BF4113" w:rsidRPr="00972130">
              <w:rPr>
                <w:sz w:val="28"/>
                <w:szCs w:val="28"/>
              </w:rPr>
              <w:t xml:space="preserve"> 190</w:t>
            </w:r>
            <w:r w:rsidRPr="00972130">
              <w:rPr>
                <w:sz w:val="28"/>
                <w:szCs w:val="28"/>
              </w:rPr>
              <w:t xml:space="preserve"> </w:t>
            </w:r>
            <w:r w:rsidR="00BF4113" w:rsidRPr="00972130">
              <w:rPr>
                <w:sz w:val="28"/>
                <w:szCs w:val="28"/>
              </w:rPr>
              <w:t>цього Кодексу значна шкода визнається із врахуванням матеріального становища потерпілого та якщо йому спричинені збитки на суму від ста до двохсот п'ятдесяти неоподатковуваних мінімумів доходів громадян.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 xml:space="preserve">3. У статтях </w:t>
            </w:r>
            <w:r w:rsidR="008E15C5" w:rsidRPr="00972130">
              <w:rPr>
                <w:b/>
                <w:sz w:val="28"/>
                <w:szCs w:val="28"/>
              </w:rPr>
              <w:t>185 - 190, 191</w:t>
            </w:r>
            <w:r w:rsidRPr="00972130">
              <w:rPr>
                <w:sz w:val="28"/>
                <w:szCs w:val="28"/>
              </w:rPr>
              <w:t>, 194 цього Кодексу у великих розмірах визнається злочин, що вчинений однією особою чи групою осіб на суму, яка в двісті п'ятдесят і більше разів перевищує неоподатковуваний мінімум доходів громадян на момент вчинення злочину.</w:t>
            </w: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</w:p>
          <w:p w:rsidR="00BF4113" w:rsidRPr="00972130" w:rsidRDefault="00BF4113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lastRenderedPageBreak/>
              <w:t xml:space="preserve">4. У статтях 185 - 187 та </w:t>
            </w:r>
            <w:r w:rsidR="008E15C5" w:rsidRPr="00972130">
              <w:rPr>
                <w:b/>
                <w:sz w:val="28"/>
                <w:szCs w:val="28"/>
              </w:rPr>
              <w:t>189, 190, 191</w:t>
            </w:r>
            <w:r w:rsidRPr="00972130">
              <w:rPr>
                <w:sz w:val="28"/>
                <w:szCs w:val="28"/>
              </w:rPr>
              <w:t>, 194 цього Кодексу в особливо великих розмірах визнається злочин, що вчинений однією особою чи групою осіб на суму, яка в шістсот і більше разів перевищує неоподатковуваний мінімум доходів</w:t>
            </w:r>
          </w:p>
        </w:tc>
      </w:tr>
      <w:tr w:rsidR="00BF4113" w:rsidRPr="00972130" w:rsidTr="00972130">
        <w:tc>
          <w:tcPr>
            <w:tcW w:w="7393" w:type="dxa"/>
          </w:tcPr>
          <w:p w:rsidR="00BF4113" w:rsidRPr="00972130" w:rsidRDefault="00BF411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Стаття 190</w:t>
            </w:r>
            <w:r w:rsidRPr="00C74380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C74380">
              <w:rPr>
                <w:b/>
                <w:bCs/>
                <w:sz w:val="28"/>
                <w:szCs w:val="28"/>
              </w:rPr>
              <w:t xml:space="preserve">. Створення або сприяння діяльності фінансової піраміди 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1. Створення та діяльність фінансової піраміди, поширення інформації про неї, пропонування участі у ній або залучення (отримання) коштів та (або) іншого майна за допомогою фінансової піраміди -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карається штрафом від ста до двохсот неоподатковуваних мінімумів доходів громадян або обмеженням волі на строк до трьох років.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2. Ті самі дії, вчинені повторно або за попередньою змовою групою осіб, -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караються обмеженням волі на строк до п'яти років або позбавленням волі на той самий строк.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3. Дії, передбачені частинами першою або другою цієї статті, якщо вони вчинені у великих розмірах або шляхом здійснення незаконних операцій з використанням електронно-обчислювальної техніки, інформаційних, телекомунікаційних та інформаційно-телекомунікаційних систем і мереж, систем електронних платежів, -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караються позбавленням волі на строк від п'яти до восьми років з конфіскацією майна.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lastRenderedPageBreak/>
              <w:t>4. Дії, передбачені частинами першою, другою або третьою цієї статті, якщо вони вчинені в особливо великих розмірах або організованою групою, -</w:t>
            </w:r>
          </w:p>
          <w:p w:rsidR="00C74380" w:rsidRPr="00C74380" w:rsidRDefault="00C74380" w:rsidP="00C7438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караються позбавленням волі на строк від восьми до дванадцяти років з конфіскацією майна.</w:t>
            </w:r>
          </w:p>
          <w:p w:rsidR="000E0983" w:rsidRPr="00C74380" w:rsidRDefault="00C74380" w:rsidP="00C74380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C74380">
              <w:rPr>
                <w:b/>
                <w:bCs/>
                <w:sz w:val="28"/>
                <w:szCs w:val="28"/>
              </w:rPr>
              <w:t>Примітка. Дії, передбачені цією статтею, вважаються вчиненими у великому розмірі у разі, коли сума операцій з коштами та (або) іншим майном у двісті п'ятдесят і більше разів перевищує неоподатковуваний мінімум доходів громадян; в особливо великому розмірі - у разі, коли сума операцій з коштами та (або) іншим майном у шістсот і більше разів перевищує неоподатковуваний мінімум доходів громадян</w:t>
            </w:r>
          </w:p>
        </w:tc>
      </w:tr>
      <w:tr w:rsidR="000E0983" w:rsidRPr="00972130" w:rsidTr="00972130">
        <w:tc>
          <w:tcPr>
            <w:tcW w:w="14786" w:type="dxa"/>
            <w:gridSpan w:val="2"/>
          </w:tcPr>
          <w:p w:rsidR="000E0983" w:rsidRPr="00972130" w:rsidRDefault="006F05B7" w:rsidP="00972130">
            <w:pPr>
              <w:jc w:val="center"/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lastRenderedPageBreak/>
              <w:t>Закон України „Про рекламу”</w:t>
            </w:r>
          </w:p>
        </w:tc>
      </w:tr>
      <w:tr w:rsidR="00BF4113" w:rsidRPr="00972130" w:rsidTr="00972130">
        <w:tc>
          <w:tcPr>
            <w:tcW w:w="7393" w:type="dxa"/>
          </w:tcPr>
          <w:p w:rsidR="006F05B7" w:rsidRPr="00972130" w:rsidRDefault="006F05B7" w:rsidP="006F05B7">
            <w:pPr>
              <w:rPr>
                <w:b/>
                <w:sz w:val="28"/>
                <w:szCs w:val="28"/>
                <w:lang w:val="en-US"/>
              </w:rPr>
            </w:pPr>
          </w:p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 xml:space="preserve"> Стаття 8. Загальні вимоги до реклами</w:t>
            </w:r>
          </w:p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</w:p>
          <w:p w:rsidR="006F05B7" w:rsidRPr="00972130" w:rsidRDefault="006F05B7" w:rsidP="0097213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У рекламі забороняється:</w:t>
            </w:r>
          </w:p>
          <w:p w:rsidR="006F05B7" w:rsidRPr="00972130" w:rsidRDefault="006F05B7" w:rsidP="00972130">
            <w:pPr>
              <w:ind w:left="360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  <w:lang w:val="en-US"/>
              </w:rPr>
              <w:t xml:space="preserve">       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</w:p>
          <w:p w:rsidR="000E0983" w:rsidRPr="00972130" w:rsidRDefault="00C74380" w:rsidP="006F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="006F05B7" w:rsidRPr="00972130">
              <w:rPr>
                <w:sz w:val="28"/>
                <w:szCs w:val="28"/>
              </w:rPr>
              <w:t>розповсюджувати рекламу послуг з ворожіння та гадання.</w:t>
            </w:r>
          </w:p>
        </w:tc>
        <w:tc>
          <w:tcPr>
            <w:tcW w:w="7393" w:type="dxa"/>
          </w:tcPr>
          <w:p w:rsidR="006F05B7" w:rsidRPr="00C74380" w:rsidRDefault="006F05B7" w:rsidP="006F05B7">
            <w:pPr>
              <w:rPr>
                <w:b/>
                <w:sz w:val="28"/>
                <w:szCs w:val="28"/>
                <w:lang w:val="ru-RU"/>
              </w:rPr>
            </w:pPr>
          </w:p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>Стаття 8. Загальні вимоги до реклами</w:t>
            </w:r>
          </w:p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</w:p>
          <w:p w:rsidR="006F05B7" w:rsidRPr="00972130" w:rsidRDefault="006F05B7" w:rsidP="00972130">
            <w:pPr>
              <w:ind w:left="360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1. У рекламі забороняється:</w:t>
            </w:r>
          </w:p>
          <w:p w:rsidR="006F05B7" w:rsidRPr="00972130" w:rsidRDefault="006F05B7" w:rsidP="00972130">
            <w:pPr>
              <w:ind w:left="360"/>
              <w:rPr>
                <w:sz w:val="28"/>
                <w:szCs w:val="28"/>
              </w:rPr>
            </w:pPr>
            <w:r w:rsidRPr="00C74380"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</w:p>
          <w:p w:rsidR="006F05B7" w:rsidRPr="00972130" w:rsidRDefault="00C74380" w:rsidP="006F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="006F05B7" w:rsidRPr="00972130">
              <w:rPr>
                <w:sz w:val="28"/>
                <w:szCs w:val="28"/>
              </w:rPr>
              <w:t>розповсюджувати рекламу послуг з ворожіння та гадання;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</w:p>
          <w:p w:rsidR="006F05B7" w:rsidRPr="00972130" w:rsidRDefault="00C74380" w:rsidP="006F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14) </w:t>
            </w:r>
            <w:r w:rsidR="006F05B7" w:rsidRPr="00972130">
              <w:rPr>
                <w:b/>
                <w:sz w:val="28"/>
                <w:szCs w:val="28"/>
              </w:rPr>
              <w:t>розповсюджувати рекламу</w:t>
            </w:r>
            <w:r w:rsidR="00F4108C" w:rsidRPr="00972130">
              <w:rPr>
                <w:b/>
                <w:sz w:val="28"/>
                <w:szCs w:val="28"/>
              </w:rPr>
              <w:t xml:space="preserve"> щодо</w:t>
            </w:r>
            <w:r w:rsidR="006F05B7" w:rsidRPr="00972130">
              <w:rPr>
                <w:b/>
                <w:sz w:val="28"/>
                <w:szCs w:val="28"/>
              </w:rPr>
              <w:t xml:space="preserve"> фінансових пірамід.</w:t>
            </w:r>
          </w:p>
          <w:p w:rsidR="000E0983" w:rsidRPr="00972130" w:rsidRDefault="000E0983" w:rsidP="000E0983">
            <w:pPr>
              <w:rPr>
                <w:b/>
                <w:sz w:val="28"/>
                <w:szCs w:val="28"/>
              </w:rPr>
            </w:pPr>
          </w:p>
          <w:p w:rsidR="003E46C9" w:rsidRPr="00972130" w:rsidRDefault="006F05B7" w:rsidP="00972130">
            <w:pPr>
              <w:jc w:val="both"/>
              <w:rPr>
                <w:sz w:val="28"/>
                <w:szCs w:val="28"/>
                <w:lang w:val="ru-RU"/>
              </w:rPr>
            </w:pPr>
            <w:r w:rsidRPr="00972130"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="003E46C9"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97213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92502" w:rsidRPr="00972130" w:rsidTr="00972130">
        <w:tc>
          <w:tcPr>
            <w:tcW w:w="14786" w:type="dxa"/>
            <w:gridSpan w:val="2"/>
          </w:tcPr>
          <w:p w:rsidR="00492502" w:rsidRPr="00972130" w:rsidRDefault="006F05B7" w:rsidP="00972130">
            <w:pPr>
              <w:jc w:val="center"/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lastRenderedPageBreak/>
              <w:t>Закон України „Про захист прав споживачів”</w:t>
            </w:r>
          </w:p>
        </w:tc>
      </w:tr>
      <w:tr w:rsidR="00492502" w:rsidRPr="00972130" w:rsidTr="00972130">
        <w:tc>
          <w:tcPr>
            <w:tcW w:w="7393" w:type="dxa"/>
          </w:tcPr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>Стаття 19. Заборона нечесної підприємницької практики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C74380">
              <w:rPr>
                <w:sz w:val="28"/>
                <w:szCs w:val="28"/>
                <w:lang w:val="ru-RU"/>
              </w:rPr>
              <w:t xml:space="preserve">          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3. Забороняються як такі, що вводять в оману: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C74380">
              <w:rPr>
                <w:sz w:val="28"/>
                <w:szCs w:val="28"/>
                <w:lang w:val="ru-RU"/>
              </w:rPr>
              <w:t xml:space="preserve">          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7) утворення, експлуатація або сприяння розвитку пірамідальних схем, коли споживач сплачує за можливість одержання компенсації, яка надається за рахунок залучення інших споживачів до такої схеми, а не за рахунок продажу або споживання продукції;</w:t>
            </w:r>
          </w:p>
          <w:p w:rsidR="006F05B7" w:rsidRPr="00972130" w:rsidRDefault="006F05B7" w:rsidP="00492502">
            <w:pPr>
              <w:rPr>
                <w:b/>
                <w:sz w:val="28"/>
                <w:szCs w:val="28"/>
              </w:rPr>
            </w:pPr>
          </w:p>
          <w:p w:rsidR="00492502" w:rsidRPr="00972130" w:rsidRDefault="00492502" w:rsidP="009721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F05B7" w:rsidRPr="00972130" w:rsidRDefault="006F05B7" w:rsidP="006F05B7">
            <w:pPr>
              <w:rPr>
                <w:b/>
                <w:sz w:val="28"/>
                <w:szCs w:val="28"/>
              </w:rPr>
            </w:pPr>
            <w:r w:rsidRPr="00972130">
              <w:rPr>
                <w:b/>
                <w:sz w:val="28"/>
                <w:szCs w:val="28"/>
              </w:rPr>
              <w:t>Стаття 19. Заборона нечесної підприємницької практики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C74380"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3. Забороняються як такі, що вводять в оману:</w:t>
            </w:r>
          </w:p>
          <w:p w:rsidR="006F05B7" w:rsidRPr="00972130" w:rsidRDefault="006F05B7" w:rsidP="006F05B7">
            <w:pPr>
              <w:rPr>
                <w:sz w:val="28"/>
                <w:szCs w:val="28"/>
              </w:rPr>
            </w:pPr>
            <w:r w:rsidRPr="00C74380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972130">
              <w:rPr>
                <w:sz w:val="28"/>
                <w:szCs w:val="28"/>
              </w:rPr>
              <w:t>…</w:t>
            </w:r>
          </w:p>
          <w:p w:rsidR="006F05B7" w:rsidRPr="00972130" w:rsidRDefault="006F05B7" w:rsidP="00972130">
            <w:pPr>
              <w:jc w:val="both"/>
              <w:rPr>
                <w:sz w:val="28"/>
                <w:szCs w:val="28"/>
              </w:rPr>
            </w:pPr>
            <w:r w:rsidRPr="00972130">
              <w:rPr>
                <w:sz w:val="28"/>
                <w:szCs w:val="28"/>
              </w:rPr>
              <w:t>7) утворення, експлуатація або сприяння розвитку пірамідальних схем</w:t>
            </w:r>
            <w:r w:rsidRPr="00972130">
              <w:rPr>
                <w:b/>
                <w:sz w:val="28"/>
                <w:szCs w:val="28"/>
              </w:rPr>
              <w:t xml:space="preserve"> продажу</w:t>
            </w:r>
            <w:r w:rsidRPr="00972130">
              <w:rPr>
                <w:sz w:val="28"/>
                <w:szCs w:val="28"/>
              </w:rPr>
              <w:t xml:space="preserve">, коли споживач сплачує за можливість одержання компенсації, яка надається </w:t>
            </w:r>
            <w:r w:rsidRPr="00972130">
              <w:rPr>
                <w:b/>
                <w:sz w:val="28"/>
                <w:szCs w:val="28"/>
              </w:rPr>
              <w:t>переважно</w:t>
            </w:r>
            <w:r w:rsidRPr="00972130">
              <w:rPr>
                <w:sz w:val="28"/>
                <w:szCs w:val="28"/>
              </w:rPr>
              <w:t xml:space="preserve"> за рахунок залучення інших споживачів до такої схеми, а не за рахунок продажу або споживання продукції;</w:t>
            </w:r>
          </w:p>
          <w:p w:rsidR="00492502" w:rsidRPr="00972130" w:rsidRDefault="00492502" w:rsidP="006F05B7">
            <w:pPr>
              <w:rPr>
                <w:b/>
                <w:sz w:val="28"/>
                <w:szCs w:val="28"/>
              </w:rPr>
            </w:pPr>
          </w:p>
        </w:tc>
      </w:tr>
    </w:tbl>
    <w:p w:rsidR="00BF4113" w:rsidRDefault="00BF4113"/>
    <w:p w:rsidR="00B1130A" w:rsidRDefault="00B1130A"/>
    <w:p w:rsidR="00492502" w:rsidRDefault="00492502"/>
    <w:p w:rsidR="00B1130A" w:rsidRPr="002A4D11" w:rsidRDefault="00C74380" w:rsidP="00B1130A">
      <w:pPr>
        <w:ind w:right="-18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Народні депутати України</w:t>
      </w:r>
      <w:r w:rsidR="00B1130A" w:rsidRPr="002A4D11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221B6B">
        <w:rPr>
          <w:b/>
          <w:sz w:val="28"/>
          <w:szCs w:val="28"/>
        </w:rPr>
        <w:t xml:space="preserve">             </w:t>
      </w:r>
      <w:r w:rsidR="0070518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ПІБ</w:t>
      </w:r>
    </w:p>
    <w:p w:rsidR="00B1130A" w:rsidRDefault="00B1130A" w:rsidP="00B1130A">
      <w:pPr>
        <w:tabs>
          <w:tab w:val="left" w:pos="5517"/>
        </w:tabs>
        <w:jc w:val="both"/>
        <w:rPr>
          <w:sz w:val="28"/>
          <w:szCs w:val="28"/>
        </w:rPr>
      </w:pPr>
    </w:p>
    <w:p w:rsidR="00B1130A" w:rsidRDefault="00B1130A" w:rsidP="00B1130A">
      <w:pPr>
        <w:tabs>
          <w:tab w:val="left" w:pos="5517"/>
        </w:tabs>
        <w:jc w:val="both"/>
        <w:rPr>
          <w:sz w:val="28"/>
          <w:szCs w:val="28"/>
        </w:rPr>
      </w:pPr>
    </w:p>
    <w:p w:rsidR="00B1130A" w:rsidRDefault="00B1130A" w:rsidP="00B1130A">
      <w:pPr>
        <w:tabs>
          <w:tab w:val="left" w:pos="5517"/>
        </w:tabs>
        <w:jc w:val="both"/>
        <w:rPr>
          <w:sz w:val="28"/>
          <w:szCs w:val="28"/>
        </w:rPr>
      </w:pPr>
    </w:p>
    <w:p w:rsidR="00B1130A" w:rsidRPr="00460F7E" w:rsidRDefault="00C74380" w:rsidP="00B1130A">
      <w:pPr>
        <w:tabs>
          <w:tab w:val="left" w:pos="55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7C790A">
        <w:rPr>
          <w:sz w:val="26"/>
          <w:szCs w:val="26"/>
        </w:rPr>
        <w:t>травня</w:t>
      </w:r>
      <w:r>
        <w:rPr>
          <w:sz w:val="26"/>
          <w:szCs w:val="26"/>
        </w:rPr>
        <w:t xml:space="preserve"> 2020</w:t>
      </w:r>
      <w:r w:rsidR="00B1130A" w:rsidRPr="00460F7E">
        <w:rPr>
          <w:sz w:val="26"/>
          <w:szCs w:val="26"/>
        </w:rPr>
        <w:t>р.</w:t>
      </w:r>
    </w:p>
    <w:p w:rsidR="003D1131" w:rsidRPr="003E46C9" w:rsidRDefault="003D1131" w:rsidP="00B1130A"/>
    <w:sectPr w:rsidR="003D1131" w:rsidRPr="003E46C9" w:rsidSect="000E0983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BA" w:rsidRDefault="00F322BA" w:rsidP="00BF4113">
      <w:r>
        <w:separator/>
      </w:r>
    </w:p>
  </w:endnote>
  <w:endnote w:type="continuationSeparator" w:id="0">
    <w:p w:rsidR="00F322BA" w:rsidRDefault="00F322BA" w:rsidP="00B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BA" w:rsidRDefault="00F322BA" w:rsidP="00BF4113">
      <w:r>
        <w:separator/>
      </w:r>
    </w:p>
  </w:footnote>
  <w:footnote w:type="continuationSeparator" w:id="0">
    <w:p w:rsidR="00F322BA" w:rsidRDefault="00F322BA" w:rsidP="00BF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82" w:rsidRDefault="00C77082" w:rsidP="007F7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082" w:rsidRDefault="00C770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82" w:rsidRDefault="00C77082" w:rsidP="007F7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156">
      <w:rPr>
        <w:rStyle w:val="a7"/>
        <w:noProof/>
      </w:rPr>
      <w:t>2</w:t>
    </w:r>
    <w:r>
      <w:rPr>
        <w:rStyle w:val="a7"/>
      </w:rPr>
      <w:fldChar w:fldCharType="end"/>
    </w:r>
  </w:p>
  <w:p w:rsidR="00C77082" w:rsidRDefault="00C770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FC4"/>
    <w:multiLevelType w:val="multilevel"/>
    <w:tmpl w:val="AA90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72796"/>
    <w:multiLevelType w:val="hybridMultilevel"/>
    <w:tmpl w:val="AA90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3"/>
    <w:rsid w:val="00050A2A"/>
    <w:rsid w:val="0006659B"/>
    <w:rsid w:val="000D6E93"/>
    <w:rsid w:val="000E0983"/>
    <w:rsid w:val="00140F94"/>
    <w:rsid w:val="001947F3"/>
    <w:rsid w:val="001C57E9"/>
    <w:rsid w:val="00221B6B"/>
    <w:rsid w:val="002A4D11"/>
    <w:rsid w:val="002C4CD8"/>
    <w:rsid w:val="003D1131"/>
    <w:rsid w:val="003E46C9"/>
    <w:rsid w:val="00460F7E"/>
    <w:rsid w:val="004745A8"/>
    <w:rsid w:val="00492502"/>
    <w:rsid w:val="004A1365"/>
    <w:rsid w:val="004B6C36"/>
    <w:rsid w:val="005079D8"/>
    <w:rsid w:val="00546C8B"/>
    <w:rsid w:val="005D0156"/>
    <w:rsid w:val="00647F89"/>
    <w:rsid w:val="006B4A1E"/>
    <w:rsid w:val="006F05B7"/>
    <w:rsid w:val="0070518C"/>
    <w:rsid w:val="0072044D"/>
    <w:rsid w:val="00731EA9"/>
    <w:rsid w:val="007C790A"/>
    <w:rsid w:val="007F732F"/>
    <w:rsid w:val="0085269E"/>
    <w:rsid w:val="008E15C5"/>
    <w:rsid w:val="008F1A2A"/>
    <w:rsid w:val="00962620"/>
    <w:rsid w:val="00972130"/>
    <w:rsid w:val="009D3F93"/>
    <w:rsid w:val="00AE2E93"/>
    <w:rsid w:val="00AE4FFA"/>
    <w:rsid w:val="00AF40F5"/>
    <w:rsid w:val="00B02B6D"/>
    <w:rsid w:val="00B1130A"/>
    <w:rsid w:val="00BF12B1"/>
    <w:rsid w:val="00BF4113"/>
    <w:rsid w:val="00C74380"/>
    <w:rsid w:val="00C77082"/>
    <w:rsid w:val="00C978F1"/>
    <w:rsid w:val="00E55FC2"/>
    <w:rsid w:val="00ED4E4B"/>
    <w:rsid w:val="00F07456"/>
    <w:rsid w:val="00F322BA"/>
    <w:rsid w:val="00F4108C"/>
    <w:rsid w:val="00F5202A"/>
    <w:rsid w:val="00F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FB2737-3C35-4F59-988D-0F2B2DE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13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F41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4113"/>
    <w:rPr>
      <w:rFonts w:cs="Times New Roman"/>
      <w:b/>
      <w:sz w:val="27"/>
      <w:lang w:val="uk-UA" w:eastAsia="ru-RU"/>
    </w:rPr>
  </w:style>
  <w:style w:type="paragraph" w:customStyle="1" w:styleId="1">
    <w:name w:val="Знак Знак Знак1 Знак Знак Знак"/>
    <w:basedOn w:val="a"/>
    <w:uiPriority w:val="99"/>
    <w:rsid w:val="00BF411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F411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F4113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E0983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0E0983"/>
    <w:rPr>
      <w:rFonts w:cs="Times New Roman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customStyle="1" w:styleId="a8">
    <w:name w:val="Нормальний текст"/>
    <w:basedOn w:val="a"/>
    <w:uiPriority w:val="99"/>
    <w:rsid w:val="006F05B7"/>
    <w:pPr>
      <w:spacing w:before="120"/>
      <w:ind w:firstLine="567"/>
      <w:jc w:val="both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9D981-8777-495B-B1CD-6C22B2628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975FB-A0A4-4117-B911-D35E60B9D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EF866-E74A-4A70-A5BE-96265950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2020-05-15T10:42:00Z</dcterms:created>
  <dcterms:modified xsi:type="dcterms:W3CDTF">2020-05-15T10:42:00Z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