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1106" w14:textId="77777777" w:rsidR="00757FC7" w:rsidRDefault="00E8036E">
      <w:pPr>
        <w:spacing w:after="0" w:line="259" w:lineRule="auto"/>
        <w:ind w:left="1426" w:firstLine="0"/>
        <w:jc w:val="center"/>
      </w:pPr>
      <w:bookmarkStart w:id="0" w:name="_GoBack"/>
      <w:bookmarkEnd w:id="0"/>
      <w:r>
        <w:t xml:space="preserve">Порівняльна таблиця </w:t>
      </w:r>
    </w:p>
    <w:p w14:paraId="33D1E3F4" w14:textId="77777777" w:rsidR="00757FC7" w:rsidRDefault="00E8036E">
      <w:pPr>
        <w:ind w:left="3640" w:right="-9"/>
      </w:pPr>
      <w:r>
        <w:t xml:space="preserve">до проєкту Закону України «Про внесення змін до Податкового кодексу України щодо стимулювання зменшення скидання забруднюючих речовин у водні об’єкти» </w:t>
      </w:r>
    </w:p>
    <w:p w14:paraId="1622DA24" w14:textId="77777777" w:rsidR="00757FC7" w:rsidRDefault="00E8036E">
      <w:pPr>
        <w:spacing w:after="0" w:line="259" w:lineRule="auto"/>
        <w:ind w:left="1507" w:firstLine="0"/>
        <w:jc w:val="center"/>
      </w:pPr>
      <w:r>
        <w:t xml:space="preserve"> </w:t>
      </w:r>
    </w:p>
    <w:tbl>
      <w:tblPr>
        <w:tblStyle w:val="TableGrid"/>
        <w:tblW w:w="15110" w:type="dxa"/>
        <w:tblInd w:w="-92" w:type="dxa"/>
        <w:tblLayout w:type="fixed"/>
        <w:tblCellMar>
          <w:top w:w="83" w:type="dxa"/>
          <w:left w:w="92" w:type="dxa"/>
          <w:right w:w="49" w:type="dxa"/>
        </w:tblCellMar>
        <w:tblLook w:val="04A0" w:firstRow="1" w:lastRow="0" w:firstColumn="1" w:lastColumn="0" w:noHBand="0" w:noVBand="1"/>
      </w:tblPr>
      <w:tblGrid>
        <w:gridCol w:w="7455"/>
        <w:gridCol w:w="7655"/>
      </w:tblGrid>
      <w:tr w:rsidR="007B5080" w14:paraId="5E2E0721" w14:textId="77777777" w:rsidTr="002214E3">
        <w:trPr>
          <w:trHeight w:val="2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4A07" w14:textId="77777777" w:rsidR="007B5080" w:rsidRDefault="007B5080" w:rsidP="007C173E">
            <w:pPr>
              <w:spacing w:after="0" w:line="259" w:lineRule="auto"/>
              <w:ind w:left="0" w:right="1198" w:firstLine="0"/>
              <w:jc w:val="center"/>
            </w:pPr>
            <w:r>
              <w:t>Зміст положення (норми) чинного законодавства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DC29" w14:textId="77777777" w:rsidR="007B5080" w:rsidRDefault="007B5080">
            <w:pPr>
              <w:spacing w:after="0" w:line="259" w:lineRule="auto"/>
              <w:ind w:left="490" w:firstLine="0"/>
              <w:jc w:val="center"/>
            </w:pPr>
            <w:r>
              <w:t>Зміст відповідного положення (норми) запропонованого проєкту акта</w:t>
            </w:r>
            <w:r>
              <w:rPr>
                <w:b w:val="0"/>
              </w:rPr>
              <w:t xml:space="preserve"> </w:t>
            </w:r>
          </w:p>
        </w:tc>
      </w:tr>
      <w:tr w:rsidR="007B5080" w14:paraId="37646E1F" w14:textId="77777777" w:rsidTr="002214E3">
        <w:trPr>
          <w:trHeight w:val="2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6EF5" w14:textId="77777777" w:rsidR="007B5080" w:rsidRPr="007B5080" w:rsidRDefault="007B5080" w:rsidP="007B5080">
            <w:pPr>
              <w:spacing w:after="30" w:line="245" w:lineRule="auto"/>
              <w:ind w:left="0" w:firstLine="705"/>
              <w:rPr>
                <w:szCs w:val="28"/>
              </w:rPr>
            </w:pPr>
            <w:r w:rsidRPr="00964FA4">
              <w:rPr>
                <w:b w:val="0"/>
                <w:szCs w:val="28"/>
              </w:rPr>
              <w:t>Стаття 245.</w:t>
            </w:r>
            <w:r w:rsidRPr="007B5080">
              <w:rPr>
                <w:rFonts w:ascii="MS Gothic" w:eastAsia="MS Gothic" w:hAnsi="MS Gothic" w:cs="MS Gothic"/>
                <w:b w:val="0"/>
                <w:szCs w:val="28"/>
              </w:rPr>
              <w:t>​</w:t>
            </w:r>
            <w:r w:rsidRPr="007B5080">
              <w:rPr>
                <w:b w:val="0"/>
                <w:szCs w:val="28"/>
              </w:rPr>
              <w:t xml:space="preserve"> Ставки податку за скиди забруднюючих речовин у водні об'єкти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6B0C" w14:textId="77777777" w:rsidR="007B5080" w:rsidRDefault="007B5080" w:rsidP="007B5080">
            <w:pPr>
              <w:spacing w:after="0" w:line="245" w:lineRule="auto"/>
              <w:ind w:left="0" w:firstLine="705"/>
              <w:jc w:val="both"/>
            </w:pPr>
            <w:r w:rsidRPr="00964FA4">
              <w:rPr>
                <w:b w:val="0"/>
              </w:rPr>
              <w:t>Стаття 245.</w:t>
            </w:r>
            <w:r w:rsidRPr="00964FA4">
              <w:rPr>
                <w:rFonts w:ascii="MS Gothic" w:eastAsia="MS Gothic" w:hAnsi="MS Gothic" w:cs="MS Gothic"/>
                <w:b w:val="0"/>
              </w:rPr>
              <w:t>​</w:t>
            </w:r>
            <w:r>
              <w:rPr>
                <w:b w:val="0"/>
              </w:rPr>
              <w:t xml:space="preserve"> Ставки податку за скиди забруднюючих речовин у водні об'єкти </w:t>
            </w:r>
          </w:p>
        </w:tc>
      </w:tr>
      <w:tr w:rsidR="007B5080" w14:paraId="286C2F25" w14:textId="77777777" w:rsidTr="002214E3">
        <w:trPr>
          <w:trHeight w:val="2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6F09" w14:textId="77777777" w:rsidR="007B5080" w:rsidRPr="007B5080" w:rsidRDefault="007B5080" w:rsidP="007B5080">
            <w:pPr>
              <w:spacing w:after="30" w:line="245" w:lineRule="auto"/>
              <w:ind w:left="0" w:firstLine="705"/>
              <w:rPr>
                <w:szCs w:val="28"/>
              </w:rPr>
            </w:pPr>
            <w:r w:rsidRPr="007B5080">
              <w:rPr>
                <w:b w:val="0"/>
                <w:szCs w:val="28"/>
              </w:rPr>
              <w:t>245.1. Ставки податку за скиди окремих забруднюючих речовин у водні об’єкти: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6298" w14:textId="77777777" w:rsidR="007B5080" w:rsidRPr="00797622" w:rsidRDefault="007B5080" w:rsidP="007B5080">
            <w:pPr>
              <w:spacing w:after="0" w:line="245" w:lineRule="auto"/>
              <w:ind w:left="0" w:firstLine="705"/>
              <w:jc w:val="both"/>
              <w:rPr>
                <w:bCs/>
                <w:color w:val="auto"/>
              </w:rPr>
            </w:pPr>
            <w:r w:rsidRPr="00797622">
              <w:rPr>
                <w:bCs/>
                <w:color w:val="auto"/>
              </w:rPr>
              <w:t>245.1. Ставки податку за скиди окремих забруднюючих речовин у водні об’єкти:</w:t>
            </w:r>
          </w:p>
        </w:tc>
      </w:tr>
      <w:tr w:rsidR="007B5080" w14:paraId="7CAA27C6" w14:textId="77777777" w:rsidTr="002214E3">
        <w:trPr>
          <w:trHeight w:val="2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W w:w="7209" w:type="dxa"/>
              <w:tblInd w:w="13" w:type="dxa"/>
              <w:tblLayout w:type="fixed"/>
              <w:tblCellMar>
                <w:top w:w="111" w:type="dxa"/>
                <w:left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3119"/>
            </w:tblGrid>
            <w:tr w:rsidR="007B5080" w:rsidRPr="007B5080" w14:paraId="03654AA8" w14:textId="77777777" w:rsidTr="00964FA4">
              <w:trPr>
                <w:trHeight w:val="645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5974AF" w14:textId="77777777" w:rsidR="007B5080" w:rsidRPr="007B5080" w:rsidRDefault="007B5080" w:rsidP="007B5080">
                  <w:pPr>
                    <w:spacing w:after="0" w:line="259" w:lineRule="auto"/>
                    <w:ind w:left="105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Найменування забруднюючої речовини 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DE3A09" w14:textId="77777777" w:rsidR="007B5080" w:rsidRPr="007B5080" w:rsidRDefault="007B5080" w:rsidP="007B5080">
                  <w:pPr>
                    <w:tabs>
                      <w:tab w:val="left" w:pos="1540"/>
                    </w:tabs>
                    <w:spacing w:after="0" w:line="259" w:lineRule="auto"/>
                    <w:ind w:left="0" w:right="455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Ставка податку,  гривень за 1 тонну </w:t>
                  </w:r>
                </w:p>
              </w:tc>
            </w:tr>
            <w:tr w:rsidR="007B5080" w:rsidRPr="007B5080" w14:paraId="3F48A427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DCB46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Азот амонійний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9C17C4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1610,48</w:t>
                  </w:r>
                </w:p>
              </w:tc>
            </w:tr>
            <w:tr w:rsidR="007B5080" w:rsidRPr="007B5080" w14:paraId="1469136A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E3FDC" w14:textId="77777777" w:rsidR="007B5080" w:rsidRPr="007B5080" w:rsidRDefault="007B5080" w:rsidP="007B5080">
                  <w:pPr>
                    <w:spacing w:after="83"/>
                    <w:ind w:left="105" w:right="174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Органічні речовини (за показниками біохімічного споживання кисню (БСК 5)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D700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644,6</w:t>
                  </w:r>
                </w:p>
              </w:tc>
            </w:tr>
            <w:tr w:rsidR="007B5080" w:rsidRPr="007B5080" w14:paraId="5E56CE87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1A7904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Завислі речовини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A14812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46,19</w:t>
                  </w:r>
                </w:p>
              </w:tc>
            </w:tr>
            <w:tr w:rsidR="007B5080" w:rsidRPr="007B5080" w14:paraId="21C6E043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DF1C7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Нафтопродукти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125E0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9474,05</w:t>
                  </w:r>
                </w:p>
              </w:tc>
            </w:tr>
            <w:tr w:rsidR="007B5080" w:rsidRPr="007B5080" w14:paraId="22886BA0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9634AB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Нітрати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6F6527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138,57</w:t>
                  </w:r>
                </w:p>
              </w:tc>
            </w:tr>
            <w:tr w:rsidR="007B5080" w:rsidRPr="007B5080" w14:paraId="3E1EC1F5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5A686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Нітрити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2254E0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7909,77</w:t>
                  </w:r>
                </w:p>
              </w:tc>
            </w:tr>
            <w:tr w:rsidR="007B5080" w:rsidRPr="007B5080" w14:paraId="2DF2A534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03B0C4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Сульфати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12419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46,19</w:t>
                  </w:r>
                </w:p>
              </w:tc>
            </w:tr>
            <w:tr w:rsidR="007B5080" w:rsidRPr="007B5080" w14:paraId="15D2B754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B898BA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Фосфати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C7F36E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1287,18</w:t>
                  </w:r>
                </w:p>
              </w:tc>
            </w:tr>
            <w:tr w:rsidR="007B5080" w:rsidRPr="007B5080" w14:paraId="36485B62" w14:textId="77777777" w:rsidTr="00964FA4">
              <w:trPr>
                <w:trHeight w:val="343"/>
              </w:trPr>
              <w:tc>
                <w:tcPr>
                  <w:tcW w:w="4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CFC85D" w14:textId="77777777" w:rsidR="007B5080" w:rsidRPr="007B5080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 w:val="0"/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Хлориди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46701F" w14:textId="77777777" w:rsidR="007B5080" w:rsidRPr="0075553E" w:rsidRDefault="007B5080" w:rsidP="007B5080">
                  <w:pPr>
                    <w:tabs>
                      <w:tab w:val="center" w:pos="4740"/>
                    </w:tabs>
                    <w:spacing w:after="81" w:line="259" w:lineRule="auto"/>
                    <w:ind w:left="0" w:right="877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46,19.</w:t>
                  </w:r>
                </w:p>
              </w:tc>
            </w:tr>
          </w:tbl>
          <w:p w14:paraId="10E69DD7" w14:textId="77777777" w:rsidR="007B5080" w:rsidRPr="007B5080" w:rsidRDefault="007B5080" w:rsidP="007B5080">
            <w:pPr>
              <w:spacing w:after="0" w:line="259" w:lineRule="auto"/>
              <w:ind w:left="705" w:firstLine="0"/>
              <w:rPr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W w:w="7067" w:type="dxa"/>
              <w:tblInd w:w="13" w:type="dxa"/>
              <w:tblLayout w:type="fixed"/>
              <w:tblCellMar>
                <w:top w:w="111" w:type="dxa"/>
                <w:left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50"/>
              <w:gridCol w:w="3217"/>
            </w:tblGrid>
            <w:tr w:rsidR="00797622" w:rsidRPr="00797622" w14:paraId="30600C7C" w14:textId="77777777" w:rsidTr="00964FA4">
              <w:trPr>
                <w:trHeight w:val="645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41EF68" w14:textId="77777777" w:rsidR="00964FA4" w:rsidRPr="00797622" w:rsidRDefault="00964FA4" w:rsidP="00964FA4">
                  <w:pPr>
                    <w:spacing w:after="0" w:line="259" w:lineRule="auto"/>
                    <w:ind w:left="105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Найменування забруднюючої речовини 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8A72B9" w14:textId="77777777" w:rsidR="00964FA4" w:rsidRPr="00797622" w:rsidRDefault="00964FA4" w:rsidP="00964FA4">
                  <w:pPr>
                    <w:tabs>
                      <w:tab w:val="left" w:pos="1540"/>
                    </w:tabs>
                    <w:spacing w:after="0" w:line="259" w:lineRule="auto"/>
                    <w:ind w:left="0" w:right="455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Ставка податку,  гривень за 1 тонну </w:t>
                  </w:r>
                </w:p>
              </w:tc>
            </w:tr>
            <w:tr w:rsidR="00797622" w:rsidRPr="00797622" w14:paraId="0E0B16AF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BAC63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Азот амонійний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A14CC5" w14:textId="49EA1DB9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16104,8</w:t>
                  </w:r>
                </w:p>
              </w:tc>
            </w:tr>
            <w:tr w:rsidR="00797622" w:rsidRPr="00797622" w14:paraId="664DD854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71E774" w14:textId="77777777" w:rsidR="00964FA4" w:rsidRPr="00797622" w:rsidRDefault="00964FA4" w:rsidP="00964FA4">
                  <w:pPr>
                    <w:spacing w:after="83"/>
                    <w:ind w:left="105" w:right="174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Органічні речовини (за показниками біохімічного споживання кисню (БСК 5)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C9299A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6446</w:t>
                  </w:r>
                </w:p>
              </w:tc>
            </w:tr>
            <w:tr w:rsidR="00797622" w:rsidRPr="00797622" w14:paraId="3E199088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0F11F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Завислі речовини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F0D9A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461,9</w:t>
                  </w:r>
                </w:p>
              </w:tc>
            </w:tr>
            <w:tr w:rsidR="00797622" w:rsidRPr="00797622" w14:paraId="271C794E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CA8519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Нафтопродукти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610C29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94740,5</w:t>
                  </w:r>
                </w:p>
              </w:tc>
            </w:tr>
            <w:tr w:rsidR="00797622" w:rsidRPr="00797622" w14:paraId="09781DE5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7B48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Нітрати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439BF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1385,7</w:t>
                  </w:r>
                </w:p>
              </w:tc>
            </w:tr>
            <w:tr w:rsidR="00797622" w:rsidRPr="00797622" w14:paraId="6C752687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1F94EF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Нітрити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A17E40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79097,7</w:t>
                  </w:r>
                </w:p>
              </w:tc>
            </w:tr>
            <w:tr w:rsidR="00797622" w:rsidRPr="00797622" w14:paraId="2A97EA1C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53FB9B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Сульфати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E85F2B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461,9</w:t>
                  </w:r>
                </w:p>
              </w:tc>
            </w:tr>
            <w:tr w:rsidR="00797622" w:rsidRPr="00797622" w14:paraId="38B20EBA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FD06D2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Фосфати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FB672E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12871,8</w:t>
                  </w:r>
                </w:p>
              </w:tc>
            </w:tr>
            <w:tr w:rsidR="00797622" w:rsidRPr="00797622" w14:paraId="609D0AC3" w14:textId="77777777" w:rsidTr="00964FA4">
              <w:trPr>
                <w:trHeight w:val="343"/>
              </w:trPr>
              <w:tc>
                <w:tcPr>
                  <w:tcW w:w="3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EBC632" w14:textId="77777777" w:rsidR="00964FA4" w:rsidRPr="00797622" w:rsidRDefault="00964FA4" w:rsidP="00964FA4">
                  <w:pPr>
                    <w:tabs>
                      <w:tab w:val="center" w:pos="4740"/>
                    </w:tabs>
                    <w:spacing w:after="81" w:line="259" w:lineRule="auto"/>
                    <w:ind w:left="105" w:right="877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lastRenderedPageBreak/>
                    <w:t>Хлориди</w:t>
                  </w:r>
                </w:p>
              </w:tc>
              <w:tc>
                <w:tcPr>
                  <w:tcW w:w="3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1F30B9" w14:textId="77777777" w:rsidR="00964FA4" w:rsidRPr="00797622" w:rsidRDefault="00964FA4" w:rsidP="00964FA4">
                  <w:pPr>
                    <w:rPr>
                      <w:bCs/>
                      <w:color w:val="auto"/>
                    </w:rPr>
                  </w:pPr>
                  <w:r w:rsidRPr="00797622">
                    <w:rPr>
                      <w:bCs/>
                      <w:color w:val="auto"/>
                    </w:rPr>
                    <w:t>461,9.</w:t>
                  </w:r>
                </w:p>
              </w:tc>
            </w:tr>
          </w:tbl>
          <w:p w14:paraId="03B2C7DD" w14:textId="77777777" w:rsidR="007B5080" w:rsidRPr="00797622" w:rsidRDefault="007B5080" w:rsidP="00964FA4">
            <w:pPr>
              <w:spacing w:after="0" w:line="259" w:lineRule="auto"/>
              <w:ind w:left="0" w:right="234" w:firstLine="705"/>
              <w:jc w:val="both"/>
              <w:rPr>
                <w:bCs/>
                <w:color w:val="auto"/>
              </w:rPr>
            </w:pPr>
          </w:p>
        </w:tc>
      </w:tr>
      <w:tr w:rsidR="007B5080" w14:paraId="69861115" w14:textId="77777777" w:rsidTr="002214E3">
        <w:trPr>
          <w:trHeight w:val="20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C381" w14:textId="77777777" w:rsidR="007B5080" w:rsidRPr="007B5080" w:rsidRDefault="007B5080" w:rsidP="00CC4DD7">
            <w:pPr>
              <w:spacing w:after="0" w:line="259" w:lineRule="auto"/>
              <w:ind w:left="0" w:right="48" w:firstLine="705"/>
              <w:jc w:val="both"/>
              <w:rPr>
                <w:szCs w:val="28"/>
              </w:rPr>
            </w:pPr>
            <w:r w:rsidRPr="007B5080">
              <w:rPr>
                <w:b w:val="0"/>
                <w:szCs w:val="28"/>
              </w:rPr>
              <w:lastRenderedPageBreak/>
              <w:t>245.2. Ставки податку за скиди у водні об’єкти забруднюючих речовин, які не увійшли до пункту 245.1 цієї статті та на які встановлено гранично допустиму концентрацію або орієнтовно безпечний рівень впливу: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E6FB" w14:textId="77777777" w:rsidR="007B5080" w:rsidRPr="00797622" w:rsidRDefault="007B5080" w:rsidP="00CC4DD7">
            <w:pPr>
              <w:spacing w:after="0" w:line="259" w:lineRule="auto"/>
              <w:ind w:left="0" w:right="48" w:firstLine="705"/>
              <w:jc w:val="both"/>
              <w:rPr>
                <w:bCs/>
                <w:color w:val="auto"/>
              </w:rPr>
            </w:pPr>
            <w:r w:rsidRPr="00797622">
              <w:rPr>
                <w:bCs/>
                <w:color w:val="auto"/>
              </w:rPr>
              <w:t>245.2. Ставки податку за скиди у водні об’єкти забруднюючих речовин, які не увійшли до пункту 245.1 цієї статті та на які встановлено гранично допустиму концентрацію або орієнтовно безпечний рівень впливу:</w:t>
            </w:r>
          </w:p>
        </w:tc>
      </w:tr>
      <w:tr w:rsidR="007B5080" w14:paraId="514E142D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1748"/>
        </w:trPr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A5407" w14:textId="77777777" w:rsidR="007B5080" w:rsidRPr="007B5080" w:rsidRDefault="007B5080">
            <w:pPr>
              <w:spacing w:after="0" w:line="259" w:lineRule="auto"/>
              <w:ind w:left="797" w:firstLine="0"/>
              <w:rPr>
                <w:szCs w:val="28"/>
              </w:rPr>
            </w:pPr>
            <w:r w:rsidRPr="007B5080">
              <w:rPr>
                <w:b w:val="0"/>
                <w:szCs w:val="28"/>
              </w:rPr>
              <w:t xml:space="preserve"> </w:t>
            </w:r>
          </w:p>
          <w:tbl>
            <w:tblPr>
              <w:tblStyle w:val="TableGrid"/>
              <w:tblW w:w="7333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3" w:type="dxa"/>
                <w:left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3"/>
              <w:gridCol w:w="3540"/>
            </w:tblGrid>
            <w:tr w:rsidR="007B5080" w:rsidRPr="007B5080" w14:paraId="11AB4502" w14:textId="77777777" w:rsidTr="00964FA4">
              <w:trPr>
                <w:trHeight w:val="1500"/>
              </w:trPr>
              <w:tc>
                <w:tcPr>
                  <w:tcW w:w="3793" w:type="dxa"/>
                </w:tcPr>
                <w:p w14:paraId="598684FB" w14:textId="77777777" w:rsidR="007B5080" w:rsidRPr="007B5080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Гранично допустима концентрація забруднюючих речовин або орієнтовно безпечний рівень впливу, міліграмів на 1 літр</w:t>
                  </w:r>
                </w:p>
              </w:tc>
              <w:tc>
                <w:tcPr>
                  <w:tcW w:w="3540" w:type="dxa"/>
                </w:tcPr>
                <w:p w14:paraId="18A8755E" w14:textId="77777777" w:rsidR="007B5080" w:rsidRPr="007B5080" w:rsidRDefault="007B5080" w:rsidP="00964FA4">
                  <w:pPr>
                    <w:tabs>
                      <w:tab w:val="left" w:pos="1471"/>
                    </w:tabs>
                    <w:spacing w:after="0" w:line="259" w:lineRule="auto"/>
                    <w:ind w:left="0" w:right="451" w:firstLine="0"/>
                    <w:jc w:val="center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>Ставка податку,  гривень за 1 тонну</w:t>
                  </w:r>
                </w:p>
              </w:tc>
            </w:tr>
            <w:tr w:rsidR="007B5080" w:rsidRPr="007B5080" w14:paraId="0B5731AC" w14:textId="77777777" w:rsidTr="00964FA4">
              <w:trPr>
                <w:trHeight w:val="393"/>
              </w:trPr>
              <w:tc>
                <w:tcPr>
                  <w:tcW w:w="3793" w:type="dxa"/>
                </w:tcPr>
                <w:p w14:paraId="7283177E" w14:textId="77777777" w:rsidR="007B5080" w:rsidRPr="007B5080" w:rsidRDefault="007B5080">
                  <w:pPr>
                    <w:spacing w:after="0" w:line="259" w:lineRule="auto"/>
                    <w:ind w:left="0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До 0,001 (включно) </w:t>
                  </w:r>
                </w:p>
              </w:tc>
              <w:tc>
                <w:tcPr>
                  <w:tcW w:w="3540" w:type="dxa"/>
                </w:tcPr>
                <w:p w14:paraId="2A293EB3" w14:textId="77777777" w:rsidR="007B5080" w:rsidRPr="0075553E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168743,5</w:t>
                  </w:r>
                </w:p>
              </w:tc>
            </w:tr>
            <w:tr w:rsidR="007B5080" w:rsidRPr="007B5080" w14:paraId="4ED3A6B1" w14:textId="77777777" w:rsidTr="00964FA4">
              <w:trPr>
                <w:trHeight w:val="345"/>
              </w:trPr>
              <w:tc>
                <w:tcPr>
                  <w:tcW w:w="3793" w:type="dxa"/>
                </w:tcPr>
                <w:p w14:paraId="2B194264" w14:textId="77777777" w:rsidR="007B5080" w:rsidRPr="007B5080" w:rsidRDefault="007B5080">
                  <w:pPr>
                    <w:spacing w:after="0" w:line="259" w:lineRule="auto"/>
                    <w:ind w:left="0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Понад 0,001-0,1 (включно) </w:t>
                  </w:r>
                </w:p>
              </w:tc>
              <w:tc>
                <w:tcPr>
                  <w:tcW w:w="3540" w:type="dxa"/>
                </w:tcPr>
                <w:p w14:paraId="0314C4EF" w14:textId="77777777" w:rsidR="007B5080" w:rsidRPr="0075553E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122347,23</w:t>
                  </w:r>
                </w:p>
              </w:tc>
            </w:tr>
            <w:tr w:rsidR="007B5080" w:rsidRPr="007B5080" w14:paraId="4827D5C0" w14:textId="77777777" w:rsidTr="00964FA4">
              <w:trPr>
                <w:trHeight w:val="345"/>
              </w:trPr>
              <w:tc>
                <w:tcPr>
                  <w:tcW w:w="3793" w:type="dxa"/>
                </w:tcPr>
                <w:p w14:paraId="28AEB20A" w14:textId="77777777" w:rsidR="007B5080" w:rsidRPr="007B5080" w:rsidRDefault="007B5080">
                  <w:pPr>
                    <w:spacing w:after="0" w:line="259" w:lineRule="auto"/>
                    <w:ind w:left="0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Понад 0,1-1 (включно) </w:t>
                  </w:r>
                </w:p>
              </w:tc>
              <w:tc>
                <w:tcPr>
                  <w:tcW w:w="3540" w:type="dxa"/>
                </w:tcPr>
                <w:p w14:paraId="50F0FD07" w14:textId="77777777" w:rsidR="007B5080" w:rsidRPr="0075553E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21092,69</w:t>
                  </w:r>
                </w:p>
              </w:tc>
            </w:tr>
            <w:tr w:rsidR="007B5080" w:rsidRPr="007B5080" w14:paraId="771579BF" w14:textId="77777777" w:rsidTr="00964FA4">
              <w:trPr>
                <w:trHeight w:val="345"/>
              </w:trPr>
              <w:tc>
                <w:tcPr>
                  <w:tcW w:w="3793" w:type="dxa"/>
                </w:tcPr>
                <w:p w14:paraId="3B400948" w14:textId="77777777" w:rsidR="007B5080" w:rsidRPr="007B5080" w:rsidRDefault="007B5080">
                  <w:pPr>
                    <w:spacing w:after="0" w:line="259" w:lineRule="auto"/>
                    <w:ind w:left="0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Понад 1-10 (включно) </w:t>
                  </w:r>
                </w:p>
              </w:tc>
              <w:tc>
                <w:tcPr>
                  <w:tcW w:w="3540" w:type="dxa"/>
                </w:tcPr>
                <w:p w14:paraId="22B0E387" w14:textId="77777777" w:rsidR="007B5080" w:rsidRPr="0075553E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2146,63</w:t>
                  </w:r>
                </w:p>
              </w:tc>
            </w:tr>
            <w:tr w:rsidR="007B5080" w:rsidRPr="007B5080" w14:paraId="4403B5F2" w14:textId="77777777" w:rsidTr="00964FA4">
              <w:trPr>
                <w:trHeight w:val="312"/>
              </w:trPr>
              <w:tc>
                <w:tcPr>
                  <w:tcW w:w="3793" w:type="dxa"/>
                </w:tcPr>
                <w:p w14:paraId="0DEC8E13" w14:textId="77777777" w:rsidR="007B5080" w:rsidRPr="007B5080" w:rsidRDefault="007B5080">
                  <w:pPr>
                    <w:spacing w:after="0" w:line="259" w:lineRule="auto"/>
                    <w:ind w:left="0" w:firstLine="0"/>
                    <w:rPr>
                      <w:szCs w:val="28"/>
                    </w:rPr>
                  </w:pPr>
                  <w:r w:rsidRPr="007B5080">
                    <w:rPr>
                      <w:b w:val="0"/>
                      <w:szCs w:val="28"/>
                    </w:rPr>
                    <w:t xml:space="preserve">Понад 10 </w:t>
                  </w:r>
                </w:p>
              </w:tc>
              <w:tc>
                <w:tcPr>
                  <w:tcW w:w="3540" w:type="dxa"/>
                </w:tcPr>
                <w:p w14:paraId="471321C7" w14:textId="77777777" w:rsidR="007B5080" w:rsidRPr="0075553E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szCs w:val="28"/>
                    </w:rPr>
                  </w:pPr>
                  <w:r w:rsidRPr="0075553E">
                    <w:rPr>
                      <w:szCs w:val="28"/>
                    </w:rPr>
                    <w:t>429,72.</w:t>
                  </w:r>
                </w:p>
              </w:tc>
            </w:tr>
          </w:tbl>
          <w:p w14:paraId="5D67D8E8" w14:textId="77777777" w:rsidR="007B5080" w:rsidRPr="007B5080" w:rsidRDefault="007B5080" w:rsidP="007C173E">
            <w:pPr>
              <w:spacing w:after="0" w:line="248" w:lineRule="auto"/>
              <w:ind w:left="92" w:right="118" w:firstLine="705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F92DDF" w14:textId="77777777" w:rsidR="007B5080" w:rsidRPr="00797622" w:rsidRDefault="007B5080">
            <w:pPr>
              <w:spacing w:after="0" w:line="259" w:lineRule="auto"/>
              <w:ind w:left="797" w:firstLine="0"/>
              <w:rPr>
                <w:bCs/>
                <w:color w:val="auto"/>
                <w:szCs w:val="28"/>
              </w:rPr>
            </w:pPr>
            <w:r w:rsidRPr="00797622">
              <w:rPr>
                <w:bCs/>
                <w:color w:val="auto"/>
              </w:rPr>
              <w:t xml:space="preserve"> </w:t>
            </w:r>
          </w:p>
          <w:tbl>
            <w:tblPr>
              <w:tblStyle w:val="TableGrid"/>
              <w:tblW w:w="711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3" w:type="dxa"/>
                <w:left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  <w:gridCol w:w="3402"/>
            </w:tblGrid>
            <w:tr w:rsidR="00797622" w:rsidRPr="00797622" w14:paraId="7862125A" w14:textId="77777777" w:rsidTr="0075553E">
              <w:trPr>
                <w:trHeight w:val="1500"/>
              </w:trPr>
              <w:tc>
                <w:tcPr>
                  <w:tcW w:w="3713" w:type="dxa"/>
                </w:tcPr>
                <w:p w14:paraId="3961ABF0" w14:textId="77777777" w:rsidR="007B5080" w:rsidRPr="00797622" w:rsidRDefault="007B5080" w:rsidP="00964FA4">
                  <w:pPr>
                    <w:spacing w:after="0" w:line="259" w:lineRule="auto"/>
                    <w:ind w:left="0" w:firstLine="0"/>
                    <w:jc w:val="center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Гранично допустима концентрація забруднюючих речовин або орієнтовно безпечний рівень впливу, міліграмів на 1 літр</w:t>
                  </w:r>
                </w:p>
              </w:tc>
              <w:tc>
                <w:tcPr>
                  <w:tcW w:w="3402" w:type="dxa"/>
                </w:tcPr>
                <w:p w14:paraId="730DEDA0" w14:textId="77777777" w:rsidR="007B5080" w:rsidRPr="00797622" w:rsidRDefault="007B5080" w:rsidP="00964FA4">
                  <w:pPr>
                    <w:tabs>
                      <w:tab w:val="left" w:pos="1255"/>
                      <w:tab w:val="left" w:pos="1541"/>
                    </w:tabs>
                    <w:spacing w:after="0" w:line="259" w:lineRule="auto"/>
                    <w:ind w:left="0" w:right="742" w:firstLine="0"/>
                    <w:jc w:val="center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Ставка податку,  гривень за 1 тонну</w:t>
                  </w:r>
                </w:p>
              </w:tc>
            </w:tr>
            <w:tr w:rsidR="00797622" w:rsidRPr="00797622" w14:paraId="5F1CDD41" w14:textId="77777777" w:rsidTr="0075553E">
              <w:trPr>
                <w:trHeight w:val="393"/>
              </w:trPr>
              <w:tc>
                <w:tcPr>
                  <w:tcW w:w="3713" w:type="dxa"/>
                </w:tcPr>
                <w:p w14:paraId="6566F104" w14:textId="77777777" w:rsidR="00964FA4" w:rsidRPr="00797622" w:rsidRDefault="00964FA4" w:rsidP="00964FA4">
                  <w:pPr>
                    <w:spacing w:after="0" w:line="259" w:lineRule="auto"/>
                    <w:ind w:left="0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До 0,001 (включно) </w:t>
                  </w:r>
                </w:p>
              </w:tc>
              <w:tc>
                <w:tcPr>
                  <w:tcW w:w="3402" w:type="dxa"/>
                </w:tcPr>
                <w:p w14:paraId="39391D11" w14:textId="77777777" w:rsidR="00964FA4" w:rsidRPr="00797622" w:rsidRDefault="00964FA4" w:rsidP="00964FA4">
                  <w:pPr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1687435</w:t>
                  </w:r>
                </w:p>
              </w:tc>
            </w:tr>
            <w:tr w:rsidR="00797622" w:rsidRPr="00797622" w14:paraId="6F1EC69F" w14:textId="77777777" w:rsidTr="0075553E">
              <w:trPr>
                <w:trHeight w:val="345"/>
              </w:trPr>
              <w:tc>
                <w:tcPr>
                  <w:tcW w:w="3713" w:type="dxa"/>
                </w:tcPr>
                <w:p w14:paraId="7160FCC6" w14:textId="77777777" w:rsidR="00964FA4" w:rsidRPr="00797622" w:rsidRDefault="00964FA4" w:rsidP="00964FA4">
                  <w:pPr>
                    <w:spacing w:after="0" w:line="259" w:lineRule="auto"/>
                    <w:ind w:left="0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Понад 0,001-0,1 (включно) </w:t>
                  </w:r>
                </w:p>
              </w:tc>
              <w:tc>
                <w:tcPr>
                  <w:tcW w:w="3402" w:type="dxa"/>
                </w:tcPr>
                <w:p w14:paraId="30CE22EE" w14:textId="77777777" w:rsidR="00964FA4" w:rsidRPr="00797622" w:rsidRDefault="00964FA4" w:rsidP="00964FA4">
                  <w:pPr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1223472,3</w:t>
                  </w:r>
                </w:p>
              </w:tc>
            </w:tr>
            <w:tr w:rsidR="00797622" w:rsidRPr="00797622" w14:paraId="62BD7AC5" w14:textId="77777777" w:rsidTr="0075553E">
              <w:trPr>
                <w:trHeight w:val="345"/>
              </w:trPr>
              <w:tc>
                <w:tcPr>
                  <w:tcW w:w="3713" w:type="dxa"/>
                </w:tcPr>
                <w:p w14:paraId="0AB6AA84" w14:textId="77777777" w:rsidR="00964FA4" w:rsidRPr="00797622" w:rsidRDefault="00964FA4" w:rsidP="00964FA4">
                  <w:pPr>
                    <w:spacing w:after="0" w:line="259" w:lineRule="auto"/>
                    <w:ind w:left="0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Понад 0,1-1 (включно) </w:t>
                  </w:r>
                </w:p>
              </w:tc>
              <w:tc>
                <w:tcPr>
                  <w:tcW w:w="3402" w:type="dxa"/>
                </w:tcPr>
                <w:p w14:paraId="1CB83B09" w14:textId="77777777" w:rsidR="00964FA4" w:rsidRPr="00797622" w:rsidRDefault="00964FA4" w:rsidP="00964FA4">
                  <w:pPr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210926,9</w:t>
                  </w:r>
                </w:p>
              </w:tc>
            </w:tr>
            <w:tr w:rsidR="00797622" w:rsidRPr="00797622" w14:paraId="141ACBB3" w14:textId="77777777" w:rsidTr="0075553E">
              <w:trPr>
                <w:trHeight w:val="345"/>
              </w:trPr>
              <w:tc>
                <w:tcPr>
                  <w:tcW w:w="3713" w:type="dxa"/>
                </w:tcPr>
                <w:p w14:paraId="1A1BC1BE" w14:textId="77777777" w:rsidR="00964FA4" w:rsidRPr="00797622" w:rsidRDefault="00964FA4" w:rsidP="00964FA4">
                  <w:pPr>
                    <w:spacing w:after="0" w:line="259" w:lineRule="auto"/>
                    <w:ind w:left="0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Понад 1-10 (включно) </w:t>
                  </w:r>
                </w:p>
              </w:tc>
              <w:tc>
                <w:tcPr>
                  <w:tcW w:w="3402" w:type="dxa"/>
                </w:tcPr>
                <w:p w14:paraId="35E45843" w14:textId="77777777" w:rsidR="00964FA4" w:rsidRPr="00797622" w:rsidRDefault="00964FA4" w:rsidP="00964FA4">
                  <w:pPr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21466,3</w:t>
                  </w:r>
                </w:p>
              </w:tc>
            </w:tr>
            <w:tr w:rsidR="00797622" w:rsidRPr="00797622" w14:paraId="030C8BE5" w14:textId="77777777" w:rsidTr="0075553E">
              <w:trPr>
                <w:trHeight w:val="312"/>
              </w:trPr>
              <w:tc>
                <w:tcPr>
                  <w:tcW w:w="3713" w:type="dxa"/>
                </w:tcPr>
                <w:p w14:paraId="63053ED5" w14:textId="77777777" w:rsidR="00964FA4" w:rsidRPr="00797622" w:rsidRDefault="00964FA4" w:rsidP="00964FA4">
                  <w:pPr>
                    <w:spacing w:after="0" w:line="259" w:lineRule="auto"/>
                    <w:ind w:left="0" w:firstLine="0"/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 xml:space="preserve">Понад 10 </w:t>
                  </w:r>
                </w:p>
              </w:tc>
              <w:tc>
                <w:tcPr>
                  <w:tcW w:w="3402" w:type="dxa"/>
                </w:tcPr>
                <w:p w14:paraId="5B48630B" w14:textId="77777777" w:rsidR="00964FA4" w:rsidRPr="00797622" w:rsidRDefault="00964FA4" w:rsidP="00964FA4">
                  <w:pPr>
                    <w:rPr>
                      <w:bCs/>
                      <w:color w:val="auto"/>
                      <w:szCs w:val="28"/>
                    </w:rPr>
                  </w:pPr>
                  <w:r w:rsidRPr="00797622">
                    <w:rPr>
                      <w:bCs/>
                      <w:color w:val="auto"/>
                      <w:szCs w:val="28"/>
                    </w:rPr>
                    <w:t>4297,2.</w:t>
                  </w:r>
                </w:p>
              </w:tc>
            </w:tr>
          </w:tbl>
          <w:p w14:paraId="135F7D14" w14:textId="77777777" w:rsidR="007B5080" w:rsidRPr="00797622" w:rsidRDefault="007B5080" w:rsidP="007C173E">
            <w:pPr>
              <w:spacing w:after="0" w:line="246" w:lineRule="auto"/>
              <w:ind w:left="92" w:right="118" w:firstLine="705"/>
              <w:jc w:val="both"/>
              <w:rPr>
                <w:bCs/>
                <w:color w:val="auto"/>
              </w:rPr>
            </w:pPr>
          </w:p>
        </w:tc>
      </w:tr>
      <w:tr w:rsidR="007B5080" w14:paraId="7AB90CA2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1748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DC3" w14:textId="77777777" w:rsidR="007B5080" w:rsidRPr="007B5080" w:rsidRDefault="007B5080" w:rsidP="007C173E">
            <w:pPr>
              <w:spacing w:after="10" w:line="245" w:lineRule="auto"/>
              <w:ind w:left="92" w:right="122" w:firstLine="705"/>
              <w:jc w:val="both"/>
              <w:rPr>
                <w:szCs w:val="28"/>
              </w:rPr>
            </w:pPr>
            <w:r w:rsidRPr="007B5080">
              <w:rPr>
                <w:b w:val="0"/>
                <w:szCs w:val="28"/>
              </w:rPr>
              <w:t xml:space="preserve">245.3. За скиди забруднюючих речовин, на які не встановлено гранично допустиму концентрацію або орієнтовнобезпечний рівень впливу, застосовуються ставки податку за найменшою величиною гранично допустимої концентрації, наведеної у </w:t>
            </w:r>
            <w:hyperlink r:id="rId9" w:anchor="n6015">
              <w:r w:rsidRPr="007B5080">
                <w:rPr>
                  <w:rFonts w:ascii="MS Gothic" w:eastAsia="MS Gothic" w:hAnsi="MS Gothic" w:cs="MS Gothic"/>
                  <w:b w:val="0"/>
                  <w:szCs w:val="28"/>
                </w:rPr>
                <w:t>​</w:t>
              </w:r>
            </w:hyperlink>
            <w:hyperlink r:id="rId10" w:anchor="n6015">
              <w:r w:rsidRPr="007B5080">
                <w:rPr>
                  <w:b w:val="0"/>
                  <w:szCs w:val="28"/>
                </w:rPr>
                <w:t>пункті 245.2</w:t>
              </w:r>
            </w:hyperlink>
            <w:r w:rsidRPr="007B5080">
              <w:rPr>
                <w:rFonts w:ascii="MS Gothic" w:eastAsia="MS Gothic" w:hAnsi="MS Gothic" w:cs="MS Gothic"/>
                <w:b w:val="0"/>
                <w:szCs w:val="28"/>
              </w:rPr>
              <w:t>​</w:t>
            </w:r>
            <w:r w:rsidRPr="007B5080">
              <w:rPr>
                <w:b w:val="0"/>
                <w:szCs w:val="28"/>
              </w:rPr>
              <w:t xml:space="preserve"> цієї статті. </w:t>
            </w:r>
          </w:p>
          <w:p w14:paraId="41104C65" w14:textId="77777777" w:rsidR="007B5080" w:rsidRPr="007B5080" w:rsidRDefault="007B5080">
            <w:pPr>
              <w:spacing w:after="0" w:line="259" w:lineRule="auto"/>
              <w:ind w:left="797" w:firstLine="0"/>
              <w:rPr>
                <w:b w:val="0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E44" w14:textId="77777777" w:rsidR="007B5080" w:rsidRDefault="007B5080" w:rsidP="007C173E">
            <w:pPr>
              <w:spacing w:after="0" w:line="245" w:lineRule="auto"/>
              <w:ind w:left="92" w:right="122" w:firstLine="705"/>
              <w:jc w:val="both"/>
            </w:pPr>
            <w:r>
              <w:rPr>
                <w:b w:val="0"/>
              </w:rPr>
              <w:t xml:space="preserve">245.3. За скиди забруднюючих речовин, на які не встановлено гранично допустиму концентрацію або орієнтовнобезпечний рівень впливу, застосовуються ставки податку за найменшою величиною гранично допустимої концентрації, наведеної у </w:t>
            </w:r>
            <w:hyperlink r:id="rId11" w:anchor="n6015">
              <w:r>
                <w:rPr>
                  <w:rFonts w:ascii="MS Gothic" w:eastAsia="MS Gothic" w:hAnsi="MS Gothic" w:cs="MS Gothic"/>
                  <w:b w:val="0"/>
                </w:rPr>
                <w:t>​</w:t>
              </w:r>
            </w:hyperlink>
            <w:hyperlink r:id="rId12" w:anchor="n6015">
              <w:r>
                <w:rPr>
                  <w:b w:val="0"/>
                </w:rPr>
                <w:t>пункті 245.2</w:t>
              </w:r>
            </w:hyperlink>
            <w:r>
              <w:rPr>
                <w:rFonts w:ascii="MS Gothic" w:eastAsia="MS Gothic" w:hAnsi="MS Gothic" w:cs="MS Gothic"/>
                <w:b w:val="0"/>
              </w:rPr>
              <w:t>​</w:t>
            </w:r>
            <w:r>
              <w:rPr>
                <w:b w:val="0"/>
              </w:rPr>
              <w:t xml:space="preserve"> цієї статті. </w:t>
            </w:r>
          </w:p>
          <w:p w14:paraId="6C119CCB" w14:textId="77777777" w:rsidR="007B5080" w:rsidRDefault="007B5080">
            <w:pPr>
              <w:spacing w:after="0" w:line="259" w:lineRule="auto"/>
              <w:ind w:left="797" w:firstLine="0"/>
              <w:rPr>
                <w:b w:val="0"/>
              </w:rPr>
            </w:pPr>
          </w:p>
        </w:tc>
      </w:tr>
      <w:tr w:rsidR="007B5080" w14:paraId="05C91C9A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1045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A7B" w14:textId="77777777" w:rsidR="007B5080" w:rsidRPr="007B5080" w:rsidRDefault="007B5080" w:rsidP="007C173E">
            <w:pPr>
              <w:spacing w:after="0" w:line="248" w:lineRule="auto"/>
              <w:ind w:left="92" w:right="118" w:firstLine="705"/>
              <w:jc w:val="both"/>
              <w:rPr>
                <w:b w:val="0"/>
                <w:szCs w:val="28"/>
              </w:rPr>
            </w:pPr>
            <w:r w:rsidRPr="007B5080">
              <w:rPr>
                <w:b w:val="0"/>
                <w:szCs w:val="28"/>
              </w:rPr>
              <w:lastRenderedPageBreak/>
              <w:t xml:space="preserve">245.4. За скиди забруднюючих речовин у ставки та озера ставки податку, зазначені у </w:t>
            </w:r>
            <w:hyperlink r:id="rId13" w:anchor="n6012">
              <w:r w:rsidRPr="007B5080">
                <w:rPr>
                  <w:rFonts w:ascii="MS Gothic" w:eastAsia="MS Gothic" w:hAnsi="MS Gothic" w:cs="MS Gothic"/>
                  <w:b w:val="0"/>
                  <w:szCs w:val="28"/>
                </w:rPr>
                <w:t>​</w:t>
              </w:r>
            </w:hyperlink>
            <w:hyperlink r:id="rId14" w:anchor="n6012">
              <w:r w:rsidRPr="007B5080">
                <w:rPr>
                  <w:b w:val="0"/>
                  <w:szCs w:val="28"/>
                </w:rPr>
                <w:t>пунктах</w:t>
              </w:r>
            </w:hyperlink>
            <w:hyperlink r:id="rId15" w:anchor="n6012">
              <w:r w:rsidRPr="007B5080">
                <w:rPr>
                  <w:b w:val="0"/>
                  <w:szCs w:val="28"/>
                </w:rPr>
                <w:t xml:space="preserve"> </w:t>
              </w:r>
            </w:hyperlink>
            <w:hyperlink r:id="rId16" w:anchor="n6012">
              <w:r w:rsidRPr="007B5080">
                <w:rPr>
                  <w:b w:val="0"/>
                  <w:szCs w:val="28"/>
                </w:rPr>
                <w:t>245.1</w:t>
              </w:r>
            </w:hyperlink>
            <w:hyperlink r:id="rId17" w:anchor="n6012">
              <w:r w:rsidRPr="007B5080">
                <w:rPr>
                  <w:b w:val="0"/>
                  <w:szCs w:val="28"/>
                </w:rPr>
                <w:t xml:space="preserve"> </w:t>
              </w:r>
            </w:hyperlink>
            <w:r w:rsidRPr="007B5080">
              <w:rPr>
                <w:b w:val="0"/>
                <w:szCs w:val="28"/>
              </w:rPr>
              <w:t xml:space="preserve">і </w:t>
            </w:r>
            <w:hyperlink r:id="rId18" w:anchor="n6015">
              <w:r w:rsidRPr="007B5080">
                <w:rPr>
                  <w:rFonts w:ascii="MS Gothic" w:eastAsia="MS Gothic" w:hAnsi="MS Gothic" w:cs="MS Gothic"/>
                  <w:b w:val="0"/>
                  <w:szCs w:val="28"/>
                </w:rPr>
                <w:t>​</w:t>
              </w:r>
            </w:hyperlink>
            <w:hyperlink r:id="rId19" w:anchor="n6015">
              <w:r w:rsidRPr="007B5080">
                <w:rPr>
                  <w:b w:val="0"/>
                  <w:szCs w:val="28"/>
                </w:rPr>
                <w:t>245.2</w:t>
              </w:r>
            </w:hyperlink>
            <w:r w:rsidRPr="007B5080">
              <w:rPr>
                <w:b w:val="0"/>
                <w:szCs w:val="28"/>
              </w:rPr>
              <w:t xml:space="preserve"> цієї статті, збільшуються у 1,5 раза.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40" w14:textId="77777777" w:rsidR="007B5080" w:rsidRDefault="007B5080" w:rsidP="007C173E">
            <w:pPr>
              <w:spacing w:after="0" w:line="246" w:lineRule="auto"/>
              <w:ind w:left="92" w:right="118" w:firstLine="705"/>
              <w:jc w:val="both"/>
              <w:rPr>
                <w:b w:val="0"/>
              </w:rPr>
            </w:pPr>
            <w:r>
              <w:rPr>
                <w:b w:val="0"/>
              </w:rPr>
              <w:t xml:space="preserve">245.4. За скиди забруднюючих речовин у ставки та озера ставки податку, зазначені у </w:t>
            </w:r>
            <w:hyperlink r:id="rId20" w:anchor="n6012">
              <w:r>
                <w:rPr>
                  <w:rFonts w:ascii="MS Gothic" w:eastAsia="MS Gothic" w:hAnsi="MS Gothic" w:cs="MS Gothic"/>
                  <w:b w:val="0"/>
                </w:rPr>
                <w:t>​</w:t>
              </w:r>
            </w:hyperlink>
            <w:hyperlink r:id="rId21" w:anchor="n6012">
              <w:r>
                <w:rPr>
                  <w:b w:val="0"/>
                </w:rPr>
                <w:t>пунктах</w:t>
              </w:r>
            </w:hyperlink>
            <w:hyperlink r:id="rId22" w:anchor="n6012">
              <w:r>
                <w:rPr>
                  <w:b w:val="0"/>
                </w:rPr>
                <w:t xml:space="preserve"> </w:t>
              </w:r>
            </w:hyperlink>
            <w:hyperlink r:id="rId23" w:anchor="n6012">
              <w:r>
                <w:rPr>
                  <w:b w:val="0"/>
                </w:rPr>
                <w:t>245.1</w:t>
              </w:r>
            </w:hyperlink>
            <w:hyperlink r:id="rId24" w:anchor="n6012">
              <w:r>
                <w:rPr>
                  <w:b w:val="0"/>
                </w:rPr>
                <w:t xml:space="preserve"> </w:t>
              </w:r>
            </w:hyperlink>
            <w:r>
              <w:rPr>
                <w:b w:val="0"/>
              </w:rPr>
              <w:t xml:space="preserve">і </w:t>
            </w:r>
            <w:hyperlink r:id="rId25" w:anchor="n6015">
              <w:r>
                <w:rPr>
                  <w:rFonts w:ascii="MS Gothic" w:eastAsia="MS Gothic" w:hAnsi="MS Gothic" w:cs="MS Gothic"/>
                  <w:b w:val="0"/>
                </w:rPr>
                <w:t>​</w:t>
              </w:r>
            </w:hyperlink>
            <w:hyperlink r:id="rId26" w:anchor="n6015">
              <w:r>
                <w:rPr>
                  <w:b w:val="0"/>
                </w:rPr>
                <w:t>245.2</w:t>
              </w:r>
            </w:hyperlink>
            <w:r>
              <w:rPr>
                <w:b w:val="0"/>
              </w:rPr>
              <w:t xml:space="preserve"> цієї статті, збільшуються у 1,5 раза. </w:t>
            </w:r>
          </w:p>
        </w:tc>
      </w:tr>
      <w:tr w:rsidR="007B5080" w14:paraId="702A64DB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20"/>
        </w:trPr>
        <w:tc>
          <w:tcPr>
            <w:tcW w:w="74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5B0243" w14:textId="77777777" w:rsidR="007B5080" w:rsidRPr="007B5080" w:rsidRDefault="007B5080" w:rsidP="007C173E">
            <w:pPr>
              <w:spacing w:after="0" w:line="259" w:lineRule="auto"/>
              <w:ind w:left="797" w:firstLine="0"/>
              <w:rPr>
                <w:szCs w:val="28"/>
              </w:rPr>
            </w:pPr>
            <w:r w:rsidRPr="007B5080">
              <w:rPr>
                <w:szCs w:val="28"/>
              </w:rPr>
              <w:t xml:space="preserve">Відсутній </w:t>
            </w:r>
          </w:p>
          <w:p w14:paraId="31726E4D" w14:textId="77777777" w:rsidR="007B5080" w:rsidRPr="007B5080" w:rsidRDefault="007B5080">
            <w:pPr>
              <w:spacing w:after="0" w:line="259" w:lineRule="auto"/>
              <w:ind w:left="797" w:firstLine="0"/>
              <w:rPr>
                <w:b w:val="0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FE4F06" w14:textId="77777777" w:rsidR="007B5080" w:rsidRPr="00797622" w:rsidRDefault="00964FA4" w:rsidP="0075553E">
            <w:pPr>
              <w:spacing w:after="160" w:line="259" w:lineRule="auto"/>
              <w:ind w:left="138" w:right="267" w:firstLine="567"/>
              <w:jc w:val="both"/>
              <w:rPr>
                <w:b w:val="0"/>
                <w:color w:val="auto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245.5. За обсяги скидів забруднюючих речовин у водні об'єкти, які перевищують ліміти скидання, встановлені у дозволі на спеціальне водокористування, ставки податку, зазначені у пунктах 245.1, 245.2 та 245.4 цієї статті, збільшуються у 10 разів.</w:t>
            </w:r>
          </w:p>
        </w:tc>
      </w:tr>
      <w:tr w:rsidR="007B5080" w14:paraId="2BEAA1EF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20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0EF" w14:textId="77777777" w:rsidR="007B5080" w:rsidRPr="007B5080" w:rsidRDefault="007B5080" w:rsidP="007C173E">
            <w:pPr>
              <w:spacing w:after="0" w:line="259" w:lineRule="auto"/>
              <w:ind w:left="797" w:firstLine="0"/>
              <w:rPr>
                <w:szCs w:val="28"/>
              </w:rPr>
            </w:pPr>
            <w:r w:rsidRPr="007B5080">
              <w:rPr>
                <w:szCs w:val="28"/>
              </w:rPr>
              <w:t xml:space="preserve">Відсутній </w:t>
            </w:r>
          </w:p>
          <w:p w14:paraId="3DD25F8A" w14:textId="77777777" w:rsidR="007B5080" w:rsidRPr="007B5080" w:rsidRDefault="007B5080">
            <w:pPr>
              <w:spacing w:after="0" w:line="259" w:lineRule="auto"/>
              <w:ind w:left="797" w:firstLine="0"/>
              <w:rPr>
                <w:b w:val="0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0C3F" w14:textId="77777777" w:rsidR="007B5080" w:rsidRPr="00797622" w:rsidRDefault="00964FA4" w:rsidP="00964FA4">
            <w:pPr>
              <w:spacing w:after="160" w:line="259" w:lineRule="auto"/>
              <w:ind w:left="138" w:right="267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245.6. За відсутності у водокористувача дозволу на спеціальне  водокористування зі встановленими в ньому лімітами скидання забруднюючих речовин у водні об’єкти, податок справляється за весь обсяг забруднюючих речовин за ставками, зазначеними у пунктах 245.1, 245.2 та 245.4 цієї статті, збільшеними у 10 разів.</w:t>
            </w:r>
          </w:p>
        </w:tc>
      </w:tr>
      <w:tr w:rsidR="00964FA4" w14:paraId="543DC041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20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784" w14:textId="77777777" w:rsidR="00964FA4" w:rsidRPr="00964FA4" w:rsidRDefault="00964FA4" w:rsidP="007C173E">
            <w:pPr>
              <w:spacing w:after="0" w:line="259" w:lineRule="auto"/>
              <w:ind w:left="797" w:firstLine="0"/>
              <w:rPr>
                <w:b w:val="0"/>
                <w:szCs w:val="28"/>
              </w:rPr>
            </w:pPr>
            <w:r w:rsidRPr="00964FA4">
              <w:rPr>
                <w:b w:val="0"/>
                <w:szCs w:val="28"/>
              </w:rPr>
              <w:t>Розділ ХХ. ПЕРЕХІДНІ ПОЛОЖЕННЯ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DEA" w14:textId="77777777" w:rsidR="00964FA4" w:rsidRPr="00964FA4" w:rsidRDefault="00964FA4" w:rsidP="00964FA4">
            <w:pPr>
              <w:spacing w:after="160" w:line="259" w:lineRule="auto"/>
              <w:ind w:left="138" w:right="267" w:firstLine="567"/>
              <w:jc w:val="both"/>
              <w:rPr>
                <w:rFonts w:eastAsiaTheme="minorHAnsi"/>
                <w:b w:val="0"/>
                <w:color w:val="FF0000"/>
                <w:szCs w:val="28"/>
                <w:lang w:eastAsia="en-US"/>
              </w:rPr>
            </w:pPr>
            <w:r w:rsidRPr="00964FA4">
              <w:rPr>
                <w:b w:val="0"/>
                <w:szCs w:val="28"/>
              </w:rPr>
              <w:t>Розділ ХХ. ПЕРЕХІДНІ ПОЛОЖЕННЯ</w:t>
            </w:r>
          </w:p>
        </w:tc>
      </w:tr>
      <w:tr w:rsidR="00964FA4" w14:paraId="3218DED3" w14:textId="77777777" w:rsidTr="002214E3">
        <w:tblPrEx>
          <w:tblCellMar>
            <w:top w:w="80" w:type="dxa"/>
            <w:left w:w="0" w:type="dxa"/>
            <w:right w:w="1" w:type="dxa"/>
          </w:tblCellMar>
        </w:tblPrEx>
        <w:trPr>
          <w:trHeight w:val="20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AEF" w14:textId="77777777" w:rsidR="00964FA4" w:rsidRPr="007B5080" w:rsidRDefault="00964FA4" w:rsidP="00964FA4">
            <w:pPr>
              <w:spacing w:after="0" w:line="259" w:lineRule="auto"/>
              <w:ind w:left="217" w:right="269" w:firstLine="0"/>
              <w:jc w:val="both"/>
              <w:rPr>
                <w:szCs w:val="28"/>
              </w:rPr>
            </w:pPr>
            <w:r w:rsidRPr="00964FA4">
              <w:rPr>
                <w:b w:val="0"/>
                <w:szCs w:val="28"/>
              </w:rPr>
              <w:t xml:space="preserve">Підрозділ 5. </w:t>
            </w:r>
            <w:r w:rsidRPr="007B5080">
              <w:rPr>
                <w:b w:val="0"/>
                <w:szCs w:val="28"/>
              </w:rPr>
              <w:t>Особливості справляння акцизного</w:t>
            </w:r>
            <w:r>
              <w:rPr>
                <w:b w:val="0"/>
                <w:szCs w:val="28"/>
              </w:rPr>
              <w:t xml:space="preserve"> податку та екологічного податку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431" w14:textId="77777777" w:rsidR="00964FA4" w:rsidRPr="00964FA4" w:rsidRDefault="00964FA4" w:rsidP="00964FA4">
            <w:pPr>
              <w:spacing w:after="0" w:line="259" w:lineRule="auto"/>
              <w:ind w:left="217" w:right="269" w:firstLine="0"/>
              <w:jc w:val="both"/>
              <w:rPr>
                <w:rFonts w:eastAsiaTheme="minorHAnsi"/>
                <w:b w:val="0"/>
                <w:color w:val="FF0000"/>
                <w:szCs w:val="28"/>
                <w:lang w:eastAsia="en-US"/>
              </w:rPr>
            </w:pPr>
            <w:r w:rsidRPr="00964FA4">
              <w:rPr>
                <w:b w:val="0"/>
                <w:szCs w:val="28"/>
              </w:rPr>
              <w:t xml:space="preserve">Підрозділ 5. </w:t>
            </w:r>
            <w:r w:rsidRPr="007B5080">
              <w:rPr>
                <w:b w:val="0"/>
                <w:szCs w:val="28"/>
              </w:rPr>
              <w:t>Особливості справляння акцизного</w:t>
            </w:r>
            <w:r>
              <w:rPr>
                <w:b w:val="0"/>
                <w:szCs w:val="28"/>
              </w:rPr>
              <w:t xml:space="preserve"> податку та екологічного податку</w:t>
            </w:r>
          </w:p>
        </w:tc>
      </w:tr>
      <w:tr w:rsidR="007B5080" w14:paraId="455C2DB7" w14:textId="77777777" w:rsidTr="002214E3">
        <w:tblPrEx>
          <w:tblCellMar>
            <w:top w:w="61" w:type="dxa"/>
            <w:left w:w="0" w:type="dxa"/>
            <w:right w:w="0" w:type="dxa"/>
          </w:tblCellMar>
        </w:tblPrEx>
        <w:trPr>
          <w:trHeight w:val="1275"/>
        </w:trPr>
        <w:tc>
          <w:tcPr>
            <w:tcW w:w="7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4A96" w14:textId="77777777" w:rsidR="007B5080" w:rsidRPr="007B5080" w:rsidRDefault="007B5080" w:rsidP="003A0D00">
            <w:pPr>
              <w:spacing w:after="0" w:line="259" w:lineRule="auto"/>
              <w:ind w:left="797" w:firstLine="0"/>
              <w:rPr>
                <w:szCs w:val="28"/>
              </w:rPr>
            </w:pPr>
            <w:r w:rsidRPr="007B5080">
              <w:rPr>
                <w:szCs w:val="28"/>
              </w:rPr>
              <w:t xml:space="preserve">Відсутній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5F6C1" w14:textId="41B46C57" w:rsidR="0075553E" w:rsidRPr="00797622" w:rsidRDefault="0075553E" w:rsidP="002214E3">
            <w:pPr>
              <w:spacing w:after="120" w:line="240" w:lineRule="auto"/>
              <w:ind w:left="136" w:right="125" w:firstLine="709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Підрозділ 5 розділу ХХ «Перехідні положення» доповнити пунктом 2</w:t>
            </w:r>
            <w:r w:rsidRPr="00797622">
              <w:rPr>
                <w:rFonts w:eastAsiaTheme="minorHAnsi"/>
                <w:color w:val="auto"/>
                <w:szCs w:val="28"/>
                <w:vertAlign w:val="superscript"/>
                <w:lang w:eastAsia="en-US"/>
              </w:rPr>
              <w:t>​1</w:t>
            </w: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 xml:space="preserve"> такого змісту: </w:t>
            </w:r>
          </w:p>
          <w:p w14:paraId="60B80920" w14:textId="41AD2D88" w:rsidR="0075553E" w:rsidRPr="00797622" w:rsidRDefault="0075553E" w:rsidP="002214E3">
            <w:pPr>
              <w:spacing w:after="120" w:line="240" w:lineRule="auto"/>
              <w:ind w:left="136" w:right="125" w:firstLine="435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«2</w:t>
            </w:r>
            <w:r w:rsidRPr="00797622">
              <w:rPr>
                <w:rFonts w:eastAsiaTheme="minorHAnsi"/>
                <w:color w:val="auto"/>
                <w:szCs w:val="28"/>
                <w:vertAlign w:val="superscript"/>
                <w:lang w:eastAsia="en-US"/>
              </w:rPr>
              <w:t>1</w:t>
            </w: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 xml:space="preserve">. ​ Установити, що за податковими зобов’язаннями з екологічного податку, що виникли: </w:t>
            </w:r>
          </w:p>
          <w:p w14:paraId="0F43079D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2021 по 31 грудня 2021 року включно ставки податку становлять 20 відсотків від ставок, передбачених у пунктах 245.1 та 245.2 статті 245 цього Кодексу;</w:t>
            </w:r>
          </w:p>
          <w:p w14:paraId="1987D699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з 1 січня 2022 по 31 грудня 2022 року включно ставки податку становлять 30 відсотків від ставок, передбачених у пунктах 245.1 та 245.2 статті 245 цього Кодексу;</w:t>
            </w:r>
          </w:p>
          <w:p w14:paraId="0B4066C7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2023 по 31 грудня 2023 року включно ставки податку становлять 40 відсотків від ставок, передбачених у пунктах 245.1 та 245.2 статті 245 цього Кодексу;</w:t>
            </w:r>
          </w:p>
          <w:p w14:paraId="40B3A6CD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2024 по 31 грудня 2024 року включно ставки податку становлять 50 відсотків від ставок, передбачених у пунктах 245.1 та 245.2 статті 245 цього Кодексу;</w:t>
            </w:r>
          </w:p>
          <w:p w14:paraId="4712DD64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2025 по 31 грудня 2025 року включно ставки податку становлять 60 відсотків від ставок, передбачених у пунктах 245.1 та 245.2 статті 245 цього Кодексу;</w:t>
            </w:r>
          </w:p>
          <w:p w14:paraId="39C413C7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2026 по 31 грудня 2026 року включно ставки податку становлять 70 відсотків від ставок, передбачених у пунктах 245.1 та 245.2 статті 245 цього Кодексу;</w:t>
            </w:r>
          </w:p>
          <w:p w14:paraId="323799F4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2027 по 31 грудня 2027 року включно ставки податку становлять 80 відсотків від ставок, передбачених у пунктах 245.1 та 245.2 статті 245 цього Кодексу;</w:t>
            </w:r>
          </w:p>
          <w:p w14:paraId="1A19E542" w14:textId="77777777" w:rsidR="0075553E" w:rsidRPr="00797622" w:rsidRDefault="0075553E" w:rsidP="002214E3">
            <w:pPr>
              <w:spacing w:after="120" w:line="240" w:lineRule="auto"/>
              <w:ind w:left="136" w:right="125" w:firstLine="567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2028 по 31 грудня 2028 року включно ставки податку становлять 90 відсотків від ставок, передбачених у пунктах 245.1 та 245.2 статті 245 цього Кодексу;</w:t>
            </w:r>
          </w:p>
          <w:p w14:paraId="6E7CD09E" w14:textId="77777777" w:rsidR="007B5080" w:rsidRDefault="0075553E" w:rsidP="002214E3">
            <w:pPr>
              <w:spacing w:after="120" w:line="240" w:lineRule="auto"/>
              <w:ind w:left="136" w:right="125" w:firstLine="577"/>
            </w:pPr>
            <w:r w:rsidRPr="00797622">
              <w:rPr>
                <w:rFonts w:eastAsiaTheme="minorHAnsi"/>
                <w:color w:val="auto"/>
                <w:szCs w:val="28"/>
                <w:lang w:eastAsia="en-US"/>
              </w:rPr>
              <w:t>з 1 січня 2029 року ставки податку становлять 100 відсотків від ставок, передбачених у пунктах 245.1 та 245.2 статті 245 цього Кодексу.</w:t>
            </w:r>
          </w:p>
        </w:tc>
      </w:tr>
    </w:tbl>
    <w:p w14:paraId="60EF7B0A" w14:textId="3EE193D2" w:rsidR="00797622" w:rsidRDefault="00E8036E" w:rsidP="0075553E">
      <w:pPr>
        <w:spacing w:after="0" w:line="259" w:lineRule="auto"/>
        <w:ind w:left="0" w:firstLine="0"/>
      </w:pPr>
      <w:r>
        <w:lastRenderedPageBreak/>
        <w:t xml:space="preserve"> </w:t>
      </w:r>
    </w:p>
    <w:p w14:paraId="7C52AA1B" w14:textId="1D6C5B18" w:rsidR="00757FC7" w:rsidRDefault="00E8036E" w:rsidP="0075553E">
      <w:pPr>
        <w:spacing w:after="0" w:line="259" w:lineRule="auto"/>
        <w:ind w:left="0" w:firstLine="0"/>
      </w:pPr>
      <w:r>
        <w:t xml:space="preserve">Народний депутат України                                                                      </w:t>
      </w:r>
      <w:r w:rsidR="0075553E">
        <w:t xml:space="preserve">             </w:t>
      </w:r>
      <w:r>
        <w:t xml:space="preserve">Маріковський Олександр Валерійович </w:t>
      </w:r>
    </w:p>
    <w:p w14:paraId="0A54CBD7" w14:textId="77777777" w:rsidR="00757FC7" w:rsidRDefault="00E8036E">
      <w:pPr>
        <w:spacing w:after="0" w:line="259" w:lineRule="auto"/>
        <w:ind w:left="1507" w:firstLine="0"/>
        <w:jc w:val="center"/>
      </w:pPr>
      <w:r>
        <w:rPr>
          <w:b w:val="0"/>
        </w:rPr>
        <w:t xml:space="preserve"> </w:t>
      </w:r>
    </w:p>
    <w:sectPr w:rsidR="00757FC7" w:rsidSect="002214E3">
      <w:headerReference w:type="default" r:id="rId27"/>
      <w:pgSz w:w="16860" w:h="11920" w:orient="landscape"/>
      <w:pgMar w:top="709" w:right="1608" w:bottom="568" w:left="850" w:header="708" w:footer="708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B14D" w14:textId="77777777" w:rsidR="002D38AE" w:rsidRDefault="002D38AE" w:rsidP="002214E3">
      <w:pPr>
        <w:spacing w:after="0" w:line="240" w:lineRule="auto"/>
      </w:pPr>
      <w:r>
        <w:separator/>
      </w:r>
    </w:p>
  </w:endnote>
  <w:endnote w:type="continuationSeparator" w:id="0">
    <w:p w14:paraId="56B846A4" w14:textId="77777777" w:rsidR="002D38AE" w:rsidRDefault="002D38AE" w:rsidP="0022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15CA" w14:textId="77777777" w:rsidR="002D38AE" w:rsidRDefault="002D38AE" w:rsidP="002214E3">
      <w:pPr>
        <w:spacing w:after="0" w:line="240" w:lineRule="auto"/>
      </w:pPr>
      <w:r>
        <w:separator/>
      </w:r>
    </w:p>
  </w:footnote>
  <w:footnote w:type="continuationSeparator" w:id="0">
    <w:p w14:paraId="762FBBE0" w14:textId="77777777" w:rsidR="002D38AE" w:rsidRDefault="002D38AE" w:rsidP="0022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434044"/>
      <w:docPartObj>
        <w:docPartGallery w:val="Page Numbers (Top of Page)"/>
        <w:docPartUnique/>
      </w:docPartObj>
    </w:sdtPr>
    <w:sdtEndPr/>
    <w:sdtContent>
      <w:p w14:paraId="06FE4EE2" w14:textId="4A0C6549" w:rsidR="002214E3" w:rsidRDefault="002214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CB" w:rsidRPr="00A93ACB">
          <w:rPr>
            <w:noProof/>
            <w:lang w:val="ru-RU"/>
          </w:rPr>
          <w:t>2</w:t>
        </w:r>
        <w:r>
          <w:fldChar w:fldCharType="end"/>
        </w:r>
      </w:p>
    </w:sdtContent>
  </w:sdt>
  <w:p w14:paraId="65E273A9" w14:textId="77777777" w:rsidR="002214E3" w:rsidRDefault="00221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7"/>
    <w:rsid w:val="00211980"/>
    <w:rsid w:val="002214E3"/>
    <w:rsid w:val="002D38AE"/>
    <w:rsid w:val="003A0D00"/>
    <w:rsid w:val="00486156"/>
    <w:rsid w:val="00714A8C"/>
    <w:rsid w:val="0075553E"/>
    <w:rsid w:val="00757FC7"/>
    <w:rsid w:val="00797622"/>
    <w:rsid w:val="007B5080"/>
    <w:rsid w:val="007C173E"/>
    <w:rsid w:val="00964FA4"/>
    <w:rsid w:val="00A678DF"/>
    <w:rsid w:val="00A93ACB"/>
    <w:rsid w:val="00CC4DD7"/>
    <w:rsid w:val="00D037E6"/>
    <w:rsid w:val="00DE1B21"/>
    <w:rsid w:val="00E53253"/>
    <w:rsid w:val="00E8036E"/>
    <w:rsid w:val="00EE777B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4524"/>
  <w15:docId w15:val="{B3FBA728-4669-452E-86AF-7B11D88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3626" w:hanging="220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14E3"/>
    <w:rPr>
      <w:rFonts w:ascii="Times New Roman" w:eastAsia="Times New Roman" w:hAnsi="Times New Roman" w:cs="Times New Roman"/>
      <w:b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14E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2755-17" TargetMode="External"/><Relationship Id="rId26" Type="http://schemas.openxmlformats.org/officeDocument/2006/relationships/hyperlink" Target="https://zakon.rada.gov.ua/laws/show/2755-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755-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2755-17" TargetMode="External"/><Relationship Id="rId25" Type="http://schemas.openxmlformats.org/officeDocument/2006/relationships/hyperlink" Target="https://zakon.rada.gov.ua/laws/show/2755-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s://zakon.rada.gov.ua/laws/show/2755-1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755-17" TargetMode="External"/><Relationship Id="rId24" Type="http://schemas.openxmlformats.org/officeDocument/2006/relationships/hyperlink" Target="https://zakon.rada.gov.ua/laws/show/2755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755-17" TargetMode="External"/><Relationship Id="rId23" Type="http://schemas.openxmlformats.org/officeDocument/2006/relationships/hyperlink" Target="https://zakon.rada.gov.ua/laws/show/2755-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755-17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2755-17" TargetMode="External"/><Relationship Id="rId22" Type="http://schemas.openxmlformats.org/officeDocument/2006/relationships/hyperlink" Target="https://zakon.rada.gov.ua/laws/show/2755-1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6D676-9BD8-4057-A743-66044C4AB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95CF6-506B-4CC3-80DA-D727B2A0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34CE-D0FC-4FAC-97EB-92AD19D6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2020-05-27T07:52:00Z</dcterms:created>
  <dcterms:modified xsi:type="dcterms:W3CDTF">2020-05-27T07:52:00Z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