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F4" w:rsidRPr="005D3A9F" w:rsidRDefault="002B42F4" w:rsidP="00513232">
      <w:pPr>
        <w:spacing w:line="235" w:lineRule="auto"/>
        <w:jc w:val="center"/>
        <w:rPr>
          <w:b/>
          <w:bCs/>
          <w:sz w:val="28"/>
          <w:szCs w:val="28"/>
          <w:lang w:val="uk-UA"/>
        </w:rPr>
      </w:pPr>
      <w:r w:rsidRPr="005D3A9F">
        <w:rPr>
          <w:b/>
          <w:bCs/>
          <w:sz w:val="28"/>
          <w:szCs w:val="28"/>
          <w:lang w:val="uk-UA"/>
        </w:rPr>
        <w:t>ПОРІВНЯЛЬНА ТАБЛИЦЯ</w:t>
      </w:r>
    </w:p>
    <w:p w:rsidR="00E90CF7" w:rsidRPr="005D3A9F" w:rsidRDefault="002B42F4" w:rsidP="00513232">
      <w:pPr>
        <w:pStyle w:val="a3"/>
        <w:spacing w:line="235" w:lineRule="auto"/>
        <w:jc w:val="center"/>
        <w:rPr>
          <w:b/>
          <w:bCs/>
          <w:szCs w:val="28"/>
        </w:rPr>
      </w:pPr>
      <w:r w:rsidRPr="005D3A9F">
        <w:rPr>
          <w:b/>
          <w:bCs/>
          <w:szCs w:val="28"/>
        </w:rPr>
        <w:t xml:space="preserve">до проекту Закону України </w:t>
      </w:r>
      <w:r w:rsidR="006864F3" w:rsidRPr="005D3A9F">
        <w:rPr>
          <w:b/>
          <w:bCs/>
          <w:szCs w:val="28"/>
        </w:rPr>
        <w:t>"</w:t>
      </w:r>
      <w:r w:rsidR="00E90CF7" w:rsidRPr="005D3A9F">
        <w:rPr>
          <w:b/>
          <w:bCs/>
          <w:szCs w:val="28"/>
        </w:rPr>
        <w:t xml:space="preserve">Про внесення змін до Податкового кодексу України </w:t>
      </w:r>
    </w:p>
    <w:p w:rsidR="00E90CF7" w:rsidRPr="005D3A9F" w:rsidRDefault="00E90CF7" w:rsidP="00513232">
      <w:pPr>
        <w:pStyle w:val="a3"/>
        <w:spacing w:line="235" w:lineRule="auto"/>
        <w:jc w:val="center"/>
        <w:rPr>
          <w:b/>
          <w:bCs/>
          <w:szCs w:val="28"/>
        </w:rPr>
      </w:pPr>
      <w:r w:rsidRPr="005D3A9F">
        <w:rPr>
          <w:b/>
          <w:bCs/>
          <w:szCs w:val="28"/>
        </w:rPr>
        <w:t>щодо окремих питань забезпечення організації виконання</w:t>
      </w:r>
    </w:p>
    <w:p w:rsidR="00BB52CF" w:rsidRPr="005D3A9F" w:rsidRDefault="00E90CF7" w:rsidP="00513232">
      <w:pPr>
        <w:pStyle w:val="a3"/>
        <w:spacing w:line="235" w:lineRule="auto"/>
        <w:jc w:val="center"/>
        <w:rPr>
          <w:b/>
          <w:bCs/>
          <w:szCs w:val="28"/>
        </w:rPr>
      </w:pPr>
      <w:r w:rsidRPr="005D3A9F">
        <w:rPr>
          <w:b/>
          <w:bCs/>
          <w:szCs w:val="28"/>
        </w:rPr>
        <w:t>військового обов'язку в особливий період</w:t>
      </w:r>
      <w:r w:rsidR="006864F3" w:rsidRPr="005D3A9F">
        <w:rPr>
          <w:b/>
          <w:bCs/>
          <w:szCs w:val="28"/>
        </w:rPr>
        <w:t>"</w:t>
      </w:r>
    </w:p>
    <w:p w:rsidR="0071001D" w:rsidRPr="005D3A9F" w:rsidRDefault="0071001D" w:rsidP="00513232">
      <w:pPr>
        <w:pStyle w:val="a3"/>
        <w:spacing w:line="235" w:lineRule="auto"/>
        <w:jc w:val="center"/>
        <w:rPr>
          <w:b/>
          <w:bCs/>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7371"/>
      </w:tblGrid>
      <w:tr w:rsidR="002B42F4" w:rsidRPr="005D3A9F" w:rsidTr="00B40C55">
        <w:tc>
          <w:tcPr>
            <w:tcW w:w="7371" w:type="dxa"/>
          </w:tcPr>
          <w:p w:rsidR="002B42F4" w:rsidRPr="005D3A9F" w:rsidRDefault="002B42F4" w:rsidP="00513232">
            <w:pPr>
              <w:spacing w:before="60" w:after="60" w:line="235" w:lineRule="auto"/>
              <w:jc w:val="center"/>
              <w:rPr>
                <w:b/>
                <w:sz w:val="28"/>
                <w:szCs w:val="28"/>
                <w:lang w:val="uk-UA"/>
              </w:rPr>
            </w:pPr>
            <w:r w:rsidRPr="005D3A9F">
              <w:rPr>
                <w:b/>
                <w:sz w:val="28"/>
                <w:szCs w:val="28"/>
                <w:lang w:val="uk-UA"/>
              </w:rPr>
              <w:t>Чинна редакція</w:t>
            </w:r>
          </w:p>
        </w:tc>
        <w:tc>
          <w:tcPr>
            <w:tcW w:w="7371" w:type="dxa"/>
          </w:tcPr>
          <w:p w:rsidR="002B42F4" w:rsidRPr="005D3A9F" w:rsidRDefault="002B42F4" w:rsidP="00513232">
            <w:pPr>
              <w:spacing w:before="60" w:after="60" w:line="235" w:lineRule="auto"/>
              <w:jc w:val="center"/>
              <w:rPr>
                <w:b/>
                <w:sz w:val="28"/>
                <w:szCs w:val="28"/>
                <w:lang w:val="uk-UA"/>
              </w:rPr>
            </w:pPr>
            <w:r w:rsidRPr="005D3A9F">
              <w:rPr>
                <w:b/>
                <w:sz w:val="28"/>
                <w:szCs w:val="28"/>
                <w:lang w:val="uk-UA"/>
              </w:rPr>
              <w:t>Запропонована редакція</w:t>
            </w:r>
          </w:p>
        </w:tc>
      </w:tr>
    </w:tbl>
    <w:p w:rsidR="00F02458" w:rsidRPr="005D3A9F" w:rsidRDefault="00F02458" w:rsidP="00513232">
      <w:pPr>
        <w:spacing w:line="235" w:lineRule="auto"/>
        <w:rPr>
          <w:sz w:val="2"/>
          <w:szCs w:val="2"/>
        </w:rPr>
      </w:pPr>
    </w:p>
    <w:tbl>
      <w:tblPr>
        <w:tblW w:w="14742"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71"/>
        <w:gridCol w:w="7371"/>
      </w:tblGrid>
      <w:tr w:rsidR="00B40C55" w:rsidRPr="005D3A9F" w:rsidTr="00F02458">
        <w:trPr>
          <w:trHeight w:val="262"/>
          <w:tblHeader/>
        </w:trPr>
        <w:tc>
          <w:tcPr>
            <w:tcW w:w="7371" w:type="dxa"/>
            <w:tcBorders>
              <w:top w:val="single" w:sz="4" w:space="0" w:color="auto"/>
              <w:bottom w:val="single" w:sz="4" w:space="0" w:color="auto"/>
            </w:tcBorders>
          </w:tcPr>
          <w:p w:rsidR="00B40C55" w:rsidRPr="005D3A9F" w:rsidRDefault="00B40C55" w:rsidP="00513232">
            <w:pPr>
              <w:spacing w:before="60" w:after="60" w:line="235" w:lineRule="auto"/>
              <w:jc w:val="center"/>
              <w:rPr>
                <w:b/>
                <w:sz w:val="28"/>
                <w:szCs w:val="28"/>
                <w:lang w:val="uk-UA"/>
              </w:rPr>
            </w:pPr>
            <w:r w:rsidRPr="005D3A9F">
              <w:rPr>
                <w:b/>
                <w:sz w:val="28"/>
                <w:szCs w:val="28"/>
                <w:lang w:val="uk-UA"/>
              </w:rPr>
              <w:t>1</w:t>
            </w:r>
          </w:p>
        </w:tc>
        <w:tc>
          <w:tcPr>
            <w:tcW w:w="7371" w:type="dxa"/>
            <w:tcBorders>
              <w:top w:val="single" w:sz="4" w:space="0" w:color="auto"/>
              <w:bottom w:val="single" w:sz="4" w:space="0" w:color="auto"/>
            </w:tcBorders>
          </w:tcPr>
          <w:p w:rsidR="00B40C55" w:rsidRPr="005D3A9F" w:rsidRDefault="00B40C55" w:rsidP="00513232">
            <w:pPr>
              <w:spacing w:before="60" w:after="60" w:line="235" w:lineRule="auto"/>
              <w:jc w:val="center"/>
              <w:rPr>
                <w:b/>
                <w:sz w:val="28"/>
                <w:szCs w:val="28"/>
                <w:lang w:val="uk-UA"/>
              </w:rPr>
            </w:pPr>
            <w:r w:rsidRPr="005D3A9F">
              <w:rPr>
                <w:b/>
                <w:sz w:val="28"/>
                <w:szCs w:val="28"/>
                <w:lang w:val="uk-UA"/>
              </w:rPr>
              <w:t>2</w:t>
            </w:r>
          </w:p>
        </w:tc>
      </w:tr>
      <w:tr w:rsidR="00A119B0" w:rsidRPr="005D3A9F" w:rsidTr="00F02458">
        <w:trPr>
          <w:trHeight w:val="277"/>
        </w:trPr>
        <w:tc>
          <w:tcPr>
            <w:tcW w:w="14742" w:type="dxa"/>
            <w:gridSpan w:val="2"/>
            <w:tcBorders>
              <w:top w:val="single" w:sz="4" w:space="0" w:color="auto"/>
              <w:bottom w:val="single" w:sz="4" w:space="0" w:color="auto"/>
            </w:tcBorders>
          </w:tcPr>
          <w:p w:rsidR="00A119B0" w:rsidRPr="005D3A9F" w:rsidRDefault="00E90CF7" w:rsidP="00513232">
            <w:pPr>
              <w:spacing w:before="120" w:after="120" w:line="235" w:lineRule="auto"/>
              <w:jc w:val="center"/>
              <w:rPr>
                <w:b/>
                <w:bCs/>
                <w:sz w:val="28"/>
                <w:szCs w:val="28"/>
                <w:lang w:val="uk-UA"/>
              </w:rPr>
            </w:pPr>
            <w:r w:rsidRPr="005D3A9F">
              <w:rPr>
                <w:b/>
                <w:sz w:val="28"/>
                <w:szCs w:val="28"/>
                <w:lang w:val="uk-UA"/>
              </w:rPr>
              <w:t>Податковий кодекс України</w:t>
            </w:r>
          </w:p>
        </w:tc>
      </w:tr>
      <w:tr w:rsidR="00E90CF7" w:rsidRPr="005D3A9F" w:rsidTr="002C3AB8">
        <w:trPr>
          <w:trHeight w:val="562"/>
        </w:trPr>
        <w:tc>
          <w:tcPr>
            <w:tcW w:w="7371" w:type="dxa"/>
            <w:tcBorders>
              <w:top w:val="single" w:sz="4" w:space="0" w:color="auto"/>
              <w:bottom w:val="single" w:sz="4" w:space="0" w:color="auto"/>
            </w:tcBorders>
          </w:tcPr>
          <w:p w:rsidR="00E90CF7" w:rsidRPr="005D3A9F" w:rsidRDefault="00E90CF7" w:rsidP="00513232">
            <w:pPr>
              <w:spacing w:after="120" w:line="235" w:lineRule="auto"/>
              <w:jc w:val="both"/>
              <w:rPr>
                <w:bCs/>
                <w:sz w:val="28"/>
                <w:szCs w:val="28"/>
                <w:lang w:val="uk-UA"/>
              </w:rPr>
            </w:pPr>
            <w:r w:rsidRPr="005D3A9F">
              <w:rPr>
                <w:bCs/>
                <w:sz w:val="28"/>
                <w:szCs w:val="28"/>
                <w:lang w:val="uk-UA"/>
              </w:rPr>
              <w:t xml:space="preserve">Стаття 165. Доходи, які не включаються до розрахунку загального місячного (річного) оподатковуваного доходу </w:t>
            </w:r>
          </w:p>
          <w:p w:rsidR="00E90CF7" w:rsidRPr="005D3A9F" w:rsidRDefault="00E90CF7" w:rsidP="00513232">
            <w:pPr>
              <w:spacing w:after="120" w:line="235" w:lineRule="auto"/>
              <w:jc w:val="both"/>
              <w:rPr>
                <w:bCs/>
                <w:sz w:val="28"/>
                <w:szCs w:val="28"/>
                <w:lang w:val="uk-UA"/>
              </w:rPr>
            </w:pPr>
            <w:r w:rsidRPr="005D3A9F">
              <w:rPr>
                <w:bCs/>
                <w:sz w:val="28"/>
                <w:szCs w:val="28"/>
                <w:lang w:val="uk-UA"/>
              </w:rPr>
              <w:t xml:space="preserve">165.1. До загального місячного (річного) оподатковуваного доходу платника податку не включаються такі доходи: </w:t>
            </w:r>
          </w:p>
          <w:p w:rsidR="00E90CF7" w:rsidRPr="005D3A9F" w:rsidRDefault="00E90CF7" w:rsidP="005310D6">
            <w:pPr>
              <w:spacing w:line="235" w:lineRule="auto"/>
              <w:jc w:val="both"/>
              <w:rPr>
                <w:bCs/>
                <w:sz w:val="28"/>
                <w:szCs w:val="28"/>
                <w:lang w:val="uk-UA"/>
              </w:rPr>
            </w:pPr>
            <w:r w:rsidRPr="005D3A9F">
              <w:rPr>
                <w:bCs/>
                <w:sz w:val="28"/>
                <w:szCs w:val="28"/>
                <w:lang w:val="uk-UA"/>
              </w:rPr>
              <w:t xml:space="preserve">165.1.1. сума державної та соціальної матеріальної допомоги, державної допомоги у вигляді адресних виплат та надання соціальних і реабілітаційних послуг відповідно до закону, житлових та інших субсидій або дотацій, компенсацій (включаючи грошові компенсації інвалідам, на дітей-інвалідів при реалізації індивідуальних </w:t>
            </w:r>
            <w:r w:rsidR="00D94C64" w:rsidRPr="005D3A9F">
              <w:rPr>
                <w:bCs/>
                <w:sz w:val="28"/>
                <w:szCs w:val="28"/>
                <w:lang w:val="uk-UA"/>
              </w:rPr>
              <w:t xml:space="preserve">                  </w:t>
            </w:r>
            <w:r w:rsidRPr="005D3A9F">
              <w:rPr>
                <w:bCs/>
                <w:sz w:val="28"/>
                <w:szCs w:val="28"/>
                <w:lang w:val="uk-UA"/>
              </w:rPr>
              <w:t xml:space="preserve">програм реабілітації інвалідів, суми допомоги по вагітності </w:t>
            </w:r>
            <w:r w:rsidR="00D94C64" w:rsidRPr="005D3A9F">
              <w:rPr>
                <w:bCs/>
                <w:sz w:val="28"/>
                <w:szCs w:val="28"/>
                <w:lang w:val="uk-UA"/>
              </w:rPr>
              <w:t xml:space="preserve">                      </w:t>
            </w:r>
            <w:r w:rsidRPr="005D3A9F">
              <w:rPr>
                <w:bCs/>
                <w:sz w:val="28"/>
                <w:szCs w:val="28"/>
                <w:lang w:val="uk-UA"/>
              </w:rPr>
              <w:t>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інвалідам з Фонду соціального захисту інвалідів згідно із законом, у тому числі (але не виключно):</w:t>
            </w:r>
          </w:p>
          <w:p w:rsidR="00E90CF7" w:rsidRPr="005D3A9F" w:rsidRDefault="00E90CF7" w:rsidP="00513232">
            <w:pPr>
              <w:spacing w:after="120" w:line="235" w:lineRule="auto"/>
              <w:jc w:val="both"/>
              <w:rPr>
                <w:bCs/>
                <w:sz w:val="28"/>
                <w:szCs w:val="28"/>
                <w:lang w:val="uk-UA"/>
              </w:rPr>
            </w:pPr>
            <w:r w:rsidRPr="005D3A9F">
              <w:rPr>
                <w:bCs/>
                <w:sz w:val="28"/>
                <w:szCs w:val="28"/>
                <w:lang w:val="uk-UA"/>
              </w:rPr>
              <w:t>…</w:t>
            </w:r>
          </w:p>
          <w:p w:rsidR="00E90CF7" w:rsidRPr="005D3A9F" w:rsidRDefault="00E90CF7" w:rsidP="005310D6">
            <w:pPr>
              <w:spacing w:before="120" w:line="235" w:lineRule="auto"/>
              <w:jc w:val="both"/>
              <w:rPr>
                <w:bCs/>
                <w:sz w:val="28"/>
                <w:szCs w:val="28"/>
                <w:lang w:val="uk-UA"/>
              </w:rPr>
            </w:pPr>
            <w:r w:rsidRPr="005D3A9F">
              <w:rPr>
                <w:bCs/>
                <w:sz w:val="28"/>
                <w:szCs w:val="28"/>
                <w:lang w:val="uk-UA"/>
              </w:rPr>
              <w:lastRenderedPageBreak/>
              <w:t xml:space="preserve">и) сума грошової допомоги (у тому числі в натуральній формі), що надається фізичним особам або членам їхніх сімей (діти, дружина, батьки), військовослужбовцям, призваним на військову службу за призовом </w:t>
            </w:r>
            <w:r w:rsidRPr="005D3A9F">
              <w:rPr>
                <w:b/>
                <w:bCs/>
                <w:sz w:val="28"/>
                <w:szCs w:val="28"/>
                <w:lang w:val="uk-UA"/>
              </w:rPr>
              <w:t>у зв'язку з мобілізацією</w:t>
            </w:r>
            <w:r w:rsidRPr="005D3A9F">
              <w:rPr>
                <w:bCs/>
                <w:sz w:val="28"/>
                <w:szCs w:val="28"/>
                <w:lang w:val="uk-UA"/>
              </w:rPr>
              <w:t>, відповідно до Закону України "Про соціальний і правовий захист військовослужбовців та членів їх сімей", та/або компенсаційні виплати з бюджету в межах середнього заробітку працівників, призваних на військову службу за призовом під час мобілізації, на особливий період.</w:t>
            </w:r>
          </w:p>
          <w:p w:rsidR="00E90CF7" w:rsidRPr="005D3A9F" w:rsidRDefault="00E90CF7" w:rsidP="00513232">
            <w:pPr>
              <w:spacing w:after="120" w:line="235" w:lineRule="auto"/>
              <w:jc w:val="both"/>
              <w:rPr>
                <w:bCs/>
                <w:sz w:val="28"/>
                <w:szCs w:val="28"/>
                <w:lang w:val="uk-UA"/>
              </w:rPr>
            </w:pPr>
          </w:p>
          <w:p w:rsidR="00E90CF7" w:rsidRPr="005D3A9F" w:rsidRDefault="00E90CF7" w:rsidP="00513232">
            <w:pPr>
              <w:spacing w:after="120" w:line="235" w:lineRule="auto"/>
              <w:jc w:val="both"/>
              <w:rPr>
                <w:bCs/>
                <w:sz w:val="28"/>
                <w:szCs w:val="28"/>
                <w:lang w:val="uk-UA"/>
              </w:rPr>
            </w:pPr>
            <w:r w:rsidRPr="005D3A9F">
              <w:rPr>
                <w:bCs/>
                <w:sz w:val="28"/>
                <w:szCs w:val="28"/>
                <w:lang w:val="uk-UA"/>
              </w:rPr>
              <w:t>Винятки, передбачені цим підпунктом, не поширюються на виплату заробітної плати, грошової (вихідної) допомоги при виході на пенсію (у відставку) та виплату, пов'язану з тимчасовою втратою працездатності;</w:t>
            </w:r>
          </w:p>
          <w:p w:rsidR="00E90CF7" w:rsidRPr="005D3A9F" w:rsidRDefault="00E90CF7" w:rsidP="00513232">
            <w:pPr>
              <w:spacing w:after="120" w:line="235" w:lineRule="auto"/>
              <w:jc w:val="both"/>
              <w:rPr>
                <w:bCs/>
                <w:sz w:val="28"/>
                <w:szCs w:val="28"/>
                <w:lang w:val="uk-UA"/>
              </w:rPr>
            </w:pPr>
            <w:r w:rsidRPr="005D3A9F">
              <w:rPr>
                <w:bCs/>
                <w:sz w:val="28"/>
                <w:szCs w:val="28"/>
                <w:lang w:val="uk-UA"/>
              </w:rPr>
              <w:t>…</w:t>
            </w:r>
          </w:p>
        </w:tc>
        <w:tc>
          <w:tcPr>
            <w:tcW w:w="7371" w:type="dxa"/>
            <w:tcBorders>
              <w:top w:val="single" w:sz="4" w:space="0" w:color="auto"/>
              <w:bottom w:val="single" w:sz="4" w:space="0" w:color="auto"/>
            </w:tcBorders>
          </w:tcPr>
          <w:p w:rsidR="00E90CF7" w:rsidRPr="005D3A9F" w:rsidRDefault="00E90CF7" w:rsidP="00513232">
            <w:pPr>
              <w:spacing w:after="120" w:line="235" w:lineRule="auto"/>
              <w:jc w:val="both"/>
              <w:rPr>
                <w:bCs/>
                <w:sz w:val="28"/>
                <w:szCs w:val="28"/>
                <w:lang w:val="uk-UA"/>
              </w:rPr>
            </w:pPr>
            <w:r w:rsidRPr="005D3A9F">
              <w:rPr>
                <w:bCs/>
                <w:sz w:val="28"/>
                <w:szCs w:val="28"/>
                <w:lang w:val="uk-UA"/>
              </w:rPr>
              <w:lastRenderedPageBreak/>
              <w:t xml:space="preserve">Стаття 165. Доходи, які не включаються до розрахунку загального місячного (річного) оподатковуваного доходу </w:t>
            </w:r>
          </w:p>
          <w:p w:rsidR="00E90CF7" w:rsidRPr="005D3A9F" w:rsidRDefault="00E90CF7" w:rsidP="00513232">
            <w:pPr>
              <w:spacing w:after="120" w:line="235" w:lineRule="auto"/>
              <w:jc w:val="both"/>
              <w:rPr>
                <w:bCs/>
                <w:sz w:val="28"/>
                <w:szCs w:val="28"/>
                <w:lang w:val="uk-UA"/>
              </w:rPr>
            </w:pPr>
            <w:r w:rsidRPr="005D3A9F">
              <w:rPr>
                <w:bCs/>
                <w:sz w:val="28"/>
                <w:szCs w:val="28"/>
                <w:lang w:val="uk-UA"/>
              </w:rPr>
              <w:t xml:space="preserve">165.1. До загального місячного (річного) оподатковуваного доходу платника податку не включаються такі доходи: </w:t>
            </w:r>
          </w:p>
          <w:p w:rsidR="00E90CF7" w:rsidRPr="005D3A9F" w:rsidRDefault="00E90CF7" w:rsidP="005310D6">
            <w:pPr>
              <w:spacing w:line="235" w:lineRule="auto"/>
              <w:jc w:val="both"/>
              <w:rPr>
                <w:bCs/>
                <w:sz w:val="28"/>
                <w:szCs w:val="28"/>
                <w:lang w:val="uk-UA"/>
              </w:rPr>
            </w:pPr>
            <w:r w:rsidRPr="005D3A9F">
              <w:rPr>
                <w:bCs/>
                <w:sz w:val="28"/>
                <w:szCs w:val="28"/>
                <w:lang w:val="uk-UA"/>
              </w:rPr>
              <w:t>165.1.1. сума державної та соціальної матеріальної допомоги, державної допомоги у вигляді адресних виплат та надання соціальних і реабілітаційних послуг відповідно до закону, житлових та інших субсидій або дотацій, компенсацій (включаючи грошові компенсації інвалідам, на дітей-інвалідів при реалізації індивідуальних програм реабілітації інвалідів,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інвалідам з Фонду соціального захисту інвалідів згідно із законом, у тому числі (але не виключно):</w:t>
            </w:r>
          </w:p>
          <w:p w:rsidR="00E90CF7" w:rsidRPr="005D3A9F" w:rsidRDefault="00E90CF7" w:rsidP="00513232">
            <w:pPr>
              <w:spacing w:after="120" w:line="235" w:lineRule="auto"/>
              <w:jc w:val="both"/>
              <w:rPr>
                <w:bCs/>
                <w:sz w:val="28"/>
                <w:szCs w:val="28"/>
                <w:lang w:val="uk-UA"/>
              </w:rPr>
            </w:pPr>
            <w:r w:rsidRPr="005D3A9F">
              <w:rPr>
                <w:bCs/>
                <w:sz w:val="28"/>
                <w:szCs w:val="28"/>
                <w:lang w:val="uk-UA"/>
              </w:rPr>
              <w:t>…</w:t>
            </w:r>
          </w:p>
          <w:p w:rsidR="00E90CF7" w:rsidRPr="005D3A9F" w:rsidRDefault="00E90CF7" w:rsidP="005310D6">
            <w:pPr>
              <w:spacing w:before="120" w:after="120" w:line="235" w:lineRule="auto"/>
              <w:jc w:val="both"/>
              <w:rPr>
                <w:bCs/>
                <w:sz w:val="28"/>
                <w:szCs w:val="28"/>
                <w:lang w:val="uk-UA"/>
              </w:rPr>
            </w:pPr>
            <w:r w:rsidRPr="005D3A9F">
              <w:rPr>
                <w:bCs/>
                <w:sz w:val="28"/>
                <w:szCs w:val="28"/>
                <w:lang w:val="uk-UA"/>
              </w:rPr>
              <w:lastRenderedPageBreak/>
              <w:t xml:space="preserve">и) сума грошової допомоги (у тому числі в натуральній формі), що надається фізичним особам або членам їхніх сімей (діти, дружина, батьки), військовослужбовцям, призваним на військову службу за призовом </w:t>
            </w:r>
            <w:r w:rsidRPr="005D3A9F">
              <w:rPr>
                <w:b/>
                <w:bCs/>
                <w:sz w:val="28"/>
                <w:szCs w:val="28"/>
                <w:lang w:val="uk-UA"/>
              </w:rPr>
              <w:t>під час мобілізації, на особливий період, військову службу за призовом осіб із числа резервістів в особливий період</w:t>
            </w:r>
            <w:r w:rsidRPr="005D3A9F">
              <w:rPr>
                <w:bCs/>
                <w:sz w:val="28"/>
                <w:szCs w:val="28"/>
                <w:lang w:val="uk-UA"/>
              </w:rPr>
              <w:t>, відповідно до Закону України "Про соціальний і правовий захист військовослужбовців та членів їх сімей", та/або компенсаційні виплати з бюджету в межах середнього заробітку працівників, призваних на військову службу за призовом під час мобілізації, на особливий період.</w:t>
            </w:r>
          </w:p>
          <w:p w:rsidR="00E90CF7" w:rsidRPr="005D3A9F" w:rsidRDefault="00E90CF7" w:rsidP="00513232">
            <w:pPr>
              <w:spacing w:after="120" w:line="235" w:lineRule="auto"/>
              <w:jc w:val="both"/>
              <w:rPr>
                <w:bCs/>
                <w:sz w:val="28"/>
                <w:szCs w:val="28"/>
                <w:lang w:val="uk-UA"/>
              </w:rPr>
            </w:pPr>
            <w:r w:rsidRPr="005D3A9F">
              <w:rPr>
                <w:bCs/>
                <w:sz w:val="28"/>
                <w:szCs w:val="28"/>
                <w:lang w:val="uk-UA"/>
              </w:rPr>
              <w:t>Винятки, передбачені цим підпунктом, не поширюються на виплату заробітної плати, грошової (вихідної) допомоги при виході на пенсію (у відставку) та виплату, пов'язану з тимчасовою втратою працездатності;</w:t>
            </w:r>
          </w:p>
          <w:p w:rsidR="00E90CF7" w:rsidRPr="005D3A9F" w:rsidRDefault="00E90CF7" w:rsidP="00C752BC">
            <w:pPr>
              <w:spacing w:after="240" w:line="235" w:lineRule="auto"/>
              <w:jc w:val="both"/>
              <w:rPr>
                <w:bCs/>
                <w:sz w:val="28"/>
                <w:szCs w:val="28"/>
                <w:lang w:val="uk-UA"/>
              </w:rPr>
            </w:pPr>
            <w:r w:rsidRPr="005D3A9F">
              <w:rPr>
                <w:bCs/>
                <w:sz w:val="28"/>
                <w:szCs w:val="28"/>
                <w:lang w:val="uk-UA"/>
              </w:rPr>
              <w:t>…</w:t>
            </w:r>
          </w:p>
        </w:tc>
      </w:tr>
      <w:tr w:rsidR="00D94C64" w:rsidRPr="005D3A9F" w:rsidTr="002C3AB8">
        <w:trPr>
          <w:trHeight w:val="562"/>
        </w:trPr>
        <w:tc>
          <w:tcPr>
            <w:tcW w:w="7371" w:type="dxa"/>
            <w:tcBorders>
              <w:top w:val="single" w:sz="4" w:space="0" w:color="auto"/>
              <w:bottom w:val="single" w:sz="4" w:space="0" w:color="auto"/>
            </w:tcBorders>
          </w:tcPr>
          <w:p w:rsidR="00D94C64" w:rsidRPr="005D3A9F" w:rsidRDefault="00D94C64" w:rsidP="00513232">
            <w:pPr>
              <w:spacing w:before="120" w:line="235" w:lineRule="auto"/>
              <w:jc w:val="both"/>
              <w:rPr>
                <w:bCs/>
                <w:sz w:val="28"/>
                <w:szCs w:val="28"/>
                <w:lang w:val="uk-UA"/>
              </w:rPr>
            </w:pPr>
            <w:r w:rsidRPr="005D3A9F">
              <w:rPr>
                <w:bCs/>
                <w:sz w:val="28"/>
                <w:szCs w:val="28"/>
                <w:lang w:val="uk-UA"/>
              </w:rPr>
              <w:lastRenderedPageBreak/>
              <w:t>Стаття 291. Загальні положення</w:t>
            </w:r>
          </w:p>
          <w:p w:rsidR="00D94C64" w:rsidRPr="005D3A9F" w:rsidRDefault="00D94C64" w:rsidP="00513232">
            <w:pPr>
              <w:spacing w:before="120" w:line="235" w:lineRule="auto"/>
              <w:jc w:val="both"/>
              <w:rPr>
                <w:bCs/>
                <w:sz w:val="28"/>
                <w:szCs w:val="28"/>
                <w:lang w:val="uk-UA"/>
              </w:rPr>
            </w:pPr>
            <w:r w:rsidRPr="005D3A9F">
              <w:rPr>
                <w:bCs/>
                <w:sz w:val="28"/>
                <w:szCs w:val="28"/>
                <w:lang w:val="uk-UA"/>
              </w:rPr>
              <w:t>…</w:t>
            </w:r>
          </w:p>
          <w:p w:rsidR="00D94C64" w:rsidRPr="005D3A9F" w:rsidRDefault="00D94C64" w:rsidP="00513232">
            <w:pPr>
              <w:spacing w:before="120" w:line="235" w:lineRule="auto"/>
              <w:jc w:val="both"/>
              <w:rPr>
                <w:bCs/>
                <w:sz w:val="28"/>
                <w:szCs w:val="28"/>
                <w:lang w:val="uk-UA"/>
              </w:rPr>
            </w:pPr>
            <w:r w:rsidRPr="005D3A9F">
              <w:rPr>
                <w:bCs/>
                <w:sz w:val="28"/>
                <w:szCs w:val="28"/>
                <w:lang w:val="uk-UA"/>
              </w:rPr>
              <w:t>291.4.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D94C64" w:rsidRPr="005D3A9F" w:rsidRDefault="00D94C64" w:rsidP="00513232">
            <w:pPr>
              <w:spacing w:line="235" w:lineRule="auto"/>
              <w:jc w:val="both"/>
              <w:rPr>
                <w:bCs/>
                <w:sz w:val="28"/>
                <w:szCs w:val="28"/>
                <w:lang w:val="uk-UA"/>
              </w:rPr>
            </w:pPr>
            <w:r w:rsidRPr="005D3A9F">
              <w:rPr>
                <w:bCs/>
                <w:sz w:val="28"/>
                <w:szCs w:val="28"/>
                <w:lang w:val="uk-UA"/>
              </w:rPr>
              <w:t>…</w:t>
            </w:r>
          </w:p>
          <w:p w:rsidR="00D94C64" w:rsidRPr="005D3A9F" w:rsidRDefault="00D94C64" w:rsidP="00513232">
            <w:pPr>
              <w:spacing w:before="120" w:line="235" w:lineRule="auto"/>
              <w:jc w:val="both"/>
              <w:rPr>
                <w:bCs/>
                <w:sz w:val="28"/>
                <w:szCs w:val="28"/>
                <w:lang w:val="uk-UA"/>
              </w:rPr>
            </w:pPr>
            <w:r w:rsidRPr="005D3A9F">
              <w:rPr>
                <w:bCs/>
                <w:sz w:val="28"/>
                <w:szCs w:val="28"/>
                <w:lang w:val="uk-UA"/>
              </w:rPr>
              <w:t xml:space="preserve">291.4.1. При розрахунку загальної кількості осіб, які перебувають у трудових відносинах з платником єдиного податку – фізичною особою, не враховуються наймані </w:t>
            </w:r>
            <w:r w:rsidRPr="005D3A9F">
              <w:rPr>
                <w:bCs/>
                <w:sz w:val="28"/>
                <w:szCs w:val="28"/>
                <w:lang w:val="uk-UA"/>
              </w:rPr>
              <w:lastRenderedPageBreak/>
              <w:t>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D94C64" w:rsidRPr="005D3A9F" w:rsidRDefault="00D94C64" w:rsidP="00513232">
            <w:pPr>
              <w:spacing w:before="120" w:line="235" w:lineRule="auto"/>
              <w:jc w:val="both"/>
              <w:rPr>
                <w:bCs/>
                <w:sz w:val="28"/>
                <w:szCs w:val="28"/>
                <w:lang w:val="uk-UA"/>
              </w:rPr>
            </w:pPr>
          </w:p>
          <w:p w:rsidR="00D94C64" w:rsidRPr="005D3A9F" w:rsidRDefault="00D94C64" w:rsidP="00513232">
            <w:pPr>
              <w:spacing w:line="235" w:lineRule="auto"/>
              <w:jc w:val="both"/>
              <w:rPr>
                <w:bCs/>
                <w:sz w:val="28"/>
                <w:szCs w:val="28"/>
                <w:lang w:val="uk-UA"/>
              </w:rPr>
            </w:pPr>
            <w:r w:rsidRPr="005D3A9F">
              <w:rPr>
                <w:bCs/>
                <w:sz w:val="28"/>
                <w:szCs w:val="28"/>
                <w:lang w:val="uk-UA"/>
              </w:rPr>
              <w:t>При розрахунку середньооблікової кількості працівників застосовується визначення, встановлене цим Кодексом.</w:t>
            </w:r>
          </w:p>
          <w:p w:rsidR="00D94C64" w:rsidRPr="005D3A9F" w:rsidRDefault="00D94C64" w:rsidP="00513232">
            <w:pPr>
              <w:spacing w:before="120" w:after="120" w:line="235" w:lineRule="auto"/>
              <w:jc w:val="both"/>
              <w:rPr>
                <w:bCs/>
                <w:sz w:val="28"/>
                <w:szCs w:val="28"/>
                <w:lang w:val="uk-UA"/>
              </w:rPr>
            </w:pPr>
            <w:r w:rsidRPr="005D3A9F">
              <w:rPr>
                <w:bCs/>
                <w:sz w:val="28"/>
                <w:szCs w:val="28"/>
                <w:lang w:val="uk-UA"/>
              </w:rPr>
              <w:t>…</w:t>
            </w:r>
          </w:p>
        </w:tc>
        <w:tc>
          <w:tcPr>
            <w:tcW w:w="7371" w:type="dxa"/>
            <w:tcBorders>
              <w:top w:val="single" w:sz="4" w:space="0" w:color="auto"/>
              <w:bottom w:val="single" w:sz="4" w:space="0" w:color="auto"/>
            </w:tcBorders>
          </w:tcPr>
          <w:p w:rsidR="00D94C64" w:rsidRPr="005D3A9F" w:rsidRDefault="00D94C64" w:rsidP="00513232">
            <w:pPr>
              <w:spacing w:before="120" w:line="235" w:lineRule="auto"/>
              <w:jc w:val="both"/>
              <w:rPr>
                <w:bCs/>
                <w:sz w:val="28"/>
                <w:szCs w:val="28"/>
                <w:lang w:val="uk-UA"/>
              </w:rPr>
            </w:pPr>
            <w:r w:rsidRPr="005D3A9F">
              <w:rPr>
                <w:bCs/>
                <w:sz w:val="28"/>
                <w:szCs w:val="28"/>
                <w:lang w:val="uk-UA"/>
              </w:rPr>
              <w:lastRenderedPageBreak/>
              <w:t>Стаття 291. Загальні положення</w:t>
            </w:r>
          </w:p>
          <w:p w:rsidR="00D94C64" w:rsidRPr="005D3A9F" w:rsidRDefault="00D94C64" w:rsidP="00513232">
            <w:pPr>
              <w:spacing w:before="120" w:line="235" w:lineRule="auto"/>
              <w:jc w:val="both"/>
              <w:rPr>
                <w:bCs/>
                <w:sz w:val="28"/>
                <w:szCs w:val="28"/>
                <w:lang w:val="uk-UA"/>
              </w:rPr>
            </w:pPr>
            <w:r w:rsidRPr="005D3A9F">
              <w:rPr>
                <w:bCs/>
                <w:sz w:val="28"/>
                <w:szCs w:val="28"/>
                <w:lang w:val="uk-UA"/>
              </w:rPr>
              <w:t>…</w:t>
            </w:r>
          </w:p>
          <w:p w:rsidR="00D94C64" w:rsidRPr="005D3A9F" w:rsidRDefault="00D94C64" w:rsidP="00513232">
            <w:pPr>
              <w:spacing w:before="120" w:line="235" w:lineRule="auto"/>
              <w:jc w:val="both"/>
              <w:rPr>
                <w:bCs/>
                <w:sz w:val="28"/>
                <w:szCs w:val="28"/>
                <w:lang w:val="uk-UA"/>
              </w:rPr>
            </w:pPr>
            <w:r w:rsidRPr="005D3A9F">
              <w:rPr>
                <w:bCs/>
                <w:sz w:val="28"/>
                <w:szCs w:val="28"/>
                <w:lang w:val="uk-UA"/>
              </w:rPr>
              <w:t>291.4.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D94C64" w:rsidRPr="005D3A9F" w:rsidRDefault="00D94C64" w:rsidP="00513232">
            <w:pPr>
              <w:spacing w:line="235" w:lineRule="auto"/>
              <w:jc w:val="both"/>
              <w:rPr>
                <w:bCs/>
                <w:sz w:val="28"/>
                <w:szCs w:val="28"/>
                <w:lang w:val="uk-UA"/>
              </w:rPr>
            </w:pPr>
            <w:r w:rsidRPr="005D3A9F">
              <w:rPr>
                <w:bCs/>
                <w:sz w:val="28"/>
                <w:szCs w:val="28"/>
                <w:lang w:val="uk-UA"/>
              </w:rPr>
              <w:t>…</w:t>
            </w:r>
          </w:p>
          <w:p w:rsidR="00D94C64" w:rsidRPr="005D3A9F" w:rsidRDefault="00D94C64" w:rsidP="00513232">
            <w:pPr>
              <w:spacing w:before="120" w:line="235" w:lineRule="auto"/>
              <w:jc w:val="both"/>
              <w:rPr>
                <w:bCs/>
                <w:sz w:val="28"/>
                <w:szCs w:val="28"/>
                <w:lang w:val="uk-UA"/>
              </w:rPr>
            </w:pPr>
            <w:r w:rsidRPr="005D3A9F">
              <w:rPr>
                <w:bCs/>
                <w:sz w:val="28"/>
                <w:szCs w:val="28"/>
                <w:lang w:val="uk-UA"/>
              </w:rPr>
              <w:t xml:space="preserve">291.4.1. При розрахунку загальної кількості осіб, які перебувають у трудових відносинах з платником єдиного податку – фізичною особою, не враховуються наймані </w:t>
            </w:r>
            <w:r w:rsidRPr="005D3A9F">
              <w:rPr>
                <w:bCs/>
                <w:sz w:val="28"/>
                <w:szCs w:val="28"/>
                <w:lang w:val="uk-UA"/>
              </w:rPr>
              <w:lastRenderedPageBreak/>
              <w:t xml:space="preserve">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 </w:t>
            </w:r>
            <w:r w:rsidRPr="005D3A9F">
              <w:rPr>
                <w:b/>
                <w:bCs/>
                <w:sz w:val="28"/>
                <w:szCs w:val="28"/>
                <w:lang w:val="uk-UA"/>
              </w:rPr>
              <w:t>військову службу за призовом осіб із числа резервістів в особливий період</w:t>
            </w:r>
            <w:r w:rsidRPr="005D3A9F">
              <w:rPr>
                <w:bCs/>
                <w:sz w:val="28"/>
                <w:szCs w:val="28"/>
                <w:lang w:val="uk-UA"/>
              </w:rPr>
              <w:t>.</w:t>
            </w:r>
          </w:p>
          <w:p w:rsidR="00D94C64" w:rsidRPr="005D3A9F" w:rsidRDefault="00D94C64" w:rsidP="00513232">
            <w:pPr>
              <w:spacing w:before="120" w:line="235" w:lineRule="auto"/>
              <w:jc w:val="both"/>
              <w:rPr>
                <w:bCs/>
                <w:sz w:val="28"/>
                <w:szCs w:val="28"/>
                <w:lang w:val="uk-UA"/>
              </w:rPr>
            </w:pPr>
            <w:r w:rsidRPr="005D3A9F">
              <w:rPr>
                <w:bCs/>
                <w:sz w:val="28"/>
                <w:szCs w:val="28"/>
                <w:lang w:val="uk-UA"/>
              </w:rPr>
              <w:t>При розрахунку середньооблікової кількості працівників застосовується визначення, встановлене цим Кодексом.</w:t>
            </w:r>
          </w:p>
          <w:p w:rsidR="00D94C64" w:rsidRPr="005D3A9F" w:rsidRDefault="00D94C64" w:rsidP="00C752BC">
            <w:pPr>
              <w:spacing w:before="120" w:after="240" w:line="235" w:lineRule="auto"/>
              <w:jc w:val="both"/>
              <w:rPr>
                <w:bCs/>
                <w:sz w:val="28"/>
                <w:szCs w:val="28"/>
                <w:lang w:val="uk-UA"/>
              </w:rPr>
            </w:pPr>
            <w:r w:rsidRPr="005D3A9F">
              <w:rPr>
                <w:bCs/>
                <w:sz w:val="28"/>
                <w:szCs w:val="28"/>
                <w:lang w:val="uk-UA"/>
              </w:rPr>
              <w:t>…</w:t>
            </w:r>
          </w:p>
        </w:tc>
      </w:tr>
      <w:tr w:rsidR="00D94C64" w:rsidRPr="005D3A9F" w:rsidTr="002C3AB8">
        <w:trPr>
          <w:trHeight w:val="562"/>
        </w:trPr>
        <w:tc>
          <w:tcPr>
            <w:tcW w:w="7371" w:type="dxa"/>
            <w:tcBorders>
              <w:top w:val="single" w:sz="4" w:space="0" w:color="auto"/>
              <w:bottom w:val="single" w:sz="4" w:space="0" w:color="auto"/>
            </w:tcBorders>
          </w:tcPr>
          <w:p w:rsidR="00576B35" w:rsidRPr="005D3A9F" w:rsidRDefault="00576B35" w:rsidP="00513232">
            <w:pPr>
              <w:spacing w:before="120" w:after="120" w:line="235" w:lineRule="auto"/>
              <w:jc w:val="both"/>
              <w:rPr>
                <w:bCs/>
                <w:sz w:val="28"/>
                <w:szCs w:val="28"/>
                <w:lang w:val="uk-UA"/>
              </w:rPr>
            </w:pPr>
            <w:r w:rsidRPr="005D3A9F">
              <w:rPr>
                <w:bCs/>
                <w:sz w:val="28"/>
                <w:szCs w:val="28"/>
                <w:lang w:val="uk-UA"/>
              </w:rPr>
              <w:lastRenderedPageBreak/>
              <w:t xml:space="preserve">РОЗДІЛ XX. ПЕРЕХІДНІ ПОЛОЖЕННЯ </w:t>
            </w:r>
          </w:p>
          <w:p w:rsidR="00576B35" w:rsidRPr="005D3A9F" w:rsidRDefault="00576B35" w:rsidP="00513232">
            <w:pPr>
              <w:spacing w:before="120" w:after="120" w:line="235" w:lineRule="auto"/>
              <w:jc w:val="both"/>
              <w:rPr>
                <w:bCs/>
                <w:sz w:val="28"/>
                <w:szCs w:val="28"/>
                <w:lang w:val="uk-UA"/>
              </w:rPr>
            </w:pPr>
            <w:r w:rsidRPr="005D3A9F">
              <w:rPr>
                <w:bCs/>
                <w:sz w:val="28"/>
                <w:szCs w:val="28"/>
                <w:lang w:val="uk-UA"/>
              </w:rPr>
              <w:t>…</w:t>
            </w:r>
          </w:p>
          <w:p w:rsidR="00576B35" w:rsidRPr="005D3A9F" w:rsidRDefault="00576B35" w:rsidP="00513232">
            <w:pPr>
              <w:spacing w:before="120" w:after="120" w:line="235" w:lineRule="auto"/>
              <w:jc w:val="both"/>
              <w:rPr>
                <w:bCs/>
                <w:sz w:val="28"/>
                <w:szCs w:val="28"/>
                <w:lang w:val="uk-UA"/>
              </w:rPr>
            </w:pPr>
            <w:r w:rsidRPr="005D3A9F">
              <w:rPr>
                <w:bCs/>
                <w:sz w:val="28"/>
                <w:szCs w:val="28"/>
                <w:lang w:val="uk-UA"/>
              </w:rPr>
              <w:t>Підрозділ 10. Інші перехідні положення</w:t>
            </w:r>
          </w:p>
          <w:p w:rsidR="00576B35" w:rsidRPr="005D3A9F" w:rsidRDefault="00576B35" w:rsidP="00513232">
            <w:pPr>
              <w:spacing w:before="120" w:after="120" w:line="235" w:lineRule="auto"/>
              <w:jc w:val="both"/>
              <w:rPr>
                <w:bCs/>
                <w:sz w:val="28"/>
                <w:szCs w:val="28"/>
                <w:lang w:val="uk-UA"/>
              </w:rPr>
            </w:pPr>
            <w:r w:rsidRPr="005D3A9F">
              <w:rPr>
                <w:bCs/>
                <w:sz w:val="28"/>
                <w:szCs w:val="28"/>
                <w:lang w:val="uk-UA"/>
              </w:rPr>
              <w:t>…</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 xml:space="preserve">25. Самозайняті особи (фізичні особи – підприємці, особи, які провадять незалежну професійну діяльність), які мали або не мали найманих працівників,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під час особливого періоду, визначеного Законом України "Про мобілізаційну підготовку та мобілізацію", на весь період їх військової служби звільняються від обов'язку нарахування, сплати та подання податкової звітності з податку на доходи фізичних осіб відповідно до розділу IV цього Кодексу, а також </w:t>
            </w:r>
            <w:r w:rsidRPr="005D3A9F">
              <w:rPr>
                <w:bCs/>
                <w:sz w:val="28"/>
                <w:szCs w:val="28"/>
                <w:lang w:val="uk-UA"/>
              </w:rPr>
              <w:lastRenderedPageBreak/>
              <w:t>звільняються від обов'язку нарахування, сплати та подання податкової звітності з єдиного податку відповідно до       глави 1 розділу XIV цього Кодексу.</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Підставою для такого звільнення є заява самозайнятої особи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за місцем податкової реєстрації самозайнятої особи протягом 10 днів після її демобілізації. Якщо демобілізована самозайнята особа перебуває на лікуванні (реабілітації) у зв'язку з виконанням обов'язків під час мобілізації, на особливий період, заява і копія військового квитка або копія іншого документа, виданого відповідним державним органом, подаються протягом 10 днів після закінчення її лікування (реабілітації).</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Якщо самозайнята особа, призвана на військову службу за призовом під час мобілізації, на особливий період, має найманих працівників і на строк своєї військової служби за призовом під час мобілізації, на особливий період, уповноважує іншу особу на виплату найманим працівникам заробітної плати та/або інших доходів, то обов'язок з нарахування та утримання податку на доходи фізичних осіб з таких виплат на строк військової служби самозайнятої особи несе ця уповноважена особа.</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 xml:space="preserve">Податок на доходи фізичних осіб, що був нарахований та утриманий уповноваженою особою з таких виплат </w:t>
            </w:r>
            <w:r w:rsidRPr="005D3A9F">
              <w:rPr>
                <w:bCs/>
                <w:sz w:val="28"/>
                <w:szCs w:val="28"/>
                <w:lang w:val="uk-UA"/>
              </w:rPr>
              <w:lastRenderedPageBreak/>
              <w:t>фізичним особам, сплачується до бюджету демобілізованою самозайнятою особою протягом 180 календарних днів з першого дня її демобілізації без нарахування штрафних і фінансових санкцій. При цьому демобілізована самозайнята особа у заяві, передбаченій у цьому пункті, зазначає дані про суми нарахованого та утриманого уповноваженою особою податку з найманих працівників протягом строку військової служби самозайнятої особи.</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Податкова звітність про суми податку, нарахованого та утриманого протягом строку військової служби самозайнятої особи уповноваженою особою з найманих працівників та інших фізичних осіб, подається демобілізованою самозайнятою особою у порядку та строки, встановлені цим Кодексом, без нарахування штрафних і фінансових санкцій, передбачених цим Кодексом.</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 xml:space="preserve">Цей пункт застосовується з першого дня мобілізації, оголошеної Указом Президента України від 17 березня </w:t>
            </w:r>
            <w:r w:rsidR="00C752BC" w:rsidRPr="005D3A9F">
              <w:rPr>
                <w:bCs/>
                <w:sz w:val="28"/>
                <w:szCs w:val="28"/>
                <w:lang w:val="uk-UA"/>
              </w:rPr>
              <w:t xml:space="preserve">    </w:t>
            </w:r>
            <w:r w:rsidRPr="005D3A9F">
              <w:rPr>
                <w:bCs/>
                <w:sz w:val="28"/>
                <w:szCs w:val="28"/>
                <w:lang w:val="uk-UA"/>
              </w:rPr>
              <w:t xml:space="preserve">2014 року </w:t>
            </w:r>
            <w:r w:rsidR="00C752BC" w:rsidRPr="005D3A9F">
              <w:rPr>
                <w:bCs/>
                <w:sz w:val="28"/>
                <w:szCs w:val="28"/>
                <w:lang w:val="uk-UA"/>
              </w:rPr>
              <w:t>№</w:t>
            </w:r>
            <w:r w:rsidRPr="005D3A9F">
              <w:rPr>
                <w:bCs/>
                <w:sz w:val="28"/>
                <w:szCs w:val="28"/>
                <w:lang w:val="uk-UA"/>
              </w:rPr>
              <w:t xml:space="preserve"> 303 "Про часткову мобілізацію", затвердженим Законом України "Про затвердження Указу Президента України "Про часткову мобілізацію".</w:t>
            </w:r>
          </w:p>
          <w:p w:rsidR="00576B35" w:rsidRPr="005D3A9F" w:rsidRDefault="00576B35" w:rsidP="00513232">
            <w:pPr>
              <w:spacing w:before="120" w:after="120" w:line="235" w:lineRule="auto"/>
              <w:jc w:val="both"/>
              <w:rPr>
                <w:bCs/>
                <w:sz w:val="28"/>
                <w:szCs w:val="28"/>
                <w:lang w:val="uk-UA"/>
              </w:rPr>
            </w:pPr>
          </w:p>
          <w:p w:rsidR="00C752BC" w:rsidRPr="005D3A9F" w:rsidRDefault="00C752BC"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r w:rsidRPr="005D3A9F">
              <w:rPr>
                <w:b/>
                <w:bCs/>
                <w:sz w:val="28"/>
                <w:szCs w:val="28"/>
                <w:lang w:val="uk-UA"/>
              </w:rPr>
              <w:t>Відсутній.</w:t>
            </w: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C752BC" w:rsidRPr="005D3A9F" w:rsidRDefault="00C752BC" w:rsidP="005310D6">
            <w:pPr>
              <w:spacing w:before="120" w:after="120" w:line="235" w:lineRule="auto"/>
              <w:jc w:val="center"/>
              <w:rPr>
                <w:b/>
                <w:bCs/>
                <w:sz w:val="28"/>
                <w:szCs w:val="28"/>
                <w:lang w:val="uk-UA"/>
              </w:rPr>
            </w:pPr>
          </w:p>
          <w:p w:rsidR="005310D6" w:rsidRPr="005D3A9F" w:rsidRDefault="005310D6" w:rsidP="005310D6">
            <w:pPr>
              <w:spacing w:before="120" w:after="120" w:line="235" w:lineRule="auto"/>
              <w:jc w:val="center"/>
              <w:rPr>
                <w:b/>
                <w:bCs/>
                <w:sz w:val="28"/>
                <w:szCs w:val="28"/>
                <w:lang w:val="uk-UA"/>
              </w:rPr>
            </w:pPr>
            <w:r w:rsidRPr="005D3A9F">
              <w:rPr>
                <w:b/>
                <w:bCs/>
                <w:sz w:val="28"/>
                <w:szCs w:val="28"/>
                <w:lang w:val="uk-UA"/>
              </w:rPr>
              <w:t>Відсутній.</w:t>
            </w: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310D6" w:rsidRPr="005D3A9F" w:rsidRDefault="005310D6" w:rsidP="005310D6">
            <w:pPr>
              <w:spacing w:before="120" w:after="120" w:line="235" w:lineRule="auto"/>
              <w:jc w:val="center"/>
              <w:rPr>
                <w:b/>
                <w:bCs/>
                <w:sz w:val="28"/>
                <w:szCs w:val="28"/>
                <w:lang w:val="uk-UA"/>
              </w:rPr>
            </w:pPr>
            <w:r w:rsidRPr="005D3A9F">
              <w:rPr>
                <w:b/>
                <w:bCs/>
                <w:sz w:val="28"/>
                <w:szCs w:val="28"/>
                <w:lang w:val="uk-UA"/>
              </w:rPr>
              <w:t>Відсутній.</w:t>
            </w: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576B35" w:rsidRPr="005D3A9F" w:rsidRDefault="00576B35" w:rsidP="00513232">
            <w:pPr>
              <w:spacing w:before="120" w:after="120" w:line="235" w:lineRule="auto"/>
              <w:jc w:val="center"/>
              <w:rPr>
                <w:b/>
                <w:bCs/>
                <w:sz w:val="28"/>
                <w:szCs w:val="28"/>
                <w:lang w:val="uk-UA"/>
              </w:rPr>
            </w:pPr>
          </w:p>
          <w:p w:rsidR="00C752BC" w:rsidRPr="005D3A9F" w:rsidRDefault="00C752BC" w:rsidP="005310D6">
            <w:pPr>
              <w:spacing w:line="235" w:lineRule="auto"/>
              <w:jc w:val="both"/>
              <w:rPr>
                <w:bCs/>
                <w:sz w:val="28"/>
                <w:szCs w:val="28"/>
                <w:lang w:val="uk-UA"/>
              </w:rPr>
            </w:pPr>
          </w:p>
          <w:p w:rsidR="00C752BC" w:rsidRPr="005D3A9F" w:rsidRDefault="00C752BC" w:rsidP="00C752BC">
            <w:pPr>
              <w:spacing w:before="200" w:line="235" w:lineRule="auto"/>
              <w:jc w:val="both"/>
              <w:rPr>
                <w:bCs/>
                <w:sz w:val="28"/>
                <w:szCs w:val="28"/>
                <w:lang w:val="uk-UA"/>
              </w:rPr>
            </w:pPr>
          </w:p>
          <w:p w:rsidR="005310D6" w:rsidRPr="005D3A9F" w:rsidRDefault="005310D6" w:rsidP="00C752BC">
            <w:pPr>
              <w:spacing w:before="520" w:line="235" w:lineRule="auto"/>
              <w:jc w:val="both"/>
              <w:rPr>
                <w:bCs/>
                <w:sz w:val="28"/>
                <w:szCs w:val="28"/>
                <w:lang w:val="uk-UA"/>
              </w:rPr>
            </w:pPr>
            <w:r w:rsidRPr="005D3A9F">
              <w:rPr>
                <w:bCs/>
                <w:sz w:val="28"/>
                <w:szCs w:val="28"/>
                <w:lang w:val="uk-UA"/>
              </w:rPr>
              <w:t xml:space="preserve">26. На період дії Закону України "Про забезпечення прав і свобод громадян та правовий режим на тимчасово окупованій території України" цей Кодекс застосовується з </w:t>
            </w:r>
            <w:r w:rsidRPr="005D3A9F">
              <w:rPr>
                <w:bCs/>
                <w:sz w:val="28"/>
                <w:szCs w:val="28"/>
                <w:lang w:val="uk-UA"/>
              </w:rPr>
              <w:lastRenderedPageBreak/>
              <w:t>урахуванням особливостей, визначених Законом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p>
          <w:p w:rsidR="00576B35" w:rsidRPr="005D3A9F" w:rsidRDefault="00576B35" w:rsidP="00513232">
            <w:pPr>
              <w:spacing w:after="120" w:line="235" w:lineRule="auto"/>
              <w:rPr>
                <w:bCs/>
                <w:sz w:val="28"/>
                <w:szCs w:val="28"/>
                <w:lang w:val="uk-UA"/>
              </w:rPr>
            </w:pPr>
            <w:r w:rsidRPr="005D3A9F">
              <w:rPr>
                <w:bCs/>
                <w:sz w:val="28"/>
                <w:szCs w:val="28"/>
                <w:lang w:val="uk-UA"/>
              </w:rPr>
              <w:t>…</w:t>
            </w:r>
          </w:p>
        </w:tc>
        <w:tc>
          <w:tcPr>
            <w:tcW w:w="7371" w:type="dxa"/>
            <w:tcBorders>
              <w:top w:val="single" w:sz="4" w:space="0" w:color="auto"/>
              <w:bottom w:val="single" w:sz="4" w:space="0" w:color="auto"/>
            </w:tcBorders>
          </w:tcPr>
          <w:p w:rsidR="00576B35" w:rsidRPr="005D3A9F" w:rsidRDefault="00576B35" w:rsidP="00513232">
            <w:pPr>
              <w:spacing w:before="120" w:after="120" w:line="235" w:lineRule="auto"/>
              <w:jc w:val="both"/>
              <w:rPr>
                <w:bCs/>
                <w:sz w:val="28"/>
                <w:szCs w:val="28"/>
                <w:lang w:val="uk-UA"/>
              </w:rPr>
            </w:pPr>
            <w:r w:rsidRPr="005D3A9F">
              <w:rPr>
                <w:bCs/>
                <w:sz w:val="28"/>
                <w:szCs w:val="28"/>
                <w:lang w:val="uk-UA"/>
              </w:rPr>
              <w:lastRenderedPageBreak/>
              <w:t xml:space="preserve">РОЗДІЛ XX. ПЕРЕХІДНІ ПОЛОЖЕННЯ </w:t>
            </w:r>
          </w:p>
          <w:p w:rsidR="00576B35" w:rsidRPr="005D3A9F" w:rsidRDefault="00576B35" w:rsidP="00513232">
            <w:pPr>
              <w:spacing w:before="120" w:after="120" w:line="235" w:lineRule="auto"/>
              <w:jc w:val="both"/>
              <w:rPr>
                <w:bCs/>
                <w:sz w:val="28"/>
                <w:szCs w:val="28"/>
                <w:lang w:val="uk-UA"/>
              </w:rPr>
            </w:pPr>
            <w:r w:rsidRPr="005D3A9F">
              <w:rPr>
                <w:bCs/>
                <w:sz w:val="28"/>
                <w:szCs w:val="28"/>
                <w:lang w:val="uk-UA"/>
              </w:rPr>
              <w:t>…</w:t>
            </w:r>
          </w:p>
          <w:p w:rsidR="00576B35" w:rsidRPr="005D3A9F" w:rsidRDefault="00576B35" w:rsidP="00513232">
            <w:pPr>
              <w:spacing w:before="120" w:after="120" w:line="235" w:lineRule="auto"/>
              <w:jc w:val="both"/>
              <w:rPr>
                <w:bCs/>
                <w:sz w:val="28"/>
                <w:szCs w:val="28"/>
                <w:lang w:val="uk-UA"/>
              </w:rPr>
            </w:pPr>
            <w:r w:rsidRPr="005D3A9F">
              <w:rPr>
                <w:bCs/>
                <w:sz w:val="28"/>
                <w:szCs w:val="28"/>
                <w:lang w:val="uk-UA"/>
              </w:rPr>
              <w:t>Підрозділ 10. Інші перехідні положення</w:t>
            </w:r>
          </w:p>
          <w:p w:rsidR="00576B35" w:rsidRPr="005D3A9F" w:rsidRDefault="00576B35" w:rsidP="00513232">
            <w:pPr>
              <w:spacing w:before="120" w:after="120" w:line="235" w:lineRule="auto"/>
              <w:jc w:val="both"/>
              <w:rPr>
                <w:bCs/>
                <w:sz w:val="28"/>
                <w:szCs w:val="28"/>
                <w:lang w:val="uk-UA"/>
              </w:rPr>
            </w:pPr>
            <w:r w:rsidRPr="005D3A9F">
              <w:rPr>
                <w:bCs/>
                <w:sz w:val="28"/>
                <w:szCs w:val="28"/>
                <w:lang w:val="uk-UA"/>
              </w:rPr>
              <w:t>…</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 xml:space="preserve">25. Самозайняті особи (фізичні особи – підприємці, особи, які провадять незалежну професійну діяльність), які мали або не мали найманих працівників,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під час особливого періоду, визначеного Законом України "Про мобілізаційну підготовку та мобілізацію", на весь період їх військової служби звільняються від обов'язку нарахування, сплати та подання податкової звітності з податку на доходи фізичних осіб відповідно до розділу IV цього Кодексу, а також </w:t>
            </w:r>
            <w:r w:rsidRPr="005D3A9F">
              <w:rPr>
                <w:bCs/>
                <w:sz w:val="28"/>
                <w:szCs w:val="28"/>
                <w:lang w:val="uk-UA"/>
              </w:rPr>
              <w:lastRenderedPageBreak/>
              <w:t>звільняються від обов'язку нарахування, сплати та подання податкової звітності з єдиного податку відповідно до        глави 1 розділу XIV цього Кодексу.</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Підставою для такого звільнення є заява самозайнятої особи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за місцем податкової реєстрації самозайнятої особи протягом 10 днів після її демобілізації. Якщо демобілізована самозайнята особа перебуває на лікуванні (реабілітації) у зв'язку з виконанням обов'язків під час мобілізації, на особливий період, заява і копія військового квитка або копія іншого документа, виданого відповідним державним органом, подаються протягом 10 днів після закінчення її лікування (реабілітації).</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Якщо самозайнята особа, призвана на військову службу за призовом під час мобілізації, на особливий період, має найманих працівників і на строк своєї військової служби за призовом під час мобілізації, на особливий період, уповноважує іншу особу на виплату найманим працівникам заробітної плати та/або інших доходів, то обов'язок з нарахування та утримання податку на доходи фізичних осіб з таких виплат на строк військової служби самозайнятої особи несе ця уповноважена особа.</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 xml:space="preserve">Податок на доходи фізичних осіб, що був нарахований та утриманий уповноваженою особою з таких виплат </w:t>
            </w:r>
            <w:r w:rsidRPr="005D3A9F">
              <w:rPr>
                <w:bCs/>
                <w:sz w:val="28"/>
                <w:szCs w:val="28"/>
                <w:lang w:val="uk-UA"/>
              </w:rPr>
              <w:lastRenderedPageBreak/>
              <w:t>фізичним особам, сплачується до бюджету демобілізованою самозайнятою особою протягом 180 календарних днів з першого дня її демобілізації без нарахування штрафних і фінансових санкцій. При цьому демобілізована самозайнята особа у заяві, передбаченій у цьому пункті, зазначає дані про суми нарахованого та утриманого уповноваженою особою податку з найманих працівників протягом строку військової служби самозайнятої особи.</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Податкова звітність про суми податку, нарахованого та утриманого протягом строку військової служби самозайнятої особи уповноваженою особою з найманих працівників та інших фізичних осіб, подається демобілізованою самозайнятою особою у порядку та строки, встановлені цим Кодексом, без нарахування штрафних і фінансових санкцій, передбачених цим Кодексом.</w:t>
            </w:r>
          </w:p>
          <w:p w:rsidR="005310D6" w:rsidRPr="005D3A9F" w:rsidRDefault="005310D6" w:rsidP="005310D6">
            <w:pPr>
              <w:spacing w:before="120" w:after="120" w:line="235" w:lineRule="auto"/>
              <w:jc w:val="both"/>
              <w:rPr>
                <w:bCs/>
                <w:sz w:val="28"/>
                <w:szCs w:val="28"/>
                <w:lang w:val="uk-UA"/>
              </w:rPr>
            </w:pPr>
            <w:r w:rsidRPr="005D3A9F">
              <w:rPr>
                <w:bCs/>
                <w:sz w:val="28"/>
                <w:szCs w:val="28"/>
                <w:lang w:val="uk-UA"/>
              </w:rPr>
              <w:t xml:space="preserve">Цей пункт застосовується з першого дня мобілізації, оголошеної Указом Президента України від 17 березня </w:t>
            </w:r>
            <w:r w:rsidR="00C752BC" w:rsidRPr="005D3A9F">
              <w:rPr>
                <w:bCs/>
                <w:sz w:val="28"/>
                <w:szCs w:val="28"/>
                <w:lang w:val="uk-UA"/>
              </w:rPr>
              <w:t xml:space="preserve">         </w:t>
            </w:r>
            <w:r w:rsidRPr="005D3A9F">
              <w:rPr>
                <w:bCs/>
                <w:sz w:val="28"/>
                <w:szCs w:val="28"/>
                <w:lang w:val="uk-UA"/>
              </w:rPr>
              <w:t xml:space="preserve">2014 року </w:t>
            </w:r>
            <w:r w:rsidR="00C752BC" w:rsidRPr="005D3A9F">
              <w:rPr>
                <w:bCs/>
                <w:sz w:val="28"/>
                <w:szCs w:val="28"/>
                <w:lang w:val="uk-UA"/>
              </w:rPr>
              <w:t>№</w:t>
            </w:r>
            <w:r w:rsidRPr="005D3A9F">
              <w:rPr>
                <w:bCs/>
                <w:sz w:val="28"/>
                <w:szCs w:val="28"/>
                <w:lang w:val="uk-UA"/>
              </w:rPr>
              <w:t xml:space="preserve"> 303 "Про часткову мобілізацію", затвердженим Законом України "Про затвердження Указу Президента України "Про часткову мобілізацію".</w:t>
            </w:r>
          </w:p>
          <w:p w:rsidR="00576B35" w:rsidRPr="005D3A9F" w:rsidRDefault="00576B35" w:rsidP="00513232">
            <w:pPr>
              <w:spacing w:before="120" w:line="235" w:lineRule="auto"/>
              <w:jc w:val="both"/>
              <w:rPr>
                <w:b/>
                <w:bCs/>
                <w:sz w:val="28"/>
                <w:szCs w:val="28"/>
                <w:lang w:val="uk-UA"/>
              </w:rPr>
            </w:pPr>
            <w:r w:rsidRPr="005D3A9F">
              <w:rPr>
                <w:b/>
                <w:bCs/>
                <w:sz w:val="28"/>
                <w:szCs w:val="28"/>
                <w:lang w:val="uk-UA"/>
              </w:rPr>
              <w:t xml:space="preserve">25-1. Самозайняті особи (фізичні особи – підприємці, особи, які провадять незалежну професійну діяльність), які мали або не мали найманих працівників, призвані на військову службу за призовом осіб із числа резервістів в особливий період, на весь період їх військової служби звільняються від обов'язку нарахування, сплати та </w:t>
            </w:r>
            <w:r w:rsidRPr="005D3A9F">
              <w:rPr>
                <w:b/>
                <w:bCs/>
                <w:sz w:val="28"/>
                <w:szCs w:val="28"/>
                <w:lang w:val="uk-UA"/>
              </w:rPr>
              <w:lastRenderedPageBreak/>
              <w:t xml:space="preserve">подання податкової звітності з податку на доходи фізичних осіб відповідно до </w:t>
            </w:r>
            <w:r w:rsidR="00385941" w:rsidRPr="005D3A9F">
              <w:rPr>
                <w:b/>
                <w:bCs/>
                <w:sz w:val="28"/>
                <w:szCs w:val="28"/>
                <w:lang w:val="uk-UA"/>
              </w:rPr>
              <w:t xml:space="preserve">     </w:t>
            </w:r>
            <w:r w:rsidRPr="005D3A9F">
              <w:rPr>
                <w:b/>
                <w:bCs/>
                <w:sz w:val="28"/>
                <w:szCs w:val="28"/>
                <w:lang w:val="uk-UA"/>
              </w:rPr>
              <w:t>розділу IV цього Кодексу, а також звільняються від обов'язку нарахування, сплати та подання податкової звітності з єдиного податку відповідно до глави 1 розділу XIV цього Кодексу.</w:t>
            </w:r>
          </w:p>
          <w:p w:rsidR="00576B35" w:rsidRPr="005D3A9F" w:rsidRDefault="00576B35" w:rsidP="00513232">
            <w:pPr>
              <w:spacing w:before="120" w:line="235" w:lineRule="auto"/>
              <w:jc w:val="both"/>
              <w:rPr>
                <w:b/>
                <w:bCs/>
                <w:sz w:val="28"/>
                <w:szCs w:val="28"/>
                <w:lang w:val="uk-UA"/>
              </w:rPr>
            </w:pPr>
            <w:r w:rsidRPr="005D3A9F">
              <w:rPr>
                <w:b/>
                <w:bCs/>
                <w:sz w:val="28"/>
                <w:szCs w:val="28"/>
                <w:lang w:val="uk-UA"/>
              </w:rPr>
              <w:t xml:space="preserve">Підставою для такого звільнення є заява самозайнятої особи та копія відповідного військово-облікового документа із зазначенням даних про призов такої особи на військову службу за призовом осіб із числа резервістів в особливий період, які подаються до </w:t>
            </w:r>
            <w:r w:rsidR="006C3068" w:rsidRPr="005D3A9F">
              <w:rPr>
                <w:b/>
                <w:bCs/>
                <w:sz w:val="28"/>
                <w:szCs w:val="28"/>
                <w:lang w:val="uk-UA"/>
              </w:rPr>
              <w:t>податков</w:t>
            </w:r>
            <w:r w:rsidR="008B06FF" w:rsidRPr="005D3A9F">
              <w:rPr>
                <w:b/>
                <w:bCs/>
                <w:sz w:val="28"/>
                <w:szCs w:val="28"/>
                <w:lang w:val="uk-UA"/>
              </w:rPr>
              <w:t xml:space="preserve">ого </w:t>
            </w:r>
            <w:r w:rsidRPr="005D3A9F">
              <w:rPr>
                <w:b/>
                <w:bCs/>
                <w:sz w:val="28"/>
                <w:szCs w:val="28"/>
                <w:lang w:val="uk-UA"/>
              </w:rPr>
              <w:t xml:space="preserve">органу за місцем податкової реєстрації самозайнятої особи протягом 10 днів після її звільнення з такої військової служби. Якщо звільнена самозайнята особа перебуває на лікуванні (реабілітації) у зв'язку з виконанням обов'язків під час військової </w:t>
            </w:r>
            <w:r w:rsidR="00635FC9" w:rsidRPr="005D3A9F">
              <w:rPr>
                <w:b/>
                <w:bCs/>
                <w:sz w:val="28"/>
                <w:szCs w:val="28"/>
                <w:lang w:val="uk-UA"/>
              </w:rPr>
              <w:t>служби за призовом осіб із числа</w:t>
            </w:r>
            <w:r w:rsidRPr="005D3A9F">
              <w:rPr>
                <w:b/>
                <w:bCs/>
                <w:sz w:val="28"/>
                <w:szCs w:val="28"/>
                <w:lang w:val="uk-UA"/>
              </w:rPr>
              <w:t xml:space="preserve"> резервістів в особливий період, заява і копія відповідного військово-облікового документа подаються протягом 10 днів після закінчення її лікування (реабілітації).</w:t>
            </w:r>
          </w:p>
          <w:p w:rsidR="00576B35" w:rsidRPr="005D3A9F" w:rsidRDefault="00576B35" w:rsidP="00513232">
            <w:pPr>
              <w:spacing w:before="120" w:line="235" w:lineRule="auto"/>
              <w:jc w:val="both"/>
              <w:rPr>
                <w:b/>
                <w:bCs/>
                <w:sz w:val="28"/>
                <w:szCs w:val="28"/>
                <w:lang w:val="uk-UA"/>
              </w:rPr>
            </w:pPr>
            <w:r w:rsidRPr="005D3A9F">
              <w:rPr>
                <w:b/>
                <w:bCs/>
                <w:sz w:val="28"/>
                <w:szCs w:val="28"/>
                <w:lang w:val="uk-UA"/>
              </w:rPr>
              <w:t xml:space="preserve">Якщо самозайнята особа, призвана на військову </w:t>
            </w:r>
            <w:r w:rsidR="00635FC9" w:rsidRPr="005D3A9F">
              <w:rPr>
                <w:b/>
                <w:bCs/>
                <w:sz w:val="28"/>
                <w:szCs w:val="28"/>
                <w:lang w:val="uk-UA"/>
              </w:rPr>
              <w:t>службу за призовом осіб із числа</w:t>
            </w:r>
            <w:r w:rsidRPr="005D3A9F">
              <w:rPr>
                <w:b/>
                <w:bCs/>
                <w:sz w:val="28"/>
                <w:szCs w:val="28"/>
                <w:lang w:val="uk-UA"/>
              </w:rPr>
              <w:t xml:space="preserve"> резервістів в особливий період, має найманих працівників і на строк своєї військової служби за призовом осіб із числа резервістів в особливий період, уповноважує іншу особу на виплату найманим працівникам заробітної плати та/або інших доходів, то обов'язок з нарахування та утримання податку на </w:t>
            </w:r>
            <w:r w:rsidRPr="005D3A9F">
              <w:rPr>
                <w:b/>
                <w:bCs/>
                <w:sz w:val="28"/>
                <w:szCs w:val="28"/>
                <w:lang w:val="uk-UA"/>
              </w:rPr>
              <w:lastRenderedPageBreak/>
              <w:t>доходи фізичних осіб з таких виплат на строк військової служби самозайнятої особи несе ця уповноважена особа.</w:t>
            </w:r>
          </w:p>
          <w:p w:rsidR="00576B35" w:rsidRPr="005D3A9F" w:rsidRDefault="00576B35" w:rsidP="00513232">
            <w:pPr>
              <w:spacing w:before="120" w:line="235" w:lineRule="auto"/>
              <w:jc w:val="both"/>
              <w:rPr>
                <w:b/>
                <w:bCs/>
                <w:sz w:val="28"/>
                <w:szCs w:val="28"/>
                <w:lang w:val="uk-UA"/>
              </w:rPr>
            </w:pPr>
            <w:r w:rsidRPr="005D3A9F">
              <w:rPr>
                <w:b/>
                <w:bCs/>
                <w:sz w:val="28"/>
                <w:szCs w:val="28"/>
                <w:lang w:val="uk-UA"/>
              </w:rPr>
              <w:t>Податок на доходи фізичних осіб, що був нарахований та утриманий уповноваженою особою з таких виплат фізичним особам, сплачується до бюджету звільненою з військової служби за призовом осіб із числа резервістів в особливий період самозайнятою особою протягом 180 календарних днів з першого дня її звільнення з такої служби без нарахування штрафних і фінансових санкцій. При цьому звільнена з військової служби за призовом осіб із числа резервістів в особливий період самозайнята особа у заяві, передбаченій у цьому пункті, зазначає дані про суми нарахованого та утриманого уповноваженою особою податку з найманих працівників протягом строку військової служби самозайнятої особи.</w:t>
            </w:r>
          </w:p>
          <w:p w:rsidR="00D94C64" w:rsidRPr="005D3A9F" w:rsidRDefault="00576B35" w:rsidP="00C752BC">
            <w:pPr>
              <w:spacing w:before="120" w:after="120" w:line="235" w:lineRule="auto"/>
              <w:jc w:val="both"/>
              <w:rPr>
                <w:b/>
                <w:bCs/>
                <w:sz w:val="28"/>
                <w:szCs w:val="28"/>
                <w:lang w:val="uk-UA"/>
              </w:rPr>
            </w:pPr>
            <w:r w:rsidRPr="005D3A9F">
              <w:rPr>
                <w:b/>
                <w:bCs/>
                <w:sz w:val="28"/>
                <w:szCs w:val="28"/>
                <w:lang w:val="uk-UA"/>
              </w:rPr>
              <w:t>Податкова звітність про суми податку, нарахованого та утриманого протягом строку військової служби самозайнятої особи уповноваженою особою з найманих працівників та інших фізичних осіб, подається звільненою з військової служби за призовом осіб із числа резервістів в особливий період самозайнятою особою у порядку та строки, встановлені цим Кодексом, без нарахування штрафних і фінансових санкцій, передбачених цим Кодексом.</w:t>
            </w:r>
          </w:p>
          <w:p w:rsidR="005310D6" w:rsidRPr="005D3A9F" w:rsidRDefault="005310D6" w:rsidP="005310D6">
            <w:pPr>
              <w:spacing w:line="235" w:lineRule="auto"/>
              <w:jc w:val="both"/>
              <w:rPr>
                <w:bCs/>
                <w:sz w:val="28"/>
                <w:szCs w:val="28"/>
                <w:lang w:val="uk-UA"/>
              </w:rPr>
            </w:pPr>
            <w:r w:rsidRPr="005D3A9F">
              <w:rPr>
                <w:bCs/>
                <w:sz w:val="28"/>
                <w:szCs w:val="28"/>
                <w:lang w:val="uk-UA"/>
              </w:rPr>
              <w:t xml:space="preserve">26. На період дії Закону України "Про забезпечення прав і свобод громадян та правовий режим на тимчасово окупованій території України" цей Кодекс застосовується з </w:t>
            </w:r>
            <w:r w:rsidRPr="005D3A9F">
              <w:rPr>
                <w:bCs/>
                <w:sz w:val="28"/>
                <w:szCs w:val="28"/>
                <w:lang w:val="uk-UA"/>
              </w:rPr>
              <w:lastRenderedPageBreak/>
              <w:t>урахуванням особливостей, визначених Законом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p>
          <w:p w:rsidR="00576B35" w:rsidRPr="005D3A9F" w:rsidRDefault="00576B35" w:rsidP="00C752BC">
            <w:pPr>
              <w:spacing w:after="240" w:line="235" w:lineRule="auto"/>
              <w:jc w:val="both"/>
              <w:rPr>
                <w:bCs/>
                <w:sz w:val="28"/>
                <w:szCs w:val="28"/>
                <w:lang w:val="uk-UA"/>
              </w:rPr>
            </w:pPr>
            <w:r w:rsidRPr="005D3A9F">
              <w:rPr>
                <w:bCs/>
                <w:sz w:val="28"/>
                <w:szCs w:val="28"/>
                <w:lang w:val="uk-UA"/>
              </w:rPr>
              <w:t>…</w:t>
            </w:r>
          </w:p>
        </w:tc>
      </w:tr>
    </w:tbl>
    <w:p w:rsidR="009A6BC9" w:rsidRPr="005D3A9F" w:rsidRDefault="009A6BC9" w:rsidP="00513232">
      <w:pPr>
        <w:spacing w:line="235" w:lineRule="auto"/>
        <w:rPr>
          <w:sz w:val="28"/>
          <w:szCs w:val="28"/>
          <w:lang w:val="uk-UA"/>
        </w:rPr>
      </w:pPr>
    </w:p>
    <w:p w:rsidR="00534F55" w:rsidRPr="005D3A9F" w:rsidRDefault="00534F55" w:rsidP="00513232">
      <w:pPr>
        <w:spacing w:line="235" w:lineRule="auto"/>
        <w:rPr>
          <w:sz w:val="28"/>
          <w:szCs w:val="28"/>
          <w:lang w:val="uk-UA"/>
        </w:rPr>
      </w:pPr>
    </w:p>
    <w:p w:rsidR="005310D6" w:rsidRPr="005D3A9F" w:rsidRDefault="00534F55" w:rsidP="00513232">
      <w:pPr>
        <w:spacing w:line="235" w:lineRule="auto"/>
        <w:ind w:left="993"/>
        <w:rPr>
          <w:sz w:val="28"/>
          <w:szCs w:val="28"/>
          <w:lang w:val="uk-UA"/>
        </w:rPr>
      </w:pPr>
      <w:r w:rsidRPr="005D3A9F">
        <w:rPr>
          <w:sz w:val="28"/>
          <w:szCs w:val="28"/>
          <w:lang w:val="uk-UA"/>
        </w:rPr>
        <w:t xml:space="preserve">    </w:t>
      </w:r>
    </w:p>
    <w:p w:rsidR="000F68B2" w:rsidRPr="005D3A9F" w:rsidRDefault="000F68B2" w:rsidP="00513232">
      <w:pPr>
        <w:spacing w:line="235" w:lineRule="auto"/>
        <w:ind w:left="993"/>
        <w:rPr>
          <w:sz w:val="28"/>
          <w:szCs w:val="28"/>
          <w:lang w:val="uk-UA"/>
        </w:rPr>
      </w:pPr>
      <w:r w:rsidRPr="005D3A9F">
        <w:rPr>
          <w:sz w:val="28"/>
          <w:szCs w:val="28"/>
          <w:lang w:val="uk-UA"/>
        </w:rPr>
        <w:t xml:space="preserve">Заступник </w:t>
      </w:r>
      <w:r w:rsidR="00534F55" w:rsidRPr="005D3A9F">
        <w:rPr>
          <w:sz w:val="28"/>
          <w:szCs w:val="28"/>
          <w:lang w:val="uk-UA"/>
        </w:rPr>
        <w:t>Керівника</w:t>
      </w:r>
    </w:p>
    <w:p w:rsidR="001E1B26" w:rsidRPr="002570F6" w:rsidRDefault="005310D6" w:rsidP="005310D6">
      <w:pPr>
        <w:spacing w:line="235" w:lineRule="auto"/>
        <w:rPr>
          <w:lang w:val="uk-UA"/>
        </w:rPr>
      </w:pPr>
      <w:r w:rsidRPr="005D3A9F">
        <w:rPr>
          <w:sz w:val="28"/>
          <w:szCs w:val="28"/>
          <w:lang w:val="uk-UA"/>
        </w:rPr>
        <w:t xml:space="preserve">        </w:t>
      </w:r>
      <w:r w:rsidR="00534F55" w:rsidRPr="005D3A9F">
        <w:rPr>
          <w:sz w:val="28"/>
          <w:szCs w:val="28"/>
          <w:lang w:val="uk-UA"/>
        </w:rPr>
        <w:t>Офісу</w:t>
      </w:r>
      <w:r w:rsidR="000F68B2" w:rsidRPr="005D3A9F">
        <w:rPr>
          <w:sz w:val="28"/>
          <w:szCs w:val="28"/>
          <w:lang w:val="uk-UA"/>
        </w:rPr>
        <w:t xml:space="preserve"> Президента України                                                                                          </w:t>
      </w:r>
      <w:r w:rsidR="00DC0B21" w:rsidRPr="005D3A9F">
        <w:rPr>
          <w:sz w:val="28"/>
          <w:szCs w:val="28"/>
          <w:lang w:val="uk-UA"/>
        </w:rPr>
        <w:t xml:space="preserve">      </w:t>
      </w:r>
      <w:r w:rsidR="000F68B2" w:rsidRPr="005D3A9F">
        <w:rPr>
          <w:sz w:val="28"/>
          <w:szCs w:val="28"/>
          <w:lang w:val="uk-UA"/>
        </w:rPr>
        <w:t xml:space="preserve">  </w:t>
      </w:r>
      <w:r w:rsidR="00B40C55" w:rsidRPr="005D3A9F">
        <w:rPr>
          <w:sz w:val="28"/>
          <w:szCs w:val="28"/>
          <w:lang w:val="uk-UA"/>
        </w:rPr>
        <w:t xml:space="preserve">                </w:t>
      </w:r>
      <w:r w:rsidR="000F68B2" w:rsidRPr="005D3A9F">
        <w:rPr>
          <w:sz w:val="28"/>
          <w:szCs w:val="28"/>
          <w:lang w:val="uk-UA"/>
        </w:rPr>
        <w:t xml:space="preserve">  </w:t>
      </w:r>
      <w:r w:rsidR="002E60DC">
        <w:rPr>
          <w:b/>
          <w:sz w:val="28"/>
          <w:szCs w:val="28"/>
          <w:lang w:val="uk-UA"/>
        </w:rPr>
        <w:t>Р.Машовець</w:t>
      </w:r>
      <w:bookmarkStart w:id="0" w:name="_GoBack"/>
      <w:bookmarkEnd w:id="0"/>
    </w:p>
    <w:sectPr w:rsidR="001E1B26" w:rsidRPr="002570F6" w:rsidSect="00F02458">
      <w:headerReference w:type="even" r:id="rId7"/>
      <w:headerReference w:type="default" r:id="rId8"/>
      <w:pgSz w:w="16838" w:h="11906" w:orient="landscape" w:code="9"/>
      <w:pgMar w:top="1701" w:right="1134" w:bottom="851"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E7" w:rsidRDefault="005A04E7">
      <w:r>
        <w:separator/>
      </w:r>
    </w:p>
  </w:endnote>
  <w:endnote w:type="continuationSeparator" w:id="0">
    <w:p w:rsidR="005A04E7" w:rsidRDefault="005A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E7" w:rsidRDefault="005A04E7">
      <w:r>
        <w:separator/>
      </w:r>
    </w:p>
  </w:footnote>
  <w:footnote w:type="continuationSeparator" w:id="0">
    <w:p w:rsidR="005A04E7" w:rsidRDefault="005A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AA" w:rsidRDefault="00A535AA" w:rsidP="00D405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35AA" w:rsidRDefault="00A535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AA" w:rsidRPr="00EA4D71" w:rsidRDefault="00A535AA" w:rsidP="00D40553">
    <w:pPr>
      <w:pStyle w:val="a4"/>
      <w:framePr w:wrap="around" w:vAnchor="text" w:hAnchor="margin" w:xAlign="center" w:y="1"/>
      <w:rPr>
        <w:rStyle w:val="a6"/>
        <w:sz w:val="28"/>
        <w:szCs w:val="28"/>
      </w:rPr>
    </w:pPr>
    <w:r w:rsidRPr="00EA4D71">
      <w:rPr>
        <w:rStyle w:val="a6"/>
        <w:sz w:val="28"/>
        <w:szCs w:val="28"/>
      </w:rPr>
      <w:fldChar w:fldCharType="begin"/>
    </w:r>
    <w:r w:rsidRPr="00EA4D71">
      <w:rPr>
        <w:rStyle w:val="a6"/>
        <w:sz w:val="28"/>
        <w:szCs w:val="28"/>
      </w:rPr>
      <w:instrText xml:space="preserve">PAGE  </w:instrText>
    </w:r>
    <w:r w:rsidRPr="00EA4D71">
      <w:rPr>
        <w:rStyle w:val="a6"/>
        <w:sz w:val="28"/>
        <w:szCs w:val="28"/>
      </w:rPr>
      <w:fldChar w:fldCharType="separate"/>
    </w:r>
    <w:r w:rsidR="002E60DC">
      <w:rPr>
        <w:rStyle w:val="a6"/>
        <w:noProof/>
        <w:sz w:val="28"/>
        <w:szCs w:val="28"/>
      </w:rPr>
      <w:t>8</w:t>
    </w:r>
    <w:r w:rsidRPr="00EA4D71">
      <w:rPr>
        <w:rStyle w:val="a6"/>
        <w:sz w:val="28"/>
        <w:szCs w:val="28"/>
      </w:rPr>
      <w:fldChar w:fldCharType="end"/>
    </w:r>
  </w:p>
  <w:p w:rsidR="00A535AA" w:rsidRDefault="00A535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D3"/>
    <w:rsid w:val="00011E7E"/>
    <w:rsid w:val="00015615"/>
    <w:rsid w:val="00021B09"/>
    <w:rsid w:val="00030FD1"/>
    <w:rsid w:val="0003437B"/>
    <w:rsid w:val="00035794"/>
    <w:rsid w:val="000403FA"/>
    <w:rsid w:val="00042D18"/>
    <w:rsid w:val="0004545E"/>
    <w:rsid w:val="000467D8"/>
    <w:rsid w:val="00052EDB"/>
    <w:rsid w:val="00056397"/>
    <w:rsid w:val="00066CE0"/>
    <w:rsid w:val="00067E76"/>
    <w:rsid w:val="00071131"/>
    <w:rsid w:val="000777D2"/>
    <w:rsid w:val="000803F9"/>
    <w:rsid w:val="00086DA5"/>
    <w:rsid w:val="00090E25"/>
    <w:rsid w:val="00091518"/>
    <w:rsid w:val="000A54D0"/>
    <w:rsid w:val="000B0B5A"/>
    <w:rsid w:val="000B2AF3"/>
    <w:rsid w:val="000C2960"/>
    <w:rsid w:val="000C4459"/>
    <w:rsid w:val="000D12A3"/>
    <w:rsid w:val="000D5F34"/>
    <w:rsid w:val="000D77EC"/>
    <w:rsid w:val="000D7E50"/>
    <w:rsid w:val="000E728D"/>
    <w:rsid w:val="000F68B2"/>
    <w:rsid w:val="00104BAE"/>
    <w:rsid w:val="00113B73"/>
    <w:rsid w:val="00116874"/>
    <w:rsid w:val="00124305"/>
    <w:rsid w:val="00124DA5"/>
    <w:rsid w:val="001258C2"/>
    <w:rsid w:val="00127EBE"/>
    <w:rsid w:val="00130A51"/>
    <w:rsid w:val="00135B29"/>
    <w:rsid w:val="00142303"/>
    <w:rsid w:val="00174CE5"/>
    <w:rsid w:val="001808F2"/>
    <w:rsid w:val="00186CC2"/>
    <w:rsid w:val="00190398"/>
    <w:rsid w:val="00191523"/>
    <w:rsid w:val="001A1021"/>
    <w:rsid w:val="001A2300"/>
    <w:rsid w:val="001A4161"/>
    <w:rsid w:val="001A5364"/>
    <w:rsid w:val="001A7CD7"/>
    <w:rsid w:val="001B2AF9"/>
    <w:rsid w:val="001C4A42"/>
    <w:rsid w:val="001D6CA4"/>
    <w:rsid w:val="001D7A97"/>
    <w:rsid w:val="001E0466"/>
    <w:rsid w:val="001E0EFF"/>
    <w:rsid w:val="001E1B26"/>
    <w:rsid w:val="001E379E"/>
    <w:rsid w:val="001F3897"/>
    <w:rsid w:val="001F4B7C"/>
    <w:rsid w:val="001F4E66"/>
    <w:rsid w:val="00201FA8"/>
    <w:rsid w:val="00205AC2"/>
    <w:rsid w:val="002131A9"/>
    <w:rsid w:val="00217171"/>
    <w:rsid w:val="00222D3C"/>
    <w:rsid w:val="00232CBF"/>
    <w:rsid w:val="0023737A"/>
    <w:rsid w:val="00256EC5"/>
    <w:rsid w:val="00256EEC"/>
    <w:rsid w:val="002570F6"/>
    <w:rsid w:val="00262C48"/>
    <w:rsid w:val="00275053"/>
    <w:rsid w:val="00284BE3"/>
    <w:rsid w:val="002911F2"/>
    <w:rsid w:val="00294AB4"/>
    <w:rsid w:val="002A4970"/>
    <w:rsid w:val="002B42F4"/>
    <w:rsid w:val="002B4E7D"/>
    <w:rsid w:val="002B725D"/>
    <w:rsid w:val="002C3AB8"/>
    <w:rsid w:val="002C40EA"/>
    <w:rsid w:val="002C505A"/>
    <w:rsid w:val="002C53D7"/>
    <w:rsid w:val="002D6EA1"/>
    <w:rsid w:val="002E60DC"/>
    <w:rsid w:val="0031781C"/>
    <w:rsid w:val="003325D5"/>
    <w:rsid w:val="00333DE4"/>
    <w:rsid w:val="00337CAD"/>
    <w:rsid w:val="00337DFD"/>
    <w:rsid w:val="003459D8"/>
    <w:rsid w:val="0035084D"/>
    <w:rsid w:val="0035136D"/>
    <w:rsid w:val="00351CAB"/>
    <w:rsid w:val="003563F2"/>
    <w:rsid w:val="003611CA"/>
    <w:rsid w:val="00365406"/>
    <w:rsid w:val="00371991"/>
    <w:rsid w:val="00377224"/>
    <w:rsid w:val="0037771A"/>
    <w:rsid w:val="0038073A"/>
    <w:rsid w:val="00385941"/>
    <w:rsid w:val="003908B5"/>
    <w:rsid w:val="003919DB"/>
    <w:rsid w:val="003953C7"/>
    <w:rsid w:val="003A5710"/>
    <w:rsid w:val="003B3B2E"/>
    <w:rsid w:val="003D42AF"/>
    <w:rsid w:val="003E1283"/>
    <w:rsid w:val="003F14B1"/>
    <w:rsid w:val="003F7856"/>
    <w:rsid w:val="003F7A02"/>
    <w:rsid w:val="00405875"/>
    <w:rsid w:val="004104AA"/>
    <w:rsid w:val="00412A69"/>
    <w:rsid w:val="004150F1"/>
    <w:rsid w:val="00422A7F"/>
    <w:rsid w:val="0043074A"/>
    <w:rsid w:val="00430E4F"/>
    <w:rsid w:val="004356C9"/>
    <w:rsid w:val="00441256"/>
    <w:rsid w:val="004423B9"/>
    <w:rsid w:val="00442FAD"/>
    <w:rsid w:val="00447E85"/>
    <w:rsid w:val="00453977"/>
    <w:rsid w:val="00455C39"/>
    <w:rsid w:val="00456B20"/>
    <w:rsid w:val="004605A1"/>
    <w:rsid w:val="00462501"/>
    <w:rsid w:val="00462880"/>
    <w:rsid w:val="00464B7E"/>
    <w:rsid w:val="00467A24"/>
    <w:rsid w:val="00470883"/>
    <w:rsid w:val="00473E24"/>
    <w:rsid w:val="0047470E"/>
    <w:rsid w:val="00475284"/>
    <w:rsid w:val="00475423"/>
    <w:rsid w:val="0047767F"/>
    <w:rsid w:val="0047779E"/>
    <w:rsid w:val="00477DA1"/>
    <w:rsid w:val="00482FFA"/>
    <w:rsid w:val="00492591"/>
    <w:rsid w:val="00496CD3"/>
    <w:rsid w:val="004A30F4"/>
    <w:rsid w:val="004A36D3"/>
    <w:rsid w:val="004A5A69"/>
    <w:rsid w:val="004B44C3"/>
    <w:rsid w:val="004B50C5"/>
    <w:rsid w:val="004B7A6E"/>
    <w:rsid w:val="004B7FDD"/>
    <w:rsid w:val="004C20B0"/>
    <w:rsid w:val="004C4CC7"/>
    <w:rsid w:val="004C54E3"/>
    <w:rsid w:val="004D034D"/>
    <w:rsid w:val="004D05E1"/>
    <w:rsid w:val="004D0FA4"/>
    <w:rsid w:val="004D2860"/>
    <w:rsid w:val="004D2993"/>
    <w:rsid w:val="004D4893"/>
    <w:rsid w:val="004E1924"/>
    <w:rsid w:val="004E3CE5"/>
    <w:rsid w:val="004E4B12"/>
    <w:rsid w:val="004E72C0"/>
    <w:rsid w:val="004F562E"/>
    <w:rsid w:val="005114E2"/>
    <w:rsid w:val="00513232"/>
    <w:rsid w:val="00514F1C"/>
    <w:rsid w:val="00515436"/>
    <w:rsid w:val="005310D6"/>
    <w:rsid w:val="005311F4"/>
    <w:rsid w:val="00533BD7"/>
    <w:rsid w:val="00534F55"/>
    <w:rsid w:val="005423BD"/>
    <w:rsid w:val="00555715"/>
    <w:rsid w:val="005633CF"/>
    <w:rsid w:val="00575D39"/>
    <w:rsid w:val="005768E6"/>
    <w:rsid w:val="00576B35"/>
    <w:rsid w:val="00586140"/>
    <w:rsid w:val="005879B3"/>
    <w:rsid w:val="00587AEA"/>
    <w:rsid w:val="005929DC"/>
    <w:rsid w:val="005A04E7"/>
    <w:rsid w:val="005A6813"/>
    <w:rsid w:val="005B0BB1"/>
    <w:rsid w:val="005B3C8C"/>
    <w:rsid w:val="005B7994"/>
    <w:rsid w:val="005C0807"/>
    <w:rsid w:val="005D208E"/>
    <w:rsid w:val="005D3A9F"/>
    <w:rsid w:val="005D5A07"/>
    <w:rsid w:val="005D5FC4"/>
    <w:rsid w:val="005D7F1A"/>
    <w:rsid w:val="005E0E2B"/>
    <w:rsid w:val="005F51AB"/>
    <w:rsid w:val="00600906"/>
    <w:rsid w:val="00607BCB"/>
    <w:rsid w:val="006114D3"/>
    <w:rsid w:val="00624420"/>
    <w:rsid w:val="00635FC9"/>
    <w:rsid w:val="0065039A"/>
    <w:rsid w:val="00650DB7"/>
    <w:rsid w:val="00651091"/>
    <w:rsid w:val="00653D02"/>
    <w:rsid w:val="0066203D"/>
    <w:rsid w:val="006826D0"/>
    <w:rsid w:val="006864F3"/>
    <w:rsid w:val="0068701D"/>
    <w:rsid w:val="006A7024"/>
    <w:rsid w:val="006B0C94"/>
    <w:rsid w:val="006B380F"/>
    <w:rsid w:val="006B5035"/>
    <w:rsid w:val="006B62F3"/>
    <w:rsid w:val="006C3068"/>
    <w:rsid w:val="006D3A7D"/>
    <w:rsid w:val="006E0965"/>
    <w:rsid w:val="006E305A"/>
    <w:rsid w:val="006F14F2"/>
    <w:rsid w:val="006F19BD"/>
    <w:rsid w:val="006F5ABA"/>
    <w:rsid w:val="006F60A9"/>
    <w:rsid w:val="006F62D0"/>
    <w:rsid w:val="0071001D"/>
    <w:rsid w:val="00712EEC"/>
    <w:rsid w:val="0071498B"/>
    <w:rsid w:val="0072119C"/>
    <w:rsid w:val="007250E9"/>
    <w:rsid w:val="00725798"/>
    <w:rsid w:val="007307AA"/>
    <w:rsid w:val="00732154"/>
    <w:rsid w:val="00737C4B"/>
    <w:rsid w:val="0074423A"/>
    <w:rsid w:val="00750A90"/>
    <w:rsid w:val="0075223A"/>
    <w:rsid w:val="00754D05"/>
    <w:rsid w:val="007624D8"/>
    <w:rsid w:val="0076589D"/>
    <w:rsid w:val="00766B0B"/>
    <w:rsid w:val="007723D7"/>
    <w:rsid w:val="00775AAB"/>
    <w:rsid w:val="007760FA"/>
    <w:rsid w:val="007A564B"/>
    <w:rsid w:val="007A7C6A"/>
    <w:rsid w:val="007B4B30"/>
    <w:rsid w:val="007B57A2"/>
    <w:rsid w:val="007C68A1"/>
    <w:rsid w:val="007C6F66"/>
    <w:rsid w:val="007D2537"/>
    <w:rsid w:val="007D2F6E"/>
    <w:rsid w:val="007E2FFF"/>
    <w:rsid w:val="007E50D8"/>
    <w:rsid w:val="007F0196"/>
    <w:rsid w:val="007F1F56"/>
    <w:rsid w:val="00802745"/>
    <w:rsid w:val="008101A9"/>
    <w:rsid w:val="00812347"/>
    <w:rsid w:val="00813976"/>
    <w:rsid w:val="00816DF6"/>
    <w:rsid w:val="00817B38"/>
    <w:rsid w:val="008236C5"/>
    <w:rsid w:val="00827F85"/>
    <w:rsid w:val="008337F5"/>
    <w:rsid w:val="00833992"/>
    <w:rsid w:val="00835B93"/>
    <w:rsid w:val="00841678"/>
    <w:rsid w:val="00841C6D"/>
    <w:rsid w:val="00847773"/>
    <w:rsid w:val="008742D9"/>
    <w:rsid w:val="00885F30"/>
    <w:rsid w:val="00890C6F"/>
    <w:rsid w:val="00896DBD"/>
    <w:rsid w:val="008974BF"/>
    <w:rsid w:val="008A5C63"/>
    <w:rsid w:val="008B06FF"/>
    <w:rsid w:val="008B0FDB"/>
    <w:rsid w:val="008B4FB5"/>
    <w:rsid w:val="008C043F"/>
    <w:rsid w:val="008C44F9"/>
    <w:rsid w:val="008C59AC"/>
    <w:rsid w:val="008E1F6E"/>
    <w:rsid w:val="008E4ED5"/>
    <w:rsid w:val="008E76B7"/>
    <w:rsid w:val="008F20EA"/>
    <w:rsid w:val="0090054E"/>
    <w:rsid w:val="00900A95"/>
    <w:rsid w:val="00902539"/>
    <w:rsid w:val="00911809"/>
    <w:rsid w:val="0091182F"/>
    <w:rsid w:val="00914294"/>
    <w:rsid w:val="00915220"/>
    <w:rsid w:val="00915574"/>
    <w:rsid w:val="00920306"/>
    <w:rsid w:val="00923098"/>
    <w:rsid w:val="009328F0"/>
    <w:rsid w:val="009338F6"/>
    <w:rsid w:val="00934314"/>
    <w:rsid w:val="00934C4F"/>
    <w:rsid w:val="009372E4"/>
    <w:rsid w:val="00937CC4"/>
    <w:rsid w:val="00941898"/>
    <w:rsid w:val="009419C4"/>
    <w:rsid w:val="009442AA"/>
    <w:rsid w:val="0095124E"/>
    <w:rsid w:val="00951BE6"/>
    <w:rsid w:val="00954CC9"/>
    <w:rsid w:val="009615AD"/>
    <w:rsid w:val="00967396"/>
    <w:rsid w:val="009720F5"/>
    <w:rsid w:val="00972801"/>
    <w:rsid w:val="00976146"/>
    <w:rsid w:val="00980EE9"/>
    <w:rsid w:val="0099140F"/>
    <w:rsid w:val="00997468"/>
    <w:rsid w:val="009A356A"/>
    <w:rsid w:val="009A6BC9"/>
    <w:rsid w:val="009C0130"/>
    <w:rsid w:val="009C4FC3"/>
    <w:rsid w:val="009D0D42"/>
    <w:rsid w:val="009D23A2"/>
    <w:rsid w:val="009D2D8A"/>
    <w:rsid w:val="009D3166"/>
    <w:rsid w:val="009D6C98"/>
    <w:rsid w:val="009E2733"/>
    <w:rsid w:val="009E5469"/>
    <w:rsid w:val="009F1EED"/>
    <w:rsid w:val="009F3E52"/>
    <w:rsid w:val="009F672E"/>
    <w:rsid w:val="00A05436"/>
    <w:rsid w:val="00A119B0"/>
    <w:rsid w:val="00A128AB"/>
    <w:rsid w:val="00A16D94"/>
    <w:rsid w:val="00A275AA"/>
    <w:rsid w:val="00A37779"/>
    <w:rsid w:val="00A41955"/>
    <w:rsid w:val="00A42682"/>
    <w:rsid w:val="00A46106"/>
    <w:rsid w:val="00A51C22"/>
    <w:rsid w:val="00A51D60"/>
    <w:rsid w:val="00A5226A"/>
    <w:rsid w:val="00A535AA"/>
    <w:rsid w:val="00A62D01"/>
    <w:rsid w:val="00A6529C"/>
    <w:rsid w:val="00A747EC"/>
    <w:rsid w:val="00A82776"/>
    <w:rsid w:val="00A872C2"/>
    <w:rsid w:val="00A90DC0"/>
    <w:rsid w:val="00AA71FE"/>
    <w:rsid w:val="00AA7701"/>
    <w:rsid w:val="00AC661E"/>
    <w:rsid w:val="00AD2029"/>
    <w:rsid w:val="00AE4D6B"/>
    <w:rsid w:val="00AE734B"/>
    <w:rsid w:val="00AE799B"/>
    <w:rsid w:val="00AF3B62"/>
    <w:rsid w:val="00AF6649"/>
    <w:rsid w:val="00AF77A5"/>
    <w:rsid w:val="00B13689"/>
    <w:rsid w:val="00B26C0C"/>
    <w:rsid w:val="00B31663"/>
    <w:rsid w:val="00B3392D"/>
    <w:rsid w:val="00B348FD"/>
    <w:rsid w:val="00B40C55"/>
    <w:rsid w:val="00B45A0C"/>
    <w:rsid w:val="00B55719"/>
    <w:rsid w:val="00B567F0"/>
    <w:rsid w:val="00B62915"/>
    <w:rsid w:val="00B7675D"/>
    <w:rsid w:val="00B81409"/>
    <w:rsid w:val="00B85B43"/>
    <w:rsid w:val="00B90D9E"/>
    <w:rsid w:val="00B9328F"/>
    <w:rsid w:val="00B96620"/>
    <w:rsid w:val="00BA6DDD"/>
    <w:rsid w:val="00BA712C"/>
    <w:rsid w:val="00BB0277"/>
    <w:rsid w:val="00BB1D88"/>
    <w:rsid w:val="00BB1FE2"/>
    <w:rsid w:val="00BB2D93"/>
    <w:rsid w:val="00BB3820"/>
    <w:rsid w:val="00BB52CF"/>
    <w:rsid w:val="00BB7BFE"/>
    <w:rsid w:val="00BC1083"/>
    <w:rsid w:val="00BD427B"/>
    <w:rsid w:val="00BD50C8"/>
    <w:rsid w:val="00BD5925"/>
    <w:rsid w:val="00BD5C7B"/>
    <w:rsid w:val="00BD6742"/>
    <w:rsid w:val="00BD6B48"/>
    <w:rsid w:val="00BE0CDD"/>
    <w:rsid w:val="00BE2541"/>
    <w:rsid w:val="00BE2AB8"/>
    <w:rsid w:val="00BE3950"/>
    <w:rsid w:val="00BE44F3"/>
    <w:rsid w:val="00BF16B6"/>
    <w:rsid w:val="00C03E99"/>
    <w:rsid w:val="00C06573"/>
    <w:rsid w:val="00C13DC5"/>
    <w:rsid w:val="00C406D3"/>
    <w:rsid w:val="00C40AEB"/>
    <w:rsid w:val="00C43902"/>
    <w:rsid w:val="00C4394C"/>
    <w:rsid w:val="00C5027C"/>
    <w:rsid w:val="00C61A51"/>
    <w:rsid w:val="00C679B2"/>
    <w:rsid w:val="00C74382"/>
    <w:rsid w:val="00C752BC"/>
    <w:rsid w:val="00C838E8"/>
    <w:rsid w:val="00C91D65"/>
    <w:rsid w:val="00C923AF"/>
    <w:rsid w:val="00CA4D18"/>
    <w:rsid w:val="00CA7F7A"/>
    <w:rsid w:val="00CB253F"/>
    <w:rsid w:val="00CB25AC"/>
    <w:rsid w:val="00CB44B9"/>
    <w:rsid w:val="00CB4F49"/>
    <w:rsid w:val="00CB78AE"/>
    <w:rsid w:val="00CC142E"/>
    <w:rsid w:val="00CC469E"/>
    <w:rsid w:val="00CC621D"/>
    <w:rsid w:val="00CC759C"/>
    <w:rsid w:val="00CD5AF8"/>
    <w:rsid w:val="00CD6702"/>
    <w:rsid w:val="00D130AD"/>
    <w:rsid w:val="00D14D75"/>
    <w:rsid w:val="00D14E63"/>
    <w:rsid w:val="00D15C04"/>
    <w:rsid w:val="00D219BC"/>
    <w:rsid w:val="00D32BB7"/>
    <w:rsid w:val="00D33037"/>
    <w:rsid w:val="00D33C13"/>
    <w:rsid w:val="00D35681"/>
    <w:rsid w:val="00D40553"/>
    <w:rsid w:val="00D4509A"/>
    <w:rsid w:val="00D518D2"/>
    <w:rsid w:val="00D54A83"/>
    <w:rsid w:val="00D619BD"/>
    <w:rsid w:val="00D62F1E"/>
    <w:rsid w:val="00D63F6C"/>
    <w:rsid w:val="00D7105B"/>
    <w:rsid w:val="00D73778"/>
    <w:rsid w:val="00D74246"/>
    <w:rsid w:val="00D766F8"/>
    <w:rsid w:val="00D82D95"/>
    <w:rsid w:val="00D851E9"/>
    <w:rsid w:val="00D85FEC"/>
    <w:rsid w:val="00D8680A"/>
    <w:rsid w:val="00D90803"/>
    <w:rsid w:val="00D94C64"/>
    <w:rsid w:val="00DC0B21"/>
    <w:rsid w:val="00DD75EC"/>
    <w:rsid w:val="00DD7F10"/>
    <w:rsid w:val="00DE19EC"/>
    <w:rsid w:val="00DE55DD"/>
    <w:rsid w:val="00DE6FCB"/>
    <w:rsid w:val="00E038F2"/>
    <w:rsid w:val="00E13BAD"/>
    <w:rsid w:val="00E1459D"/>
    <w:rsid w:val="00E152D0"/>
    <w:rsid w:val="00E17AD4"/>
    <w:rsid w:val="00E32560"/>
    <w:rsid w:val="00E3293B"/>
    <w:rsid w:val="00E44C4A"/>
    <w:rsid w:val="00E450D6"/>
    <w:rsid w:val="00E5716C"/>
    <w:rsid w:val="00E6351A"/>
    <w:rsid w:val="00E74626"/>
    <w:rsid w:val="00E81E57"/>
    <w:rsid w:val="00E82ECA"/>
    <w:rsid w:val="00E8571B"/>
    <w:rsid w:val="00E86303"/>
    <w:rsid w:val="00E90CF7"/>
    <w:rsid w:val="00E959B3"/>
    <w:rsid w:val="00EA22D1"/>
    <w:rsid w:val="00EA3F77"/>
    <w:rsid w:val="00EA4D71"/>
    <w:rsid w:val="00EC3FD2"/>
    <w:rsid w:val="00ED30CA"/>
    <w:rsid w:val="00ED34E4"/>
    <w:rsid w:val="00EE0EB3"/>
    <w:rsid w:val="00EE6BCC"/>
    <w:rsid w:val="00EE7613"/>
    <w:rsid w:val="00EF0F15"/>
    <w:rsid w:val="00EF5155"/>
    <w:rsid w:val="00EF5BB2"/>
    <w:rsid w:val="00F02458"/>
    <w:rsid w:val="00F040D5"/>
    <w:rsid w:val="00F118C7"/>
    <w:rsid w:val="00F126AF"/>
    <w:rsid w:val="00F15F61"/>
    <w:rsid w:val="00F25FFF"/>
    <w:rsid w:val="00F26ACC"/>
    <w:rsid w:val="00F3074B"/>
    <w:rsid w:val="00F31931"/>
    <w:rsid w:val="00F40C04"/>
    <w:rsid w:val="00F468F5"/>
    <w:rsid w:val="00F51F45"/>
    <w:rsid w:val="00F600AB"/>
    <w:rsid w:val="00F60589"/>
    <w:rsid w:val="00F72AA7"/>
    <w:rsid w:val="00F80504"/>
    <w:rsid w:val="00F84A6C"/>
    <w:rsid w:val="00F85C37"/>
    <w:rsid w:val="00F900F7"/>
    <w:rsid w:val="00F92E4A"/>
    <w:rsid w:val="00FA07C7"/>
    <w:rsid w:val="00FA1B12"/>
    <w:rsid w:val="00FA3B0D"/>
    <w:rsid w:val="00FA7119"/>
    <w:rsid w:val="00FB274A"/>
    <w:rsid w:val="00FB2C50"/>
    <w:rsid w:val="00FC13CC"/>
    <w:rsid w:val="00FC2135"/>
    <w:rsid w:val="00FC37A4"/>
    <w:rsid w:val="00FC70FA"/>
    <w:rsid w:val="00FE206F"/>
    <w:rsid w:val="00FF09DC"/>
    <w:rsid w:val="00FF0AC4"/>
    <w:rsid w:val="00FF3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F6FA5"/>
  <w14:defaultImageDpi w14:val="0"/>
  <w15:docId w15:val="{80302474-B14E-479C-B9CC-09E77AE0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6D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06D3"/>
    <w:pPr>
      <w:spacing w:after="0" w:line="240" w:lineRule="auto"/>
    </w:pPr>
    <w:rPr>
      <w:sz w:val="28"/>
      <w:lang w:eastAsia="en-US"/>
    </w:rPr>
  </w:style>
  <w:style w:type="paragraph" w:styleId="HTML">
    <w:name w:val="HTML Preformatted"/>
    <w:basedOn w:val="a"/>
    <w:link w:val="HTML0"/>
    <w:uiPriority w:val="99"/>
    <w:rsid w:val="00835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ий HTML Знак"/>
    <w:basedOn w:val="a0"/>
    <w:link w:val="HTML"/>
    <w:uiPriority w:val="99"/>
    <w:locked/>
    <w:rsid w:val="00835B93"/>
    <w:rPr>
      <w:rFonts w:ascii="Courier New" w:hAnsi="Courier New" w:cs="Courier New"/>
      <w:color w:val="000000"/>
      <w:sz w:val="28"/>
      <w:szCs w:val="28"/>
      <w:lang w:val="ru-RU" w:eastAsia="ru-RU"/>
    </w:rPr>
  </w:style>
  <w:style w:type="paragraph" w:styleId="a4">
    <w:name w:val="header"/>
    <w:basedOn w:val="a"/>
    <w:link w:val="a5"/>
    <w:uiPriority w:val="99"/>
    <w:rsid w:val="00EA4D71"/>
    <w:pPr>
      <w:tabs>
        <w:tab w:val="center" w:pos="4677"/>
        <w:tab w:val="right" w:pos="9355"/>
      </w:tabs>
    </w:pPr>
  </w:style>
  <w:style w:type="character" w:customStyle="1" w:styleId="a5">
    <w:name w:val="Верхній колонтитул Знак"/>
    <w:basedOn w:val="a0"/>
    <w:link w:val="a4"/>
    <w:uiPriority w:val="99"/>
    <w:semiHidden/>
    <w:locked/>
    <w:rPr>
      <w:rFonts w:eastAsia="Times New Roman" w:cs="Times New Roman"/>
      <w:sz w:val="24"/>
      <w:szCs w:val="24"/>
    </w:rPr>
  </w:style>
  <w:style w:type="character" w:styleId="a6">
    <w:name w:val="page number"/>
    <w:basedOn w:val="a0"/>
    <w:uiPriority w:val="99"/>
    <w:rsid w:val="00EA4D71"/>
    <w:rPr>
      <w:rFonts w:cs="Times New Roman"/>
    </w:rPr>
  </w:style>
  <w:style w:type="paragraph" w:styleId="a7">
    <w:name w:val="footer"/>
    <w:basedOn w:val="a"/>
    <w:link w:val="a8"/>
    <w:uiPriority w:val="99"/>
    <w:rsid w:val="00EA4D71"/>
    <w:pPr>
      <w:tabs>
        <w:tab w:val="center" w:pos="4677"/>
        <w:tab w:val="right" w:pos="9355"/>
      </w:tabs>
    </w:pPr>
  </w:style>
  <w:style w:type="character" w:customStyle="1" w:styleId="a8">
    <w:name w:val="Нижній колонтитул Знак"/>
    <w:basedOn w:val="a0"/>
    <w:link w:val="a7"/>
    <w:uiPriority w:val="99"/>
    <w:semiHidden/>
    <w:locked/>
    <w:rPr>
      <w:rFonts w:eastAsia="Times New Roman" w:cs="Times New Roman"/>
      <w:sz w:val="24"/>
      <w:szCs w:val="24"/>
    </w:rPr>
  </w:style>
  <w:style w:type="paragraph" w:styleId="a9">
    <w:name w:val="Balloon Text"/>
    <w:basedOn w:val="a"/>
    <w:link w:val="aa"/>
    <w:uiPriority w:val="99"/>
    <w:semiHidden/>
    <w:rsid w:val="00D14D75"/>
    <w:rPr>
      <w:rFonts w:ascii="Tahoma" w:hAnsi="Tahoma" w:cs="Tahoma"/>
      <w:sz w:val="16"/>
      <w:szCs w:val="16"/>
    </w:rPr>
  </w:style>
  <w:style w:type="character" w:customStyle="1" w:styleId="aa">
    <w:name w:val="Текст у виносці Знак"/>
    <w:basedOn w:val="a0"/>
    <w:link w:val="a9"/>
    <w:uiPriority w:val="99"/>
    <w:semiHidden/>
    <w:locked/>
    <w:rPr>
      <w:rFonts w:eastAsia="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53476">
      <w:marLeft w:val="0"/>
      <w:marRight w:val="0"/>
      <w:marTop w:val="0"/>
      <w:marBottom w:val="0"/>
      <w:divBdr>
        <w:top w:val="none" w:sz="0" w:space="0" w:color="auto"/>
        <w:left w:val="none" w:sz="0" w:space="0" w:color="auto"/>
        <w:bottom w:val="none" w:sz="0" w:space="0" w:color="auto"/>
        <w:right w:val="none" w:sz="0" w:space="0" w:color="auto"/>
      </w:divBdr>
    </w:div>
    <w:div w:id="1376153477">
      <w:marLeft w:val="0"/>
      <w:marRight w:val="0"/>
      <w:marTop w:val="0"/>
      <w:marBottom w:val="0"/>
      <w:divBdr>
        <w:top w:val="none" w:sz="0" w:space="0" w:color="auto"/>
        <w:left w:val="none" w:sz="0" w:space="0" w:color="auto"/>
        <w:bottom w:val="none" w:sz="0" w:space="0" w:color="auto"/>
        <w:right w:val="none" w:sz="0" w:space="0" w:color="auto"/>
      </w:divBdr>
    </w:div>
    <w:div w:id="1376153478">
      <w:marLeft w:val="0"/>
      <w:marRight w:val="0"/>
      <w:marTop w:val="0"/>
      <w:marBottom w:val="0"/>
      <w:divBdr>
        <w:top w:val="none" w:sz="0" w:space="0" w:color="auto"/>
        <w:left w:val="none" w:sz="0" w:space="0" w:color="auto"/>
        <w:bottom w:val="none" w:sz="0" w:space="0" w:color="auto"/>
        <w:right w:val="none" w:sz="0" w:space="0" w:color="auto"/>
      </w:divBdr>
    </w:div>
    <w:div w:id="1376153479">
      <w:marLeft w:val="0"/>
      <w:marRight w:val="0"/>
      <w:marTop w:val="0"/>
      <w:marBottom w:val="0"/>
      <w:divBdr>
        <w:top w:val="none" w:sz="0" w:space="0" w:color="auto"/>
        <w:left w:val="none" w:sz="0" w:space="0" w:color="auto"/>
        <w:bottom w:val="none" w:sz="0" w:space="0" w:color="auto"/>
        <w:right w:val="none" w:sz="0" w:space="0" w:color="auto"/>
      </w:divBdr>
    </w:div>
    <w:div w:id="1376153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F78C-3B5D-4F6A-B3DB-FFCB04D7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9721</Words>
  <Characters>5542</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Mishenkov</dc:creator>
  <cp:keywords/>
  <dc:description/>
  <cp:lastModifiedBy>Попадик Ірина Віталіївна</cp:lastModifiedBy>
  <cp:revision>2</cp:revision>
  <cp:lastPrinted>2017-10-25T08:41:00Z</cp:lastPrinted>
  <dcterms:created xsi:type="dcterms:W3CDTF">2020-04-24T13:30:00Z</dcterms:created>
  <dcterms:modified xsi:type="dcterms:W3CDTF">2020-04-24T13:30:00Z</dcterms:modified>
</cp:coreProperties>
</file>