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4A" w:rsidRDefault="00B43D4A" w:rsidP="00B43D4A">
      <w:pPr>
        <w:pStyle w:val="StyleZakonu"/>
        <w:spacing w:after="0" w:line="240" w:lineRule="auto"/>
        <w:ind w:firstLine="720"/>
        <w:jc w:val="right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</w:t>
      </w:r>
      <w:r w:rsidRPr="00B43D4A">
        <w:rPr>
          <w:sz w:val="28"/>
          <w:bdr w:val="none" w:sz="0" w:space="0" w:color="auto" w:frame="1"/>
        </w:rPr>
        <w:t>роект</w:t>
      </w:r>
    </w:p>
    <w:p w:rsidR="00B43D4A" w:rsidRDefault="00B43D4A" w:rsidP="00B43D4A">
      <w:pPr>
        <w:pStyle w:val="StyleZakonu"/>
        <w:spacing w:after="0" w:line="240" w:lineRule="auto"/>
        <w:ind w:firstLine="720"/>
        <w:jc w:val="right"/>
        <w:rPr>
          <w:sz w:val="28"/>
          <w:bdr w:val="none" w:sz="0" w:space="0" w:color="auto" w:frame="1"/>
          <w:lang w:val="ru-RU"/>
        </w:rPr>
      </w:pPr>
      <w:r>
        <w:rPr>
          <w:sz w:val="28"/>
          <w:bdr w:val="none" w:sz="0" w:space="0" w:color="auto" w:frame="1"/>
          <w:lang w:val="ru-RU"/>
        </w:rPr>
        <w:t>(тираж 02.02.2021)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jc w:val="right"/>
        <w:rPr>
          <w:sz w:val="28"/>
          <w:bdr w:val="none" w:sz="0" w:space="0" w:color="auto" w:frame="1"/>
          <w:lang w:val="ru-RU"/>
        </w:rPr>
      </w:pPr>
    </w:p>
    <w:p w:rsidR="00B43D4A" w:rsidRPr="00B43D4A" w:rsidRDefault="00B43D4A" w:rsidP="00B43D4A">
      <w:pPr>
        <w:pStyle w:val="StyleZakonu"/>
        <w:spacing w:after="0" w:line="240" w:lineRule="auto"/>
        <w:ind w:firstLine="720"/>
        <w:jc w:val="center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ЗАКОН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</w:p>
    <w:p w:rsidR="00B43D4A" w:rsidRDefault="00B43D4A" w:rsidP="00B43D4A">
      <w:pPr>
        <w:pStyle w:val="StyleZakonu"/>
        <w:spacing w:after="0" w:line="240" w:lineRule="auto"/>
        <w:ind w:firstLine="720"/>
        <w:jc w:val="center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  <w:lang w:val="ru-RU"/>
        </w:rPr>
        <w:t>П</w:t>
      </w:r>
      <w:r w:rsidRPr="00B43D4A">
        <w:rPr>
          <w:sz w:val="28"/>
          <w:bdr w:val="none" w:sz="0" w:space="0" w:color="auto" w:frame="1"/>
        </w:rPr>
        <w:t>ро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внесення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“Про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публічні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закупівлі”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створення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передумов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сталого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модернізації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вітчизняної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промисловості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jc w:val="center"/>
        <w:rPr>
          <w:sz w:val="28"/>
          <w:bdr w:val="none" w:sz="0" w:space="0" w:color="auto" w:frame="1"/>
        </w:rPr>
      </w:pPr>
      <w:bookmarkStart w:id="0" w:name="_GoBack"/>
      <w:bookmarkEnd w:id="0"/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Верховна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szCs w:val="18"/>
          <w:bdr w:val="none" w:sz="0" w:space="0" w:color="auto" w:frame="1"/>
        </w:rPr>
      </w:pP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І.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Внести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“Про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публічні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закупівлі”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(Відомості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Верховної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2019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р.,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45,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289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наступними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змінами)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зміни: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1.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першу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статті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доповнити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29</w:t>
      </w:r>
      <w:r w:rsidRPr="00B43D4A">
        <w:rPr>
          <w:sz w:val="28"/>
          <w:bdr w:val="none" w:sz="0" w:space="0" w:color="auto" w:frame="1"/>
          <w:vertAlign w:val="superscript"/>
        </w:rPr>
        <w:t>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змісту: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“29</w:t>
      </w:r>
      <w:r w:rsidRPr="00B43D4A">
        <w:rPr>
          <w:sz w:val="28"/>
          <w:bdr w:val="none" w:sz="0" w:space="0" w:color="auto" w:frame="1"/>
          <w:vertAlign w:val="superscript"/>
        </w:rPr>
        <w:t>1</w:t>
      </w:r>
      <w:r w:rsidRPr="00B43D4A">
        <w:rPr>
          <w:sz w:val="28"/>
          <w:bdr w:val="none" w:sz="0" w:space="0" w:color="auto" w:frame="1"/>
        </w:rPr>
        <w:t>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показник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місцевої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питомій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вазі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вартості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сировини,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матеріалів,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вузлів,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агрегатів,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деталей,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комплектуючих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вітчизняного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собівартості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закупівлі”.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2.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13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п’ятої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статті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3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викласти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такій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редакції: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“13)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установ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надання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кредитів,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гарантій,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також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необхідні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підготовки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проектів,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проектів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державно-приватного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партнерства,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числі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концесії,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надаються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організаціями,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членом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Україна.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цілей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організаціями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реконструкції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корпорація,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Багатостороннє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агентство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гарантування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асоціація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реконструкції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Північний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також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організації,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членом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Україна”.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3.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другу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статті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6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доповнити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словами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“а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також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урахуванням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вимог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виробництва”.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4.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першу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статті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43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доповнити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змісту: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“5)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назва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зазначенням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коду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Єдиним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закупівельним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словником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відповідає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товарам,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роботам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послугам,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фактично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закуплені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замовником”.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5.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Розділ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X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“Прикінцеві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перехідні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положення”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доповнити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6</w:t>
      </w:r>
      <w:r w:rsidRPr="00B43D4A">
        <w:rPr>
          <w:sz w:val="28"/>
          <w:bdr w:val="none" w:sz="0" w:space="0" w:color="auto" w:frame="1"/>
          <w:vertAlign w:val="superscript"/>
        </w:rPr>
        <w:t>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змісту: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“6</w:t>
      </w:r>
      <w:r w:rsidRPr="00B43D4A">
        <w:rPr>
          <w:sz w:val="28"/>
          <w:bdr w:val="none" w:sz="0" w:space="0" w:color="auto" w:frame="1"/>
          <w:vertAlign w:val="superscript"/>
        </w:rPr>
        <w:t>1</w:t>
      </w:r>
      <w:r w:rsidRPr="00B43D4A">
        <w:rPr>
          <w:sz w:val="28"/>
          <w:bdr w:val="none" w:sz="0" w:space="0" w:color="auto" w:frame="1"/>
        </w:rPr>
        <w:t>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Тимчасово,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строком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років,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встановлюються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особливості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закупівель,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вартість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дорівнює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перевищує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тисяч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гривень: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lastRenderedPageBreak/>
        <w:t>1)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замовник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виключно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дорівнює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перевищує: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2023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2024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30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2026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році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35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2027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завершення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10-річного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строку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40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визначається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самостійно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підтверджується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Уповноваженим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порядку,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Кабінетом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формулою: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СЛ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=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(1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-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(МВ+ІВ)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/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100%,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СЛ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-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митна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вартість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сировини,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матеріалів,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вузлів,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агрегатів,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деталей,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комплектуючих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імпортованих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митну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територію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гривень;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IВ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вартість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імпортних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сировини,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матеріалів,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вузлів,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агрегатів,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деталей,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комплектуючих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складових,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придбаних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та/або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продукції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постачальника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резидента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без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урахування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податку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додану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вартість,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гривень;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–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собівартість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гривень.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Уповноважений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формує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веде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підтвердженим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ступенем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оприлюднюється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його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офіційному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веб-сайті.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Уповноважений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моніторинг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дотримання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вимог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внесених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підтвердженим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ступенем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порядку,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Кабінетом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Кабінет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погодженням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комітетом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Верховної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належать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питання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політики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галузей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може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щороку,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пізніше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31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жовтня,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змінювати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наступний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календарний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5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бік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зменшення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відсотків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бік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збільшення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кожного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Кабінет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погодженням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комітетом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Верховної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належать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питання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lastRenderedPageBreak/>
        <w:t>політики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галузей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може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зменшити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проведення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2)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особливості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закупівель,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застосовуються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дизель-генераторні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установки;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генераторні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установки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двигуном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іскровим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запалюванням;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турбогенераторні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установки;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трансформатори;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трансформатори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рідинним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діелектриком;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трансформатори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напруги;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вимірювальні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трансформатори;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трансформатори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живлення;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електричні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конденсатори;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конденсатори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постійної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ємності;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конденсатори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змінної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регульованої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ємності;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автомобілі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швидкої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допомоги;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перевезення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пацієнтів;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мототранспортні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перевезення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10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більше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осіб;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міські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туристичні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громадські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двосекційні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низькопідлогові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туристичні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мототранспортні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автоцистерни;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автоцистерни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перевезення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паливно-мастильних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матеріалів;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самоскиди;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фургони;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великовантажні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мототранспортні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автокрани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автомобілі-самоскиди;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автомобілі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підіймальними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платформами;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автомобілі-самоскиди;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мототранспортні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спеціального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призначення;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пересувні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бурові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вежі;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пожежні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пожежні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автомобілі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поворотною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драбиною;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пожежні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автоцистерни;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пожежні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автомобілі;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аварійно-ремонтного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призначення;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підмітально-прибиральні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підмітально-збиральні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вакуумно-пневматичною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системою;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поливальні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lastRenderedPageBreak/>
        <w:t>сміттєвози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асенізаційні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сміттєвози;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сміттєзбиральні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вантажоперевізні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електробуси;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кузови,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причепи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напівпричепи;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кузови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транспортних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причепи,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напівпричепи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пересувні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контейнери;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причепи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напівпричепи;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напівпричепи;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причепи;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причепи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загального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призначення;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трамвайні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локомотиви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рейковий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рухомий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супутні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деталі;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локомотиви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тендери;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локомотиви;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локомотивні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тендери;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рейковий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рухомий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склад;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вантажні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транспортні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ремонту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обслуговування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залізничних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доріг;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трамвайні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пасажирські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тролейбуси;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трамвайні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пасажирські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пасажирські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тролейбуси;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залізничні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багажні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вагони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спеціального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призначення;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самохідні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вертольоти,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літаки,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космічні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літальні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апарати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двигуном;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вертольоти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літаки;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вертольоти;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двигуни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повітряних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літальних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апаратів;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турбореактивні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двигуни;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турбогвинтові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двигуни;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реактивні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двигуни;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навчально-тренувальні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літаки;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пошуково-рятувальні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вертольоти;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турбіни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мотори;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парові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турбіни;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гідравлічні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турбіни;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водяні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колеса;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насоси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насоси;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насоси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рідин;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lastRenderedPageBreak/>
        <w:t>відцентрові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насоси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підіймачі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рідин;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підіймачі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рідин;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відцентрові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насоси;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газові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роторні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повітряні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турбокомпресори;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поршневі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об’ємні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компресори;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спеціального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призначення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різні;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гірничодобувне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будівельне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обладнання;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врубові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тунелепрохідні,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бурильні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прохідницькі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добування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вугілля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гірських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порід;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прохідні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комбайни;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прохідні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земляних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землерийних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земляних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фронтальні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ковшові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навантажувачі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зворотною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лопатою;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механічні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лопати,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екскаватори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ковшові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навантажувачі,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гірнича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техніка;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механічні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лопати;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механічні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ковшові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навантажувачі;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землерийні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машини;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механічні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екскаватори;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машини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змішування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гравію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бітумом;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3)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Кабінет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погодженням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комітетом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Верховної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належать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питання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політики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окремих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галузей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може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затверджувати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додатковий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належать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виключно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продукції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переробної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промисловості,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вимоги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розмірі,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перевищує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1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відповідний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рік.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зазначеного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додаткового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включаються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підпунктом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Замовник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включених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додаткового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затвердженого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Кабінетом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виключно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випадку,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ступінь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перевищує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дорівнює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зазначеному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додатковому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переліку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4)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разі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замовником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виконання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надання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передбачає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набуття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замовником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власність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товарів,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процедури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робіт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lastRenderedPageBreak/>
        <w:t>чи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послуг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здійснюються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урахуванням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особливостей,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встановлених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пунктом”.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b/>
          <w:bCs/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b/>
          <w:bCs/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ind w:firstLine="720"/>
        <w:jc w:val="both"/>
        <w:rPr>
          <w:sz w:val="28"/>
          <w:szCs w:val="18"/>
          <w:lang w:eastAsia="uk-UA"/>
        </w:rPr>
      </w:pP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lang w:eastAsia="uk-UA"/>
        </w:rPr>
      </w:pP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lang w:eastAsia="uk-UA"/>
        </w:rPr>
      </w:pP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ІІ.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Прикінцеві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положення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1.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набирає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чинності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через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шість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місяців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його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опублікування,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крім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пункту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2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lang w:eastAsia="uk-UA"/>
        </w:rPr>
        <w:t>розділу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І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цього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Закону</w:t>
      </w:r>
      <w:r w:rsidRPr="00B43D4A">
        <w:rPr>
          <w:sz w:val="28"/>
          <w:bdr w:val="none" w:sz="0" w:space="0" w:color="auto" w:frame="1"/>
        </w:rPr>
        <w:t>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набирає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чинності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дня,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наступного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днем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опублікування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Закону.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2.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Кабінету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1)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тримісячний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строк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опублікування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Закону: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прийняти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нормативно-правові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акти,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випливають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цього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Закону;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забезпечити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приведення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міністерствами,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центральними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органами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виконавчої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влади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нормативно-правових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актів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відповідність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Законом;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2)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розробити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надати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ознайомлення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Верховній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Раді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узгоджену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переговорну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позицію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процесу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перегляду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Угоди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асоціацію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lastRenderedPageBreak/>
        <w:t>між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Україною,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однієї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сторони,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Союзом,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Співтовариством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атомної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енергії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їхніми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державами-членами,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сторони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торговельних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угод,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стороною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метою,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тому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числі,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досягнення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двосторонніх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домовленостей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необхідності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належності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застосування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вимоги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місцевого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компонента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критичного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інструменту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умовах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глобальної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економічної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кризи,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зумовленої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пандемією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коронавірусної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хвороби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(COVID-19),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збройної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агресії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захоплення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іноземною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державою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територій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розміщувалася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значна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частина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промислового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комплексу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нашої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держави,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наслідок,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втрати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одного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істотних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ринків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збуту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своєї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продукції;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bdr w:val="none" w:sz="0" w:space="0" w:color="auto" w:frame="1"/>
        </w:rPr>
      </w:pPr>
      <w:r w:rsidRPr="00B43D4A">
        <w:rPr>
          <w:sz w:val="28"/>
          <w:bdr w:val="none" w:sz="0" w:space="0" w:color="auto" w:frame="1"/>
        </w:rPr>
        <w:t>3)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забезпечити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час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підготовки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договорів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та/або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угод,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передбачають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придбання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предметів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закупівлі,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закупівля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яких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здійснюється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урахуванням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їх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визначених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рахунок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кредитів,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позик,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грантів,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наданих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відповідно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договорів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України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реконструкції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фінансовою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корпорацією,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Багатостороннім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агентством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гарантування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Міжнародною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асоціацією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банком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реконструкції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розвитку,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Європейським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Північним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інвестиційним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банком,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також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іншими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міжнародними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валютно-кредитними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організаціями,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включення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цих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договорів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або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угод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вимог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щодо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ступеня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локалізації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виробництва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згідно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цим</w:t>
      </w:r>
      <w:r w:rsidRPr="00B43D4A">
        <w:rPr>
          <w:sz w:val="28"/>
          <w:bdr w:val="none" w:sz="0" w:space="0" w:color="auto" w:frame="1"/>
        </w:rPr>
        <w:t xml:space="preserve"> </w:t>
      </w:r>
      <w:r w:rsidRPr="00B43D4A">
        <w:rPr>
          <w:sz w:val="28"/>
          <w:bdr w:val="none" w:sz="0" w:space="0" w:color="auto" w:frame="1"/>
        </w:rPr>
        <w:t>Законом;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B43D4A">
        <w:rPr>
          <w:sz w:val="28"/>
          <w:lang w:eastAsia="uk-UA"/>
        </w:rPr>
        <w:t>4)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розробити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та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забезпечити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реалізацію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державних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цільових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програм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щодо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оновлення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рухомого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складу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наземного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громадського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транспорту,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рухомого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складу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залізниці,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комунальної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техніки,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будівельної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техніки,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техніки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спеціального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призначення,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обладнання,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продукції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енергетичного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машинобудування,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що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здійснюватиметься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за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рахунок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коштів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державного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та/або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місцевих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бюджетів;</w:t>
      </w:r>
    </w:p>
    <w:p w:rsidR="00B43D4A" w:rsidRPr="00B43D4A" w:rsidRDefault="00B43D4A" w:rsidP="00B43D4A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B43D4A">
        <w:rPr>
          <w:sz w:val="28"/>
          <w:lang w:eastAsia="uk-UA"/>
        </w:rPr>
        <w:t>5)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щороку,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починаючи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2021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року,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інформувати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Верховну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Раду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України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про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стан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виконання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цього</w:t>
      </w:r>
      <w:r w:rsidRPr="00B43D4A">
        <w:rPr>
          <w:sz w:val="28"/>
          <w:lang w:eastAsia="uk-UA"/>
        </w:rPr>
        <w:t xml:space="preserve"> </w:t>
      </w:r>
      <w:r w:rsidRPr="00B43D4A">
        <w:rPr>
          <w:sz w:val="28"/>
          <w:lang w:eastAsia="uk-UA"/>
        </w:rPr>
        <w:t>Закону.</w:t>
      </w:r>
    </w:p>
    <w:p w:rsidR="00595064" w:rsidRPr="00B43D4A" w:rsidRDefault="00595064" w:rsidP="00B43D4A">
      <w:pPr>
        <w:ind w:firstLine="720"/>
        <w:jc w:val="both"/>
        <w:rPr>
          <w:sz w:val="28"/>
        </w:rPr>
      </w:pPr>
    </w:p>
    <w:sectPr w:rsidR="00595064" w:rsidRPr="00B43D4A" w:rsidSect="00B43D4A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4A" w:rsidRDefault="00B43D4A">
      <w:r>
        <w:separator/>
      </w:r>
    </w:p>
  </w:endnote>
  <w:endnote w:type="continuationSeparator" w:id="0">
    <w:p w:rsidR="00B43D4A" w:rsidRDefault="00B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4A" w:rsidRDefault="00B43D4A" w:rsidP="000179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B43D4A" w:rsidRDefault="00B43D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4A" w:rsidRDefault="00B43D4A" w:rsidP="000179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t xml:space="preserve">-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  <w:r>
      <w:rPr>
        <w:rStyle w:val="ab"/>
      </w:rPr>
      <w:t xml:space="preserve"> -</w:t>
    </w:r>
  </w:p>
  <w:p w:rsidR="00B43D4A" w:rsidRDefault="00B43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4A" w:rsidRDefault="00B43D4A">
      <w:r>
        <w:separator/>
      </w:r>
    </w:p>
  </w:footnote>
  <w:footnote w:type="continuationSeparator" w:id="0">
    <w:p w:rsidR="00B43D4A" w:rsidRDefault="00B4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21F89"/>
    <w:multiLevelType w:val="hybridMultilevel"/>
    <w:tmpl w:val="ED5ED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CA3"/>
    <w:multiLevelType w:val="hybridMultilevel"/>
    <w:tmpl w:val="2466BCAA"/>
    <w:lvl w:ilvl="0" w:tplc="6BB20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6646128"/>
    <w:multiLevelType w:val="hybridMultilevel"/>
    <w:tmpl w:val="08E4524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8170921"/>
    <w:multiLevelType w:val="hybridMultilevel"/>
    <w:tmpl w:val="ED50A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777"/>
    <w:multiLevelType w:val="hybridMultilevel"/>
    <w:tmpl w:val="D7E4C42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150344"/>
    <w:multiLevelType w:val="hybridMultilevel"/>
    <w:tmpl w:val="2466BCAA"/>
    <w:lvl w:ilvl="0" w:tplc="6BB20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DAB0383"/>
    <w:multiLevelType w:val="hybridMultilevel"/>
    <w:tmpl w:val="D07CA43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A02C0"/>
    <w:multiLevelType w:val="hybridMultilevel"/>
    <w:tmpl w:val="697AD34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B4557D"/>
    <w:multiLevelType w:val="hybridMultilevel"/>
    <w:tmpl w:val="DE6420B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F90E6A"/>
    <w:multiLevelType w:val="hybridMultilevel"/>
    <w:tmpl w:val="5E58A9B8"/>
    <w:lvl w:ilvl="0" w:tplc="8E54C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29A6"/>
    <w:multiLevelType w:val="hybridMultilevel"/>
    <w:tmpl w:val="15522C4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012FC7"/>
    <w:multiLevelType w:val="hybridMultilevel"/>
    <w:tmpl w:val="EA2C3580"/>
    <w:lvl w:ilvl="0" w:tplc="B22CF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C2185F"/>
    <w:multiLevelType w:val="hybridMultilevel"/>
    <w:tmpl w:val="34D418A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965DCA"/>
    <w:multiLevelType w:val="hybridMultilevel"/>
    <w:tmpl w:val="B7048A74"/>
    <w:lvl w:ilvl="0" w:tplc="6BB201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CC70D6"/>
    <w:multiLevelType w:val="hybridMultilevel"/>
    <w:tmpl w:val="2FD20B7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692948"/>
    <w:multiLevelType w:val="hybridMultilevel"/>
    <w:tmpl w:val="DED650C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AB134F"/>
    <w:multiLevelType w:val="hybridMultilevel"/>
    <w:tmpl w:val="2466BCAA"/>
    <w:lvl w:ilvl="0" w:tplc="6BB20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AE83A48"/>
    <w:multiLevelType w:val="hybridMultilevel"/>
    <w:tmpl w:val="4CC8E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47DC"/>
    <w:multiLevelType w:val="hybridMultilevel"/>
    <w:tmpl w:val="4A1C9144"/>
    <w:lvl w:ilvl="0" w:tplc="2854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B5EBF"/>
    <w:multiLevelType w:val="hybridMultilevel"/>
    <w:tmpl w:val="8CECDCFC"/>
    <w:lvl w:ilvl="0" w:tplc="FB1853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F5512"/>
    <w:multiLevelType w:val="hybridMultilevel"/>
    <w:tmpl w:val="B6DED25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F4110E"/>
    <w:multiLevelType w:val="hybridMultilevel"/>
    <w:tmpl w:val="00647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C5540"/>
    <w:multiLevelType w:val="hybridMultilevel"/>
    <w:tmpl w:val="2466BCAA"/>
    <w:lvl w:ilvl="0" w:tplc="6BB20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8176F59"/>
    <w:multiLevelType w:val="hybridMultilevel"/>
    <w:tmpl w:val="DDEE808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4C5BA0"/>
    <w:multiLevelType w:val="hybridMultilevel"/>
    <w:tmpl w:val="9CCCA95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C62455"/>
    <w:multiLevelType w:val="hybridMultilevel"/>
    <w:tmpl w:val="FCCA98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EA2B53"/>
    <w:multiLevelType w:val="hybridMultilevel"/>
    <w:tmpl w:val="8BE8DF98"/>
    <w:lvl w:ilvl="0" w:tplc="6BB2014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4FB632A4"/>
    <w:multiLevelType w:val="hybridMultilevel"/>
    <w:tmpl w:val="15A0DA1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27233C2"/>
    <w:multiLevelType w:val="hybridMultilevel"/>
    <w:tmpl w:val="691E2B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D005A2"/>
    <w:multiLevelType w:val="hybridMultilevel"/>
    <w:tmpl w:val="6C44E82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FE763F"/>
    <w:multiLevelType w:val="hybridMultilevel"/>
    <w:tmpl w:val="60DE9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640CA"/>
    <w:multiLevelType w:val="hybridMultilevel"/>
    <w:tmpl w:val="A0265194"/>
    <w:lvl w:ilvl="0" w:tplc="0422000F">
      <w:start w:val="1"/>
      <w:numFmt w:val="decimal"/>
      <w:lvlText w:val="%1."/>
      <w:lvlJc w:val="left"/>
      <w:pPr>
        <w:ind w:left="690" w:hanging="360"/>
      </w:p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5A693C05"/>
    <w:multiLevelType w:val="hybridMultilevel"/>
    <w:tmpl w:val="8AD22B9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F35D42"/>
    <w:multiLevelType w:val="multilevel"/>
    <w:tmpl w:val="57D275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5C67DB"/>
    <w:multiLevelType w:val="hybridMultilevel"/>
    <w:tmpl w:val="4782B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00DBE"/>
    <w:multiLevelType w:val="hybridMultilevel"/>
    <w:tmpl w:val="EF0AF222"/>
    <w:lvl w:ilvl="0" w:tplc="FD6CB9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067CE8"/>
    <w:multiLevelType w:val="hybridMultilevel"/>
    <w:tmpl w:val="5B02F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C0056"/>
    <w:multiLevelType w:val="hybridMultilevel"/>
    <w:tmpl w:val="007CE10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B03E8B"/>
    <w:multiLevelType w:val="hybridMultilevel"/>
    <w:tmpl w:val="45C2B3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A25A33"/>
    <w:multiLevelType w:val="hybridMultilevel"/>
    <w:tmpl w:val="2466BCAA"/>
    <w:lvl w:ilvl="0" w:tplc="6BB20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CF95EE4"/>
    <w:multiLevelType w:val="hybridMultilevel"/>
    <w:tmpl w:val="1E10C4A6"/>
    <w:lvl w:ilvl="0" w:tplc="6BB201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DF1064B"/>
    <w:multiLevelType w:val="hybridMultilevel"/>
    <w:tmpl w:val="57CA3A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A6EA6"/>
    <w:multiLevelType w:val="hybridMultilevel"/>
    <w:tmpl w:val="2A882B6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8" w15:restartNumberingAfterBreak="0">
    <w:nsid w:val="7DC8298E"/>
    <w:multiLevelType w:val="hybridMultilevel"/>
    <w:tmpl w:val="CE16B1D8"/>
    <w:lvl w:ilvl="0" w:tplc="1D022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1"/>
  </w:num>
  <w:num w:numId="8">
    <w:abstractNumId w:val="11"/>
  </w:num>
  <w:num w:numId="9">
    <w:abstractNumId w:val="13"/>
  </w:num>
  <w:num w:numId="10">
    <w:abstractNumId w:val="18"/>
  </w:num>
  <w:num w:numId="11">
    <w:abstractNumId w:val="38"/>
  </w:num>
  <w:num w:numId="12">
    <w:abstractNumId w:val="21"/>
  </w:num>
  <w:num w:numId="13">
    <w:abstractNumId w:val="48"/>
  </w:num>
  <w:num w:numId="14">
    <w:abstractNumId w:val="2"/>
  </w:num>
  <w:num w:numId="15">
    <w:abstractNumId w:val="29"/>
  </w:num>
  <w:num w:numId="16">
    <w:abstractNumId w:val="7"/>
  </w:num>
  <w:num w:numId="17">
    <w:abstractNumId w:val="42"/>
  </w:num>
  <w:num w:numId="18">
    <w:abstractNumId w:val="25"/>
  </w:num>
  <w:num w:numId="19">
    <w:abstractNumId w:val="15"/>
  </w:num>
  <w:num w:numId="20">
    <w:abstractNumId w:val="43"/>
  </w:num>
  <w:num w:numId="21">
    <w:abstractNumId w:val="36"/>
  </w:num>
  <w:num w:numId="22">
    <w:abstractNumId w:val="10"/>
  </w:num>
  <w:num w:numId="23">
    <w:abstractNumId w:val="9"/>
  </w:num>
  <w:num w:numId="24">
    <w:abstractNumId w:val="40"/>
  </w:num>
  <w:num w:numId="25">
    <w:abstractNumId w:val="28"/>
  </w:num>
  <w:num w:numId="26">
    <w:abstractNumId w:val="6"/>
  </w:num>
  <w:num w:numId="27">
    <w:abstractNumId w:val="45"/>
  </w:num>
  <w:num w:numId="28">
    <w:abstractNumId w:val="14"/>
  </w:num>
  <w:num w:numId="29">
    <w:abstractNumId w:val="35"/>
  </w:num>
  <w:num w:numId="30">
    <w:abstractNumId w:val="27"/>
  </w:num>
  <w:num w:numId="31">
    <w:abstractNumId w:val="23"/>
  </w:num>
  <w:num w:numId="32">
    <w:abstractNumId w:val="34"/>
  </w:num>
  <w:num w:numId="33">
    <w:abstractNumId w:val="5"/>
  </w:num>
  <w:num w:numId="34">
    <w:abstractNumId w:val="19"/>
  </w:num>
  <w:num w:numId="35">
    <w:abstractNumId w:val="33"/>
  </w:num>
  <w:num w:numId="36">
    <w:abstractNumId w:val="1"/>
  </w:num>
  <w:num w:numId="37">
    <w:abstractNumId w:val="44"/>
  </w:num>
  <w:num w:numId="38">
    <w:abstractNumId w:val="22"/>
  </w:num>
  <w:num w:numId="39">
    <w:abstractNumId w:val="12"/>
  </w:num>
  <w:num w:numId="40">
    <w:abstractNumId w:val="26"/>
  </w:num>
  <w:num w:numId="41">
    <w:abstractNumId w:val="17"/>
  </w:num>
  <w:num w:numId="42">
    <w:abstractNumId w:val="30"/>
  </w:num>
  <w:num w:numId="43">
    <w:abstractNumId w:val="3"/>
  </w:num>
  <w:num w:numId="44">
    <w:abstractNumId w:val="8"/>
  </w:num>
  <w:num w:numId="45">
    <w:abstractNumId w:val="16"/>
  </w:num>
  <w:num w:numId="46">
    <w:abstractNumId w:val="32"/>
  </w:num>
  <w:num w:numId="47">
    <w:abstractNumId w:val="39"/>
  </w:num>
  <w:num w:numId="48">
    <w:abstractNumId w:val="4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4A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43D4A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5A874"/>
  <w15:chartTrackingRefBased/>
  <w15:docId w15:val="{D9E12E5B-18E0-490E-BA2A-F16FE92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link w:val="3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1">
    <w:name w:val="Body Text 3"/>
    <w:basedOn w:val="a0"/>
    <w:link w:val="32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3">
    <w:name w:val="Body Text Indent 3"/>
    <w:basedOn w:val="a0"/>
    <w:link w:val="34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2"/>
    <w:basedOn w:val="a0"/>
    <w:link w:val="22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link w:val="a6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link w:val="HTML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7">
    <w:name w:val="footer"/>
    <w:basedOn w:val="a0"/>
    <w:link w:val="a8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3">
    <w:name w:val="Body Text Indent 2"/>
    <w:basedOn w:val="a0"/>
    <w:link w:val="24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9">
    <w:name w:val="header"/>
    <w:basedOn w:val="a0"/>
    <w:link w:val="aa"/>
    <w:rsid w:val="001E3226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rsid w:val="00B43D4A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43D4A"/>
    <w:rPr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B43D4A"/>
    <w:rPr>
      <w:b/>
      <w:bCs/>
      <w:sz w:val="24"/>
      <w:szCs w:val="24"/>
      <w:lang w:eastAsia="ru-RU"/>
    </w:rPr>
  </w:style>
  <w:style w:type="character" w:customStyle="1" w:styleId="32">
    <w:name w:val="Основний текст 3 Знак"/>
    <w:link w:val="31"/>
    <w:rsid w:val="00B43D4A"/>
    <w:rPr>
      <w:color w:val="FF0000"/>
      <w:sz w:val="24"/>
      <w:szCs w:val="24"/>
      <w:lang w:eastAsia="ru-RU"/>
    </w:rPr>
  </w:style>
  <w:style w:type="character" w:customStyle="1" w:styleId="34">
    <w:name w:val="Основний текст з відступом 3 Знак"/>
    <w:link w:val="33"/>
    <w:rsid w:val="00B43D4A"/>
    <w:rPr>
      <w:sz w:val="28"/>
      <w:szCs w:val="28"/>
      <w:lang w:eastAsia="ru-RU"/>
    </w:rPr>
  </w:style>
  <w:style w:type="character" w:customStyle="1" w:styleId="22">
    <w:name w:val="Основний текст 2 Знак"/>
    <w:link w:val="21"/>
    <w:rsid w:val="00B43D4A"/>
    <w:rPr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B43D4A"/>
    <w:rPr>
      <w:b/>
      <w:bCs/>
      <w:color w:val="FF0000"/>
      <w:sz w:val="28"/>
      <w:szCs w:val="28"/>
      <w:lang w:eastAsia="ru-RU"/>
    </w:rPr>
  </w:style>
  <w:style w:type="character" w:customStyle="1" w:styleId="HTML0">
    <w:name w:val="Стандартний HTML Знак"/>
    <w:link w:val="HTML"/>
    <w:rsid w:val="00B43D4A"/>
    <w:rPr>
      <w:color w:val="000000"/>
      <w:sz w:val="21"/>
      <w:szCs w:val="21"/>
      <w:lang w:val="ru-RU" w:eastAsia="ru-RU"/>
    </w:rPr>
  </w:style>
  <w:style w:type="character" w:customStyle="1" w:styleId="a8">
    <w:name w:val="Нижній колонтитул Знак"/>
    <w:link w:val="a7"/>
    <w:rsid w:val="00B43D4A"/>
    <w:rPr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link w:val="23"/>
    <w:rsid w:val="00B43D4A"/>
    <w:rPr>
      <w:b/>
      <w:bCs/>
      <w:sz w:val="28"/>
      <w:szCs w:val="28"/>
      <w:lang w:eastAsia="ru-RU"/>
    </w:rPr>
  </w:style>
  <w:style w:type="character" w:customStyle="1" w:styleId="aa">
    <w:name w:val="Верхній колонтитул Знак"/>
    <w:link w:val="a9"/>
    <w:rsid w:val="00B43D4A"/>
    <w:rPr>
      <w:lang w:eastAsia="ru-RU"/>
    </w:rPr>
  </w:style>
  <w:style w:type="paragraph" w:customStyle="1" w:styleId="tbl-cod">
    <w:name w:val="tbl-cod"/>
    <w:basedOn w:val="a0"/>
    <w:rsid w:val="00B43D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bl-txt">
    <w:name w:val="tbl-txt"/>
    <w:basedOn w:val="a0"/>
    <w:qFormat/>
    <w:rsid w:val="00B43D4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page number"/>
    <w:rsid w:val="00B43D4A"/>
  </w:style>
  <w:style w:type="paragraph" w:styleId="ac">
    <w:name w:val="List Paragraph"/>
    <w:basedOn w:val="a0"/>
    <w:uiPriority w:val="34"/>
    <w:qFormat/>
    <w:rsid w:val="00B43D4A"/>
    <w:pPr>
      <w:widowControl w:val="0"/>
      <w:suppressAutoHyphens/>
      <w:ind w:left="720"/>
      <w:contextualSpacing/>
    </w:pPr>
    <w:rPr>
      <w:rFonts w:ascii="Liberation Serif" w:eastAsia="Liberation Serif" w:hAnsi="Liberation Serif" w:cs="Mangal"/>
      <w:color w:val="000000"/>
      <w:kern w:val="1"/>
      <w:sz w:val="24"/>
      <w:szCs w:val="21"/>
      <w:lang w:val="ru-RU" w:eastAsia="hi-IN" w:bidi="hi-IN"/>
    </w:rPr>
  </w:style>
  <w:style w:type="character" w:customStyle="1" w:styleId="rvts0">
    <w:name w:val="rvts0"/>
    <w:rsid w:val="00B43D4A"/>
  </w:style>
  <w:style w:type="character" w:customStyle="1" w:styleId="tlid-translation">
    <w:name w:val="tlid-translation"/>
    <w:rsid w:val="00B43D4A"/>
  </w:style>
  <w:style w:type="paragraph" w:customStyle="1" w:styleId="11">
    <w:name w:val="Обычный1"/>
    <w:rsid w:val="00B43D4A"/>
    <w:rPr>
      <w:rFonts w:eastAsia="ヒラギノ角ゴ Pro W3"/>
      <w:color w:val="000000"/>
      <w:sz w:val="28"/>
    </w:rPr>
  </w:style>
  <w:style w:type="character" w:customStyle="1" w:styleId="ad">
    <w:name w:val="Текст у виносці Знак"/>
    <w:link w:val="ae"/>
    <w:rsid w:val="00B43D4A"/>
    <w:rPr>
      <w:rFonts w:ascii="Tahoma" w:hAnsi="Tahoma" w:cs="Tahoma"/>
      <w:sz w:val="16"/>
      <w:szCs w:val="16"/>
      <w:lang w:val="ru-RU"/>
    </w:rPr>
  </w:style>
  <w:style w:type="paragraph" w:styleId="ae">
    <w:name w:val="Balloon Text"/>
    <w:basedOn w:val="a0"/>
    <w:link w:val="ad"/>
    <w:unhideWhenUsed/>
    <w:rsid w:val="00B43D4A"/>
    <w:rPr>
      <w:rFonts w:ascii="Tahoma" w:hAnsi="Tahoma" w:cs="Tahoma"/>
      <w:sz w:val="16"/>
      <w:szCs w:val="16"/>
      <w:lang w:val="ru-RU" w:eastAsia="uk-UA"/>
    </w:rPr>
  </w:style>
  <w:style w:type="character" w:customStyle="1" w:styleId="12">
    <w:name w:val="Текст у виносці Знак1"/>
    <w:basedOn w:val="a1"/>
    <w:uiPriority w:val="99"/>
    <w:rsid w:val="00B43D4A"/>
    <w:rPr>
      <w:rFonts w:ascii="Segoe UI" w:hAnsi="Segoe UI" w:cs="Segoe UI"/>
      <w:sz w:val="18"/>
      <w:szCs w:val="18"/>
      <w:lang w:eastAsia="ru-RU"/>
    </w:rPr>
  </w:style>
  <w:style w:type="character" w:customStyle="1" w:styleId="rvts15">
    <w:name w:val="rvts15"/>
    <w:rsid w:val="00B43D4A"/>
  </w:style>
  <w:style w:type="paragraph" w:customStyle="1" w:styleId="af">
    <w:name w:val="Нормальний текст"/>
    <w:basedOn w:val="a0"/>
    <w:link w:val="af0"/>
    <w:rsid w:val="00B43D4A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af0">
    <w:name w:val="Нормальний текст Знак"/>
    <w:link w:val="af"/>
    <w:locked/>
    <w:rsid w:val="00B43D4A"/>
    <w:rPr>
      <w:rFonts w:ascii="Antiqua" w:hAnsi="Antiqua"/>
      <w:sz w:val="26"/>
      <w:lang w:eastAsia="ru-RU"/>
    </w:rPr>
  </w:style>
  <w:style w:type="paragraph" w:customStyle="1" w:styleId="af1">
    <w:name w:val="Номер страницы"/>
    <w:basedOn w:val="a7"/>
    <w:rsid w:val="00B43D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2</TotalTime>
  <Pages>13</Pages>
  <Words>1461</Words>
  <Characters>10512</Characters>
  <Application>Microsoft Office Word</Application>
  <DocSecurity>0</DocSecurity>
  <Lines>584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2021-02-02T13:05:00Z</dcterms:created>
  <dcterms:modified xsi:type="dcterms:W3CDTF">2021-02-02T13:07:00Z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