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DE" w:rsidRPr="006C389D" w:rsidRDefault="008446DE" w:rsidP="008446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</w:pPr>
      <w:r w:rsidRPr="006C389D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До реєстр. № </w:t>
      </w:r>
      <w:r w:rsidRPr="008446DE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>3741 від 25.06.2020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6C389D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>р.</w:t>
      </w: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8446DE" w:rsidRPr="006C389D" w:rsidTr="00295035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8446DE" w:rsidRPr="006C389D" w:rsidRDefault="008446DE" w:rsidP="00295035">
            <w:pPr>
              <w:spacing w:after="0" w:line="240" w:lineRule="auto"/>
              <w:ind w:left="1454" w:hanging="284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8446DE" w:rsidRPr="006C389D" w:rsidRDefault="008446DE" w:rsidP="00295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8446DE" w:rsidRPr="006C389D" w:rsidRDefault="008446DE" w:rsidP="00295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8446DE" w:rsidRPr="006C389D" w:rsidRDefault="008446DE" w:rsidP="00295035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val="ru-RU"/>
              </w:rPr>
            </w:pPr>
            <w:r w:rsidRPr="006C389D">
              <w:rPr>
                <w:rFonts w:ascii="Calibri" w:eastAsia="Calibri" w:hAnsi="Calibri" w:cs="Times New Roman"/>
                <w:noProof/>
                <w:spacing w:val="20"/>
                <w:sz w:val="34"/>
                <w:szCs w:val="34"/>
                <w:lang w:val="en-US"/>
              </w:rPr>
              <w:drawing>
                <wp:anchor distT="360045" distB="0" distL="114300" distR="114300" simplePos="0" relativeHeight="251659264" behindDoc="0" locked="0" layoutInCell="1" allowOverlap="1" wp14:anchorId="500C6F63" wp14:editId="081A06DB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89D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8446DE" w:rsidRPr="006C389D" w:rsidRDefault="008446DE" w:rsidP="00295035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  <w:lang w:val="ru-RU"/>
              </w:rPr>
            </w:pPr>
            <w:r w:rsidRPr="006C389D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правоохоронної діяльності</w:t>
            </w:r>
          </w:p>
          <w:p w:rsidR="008446DE" w:rsidRPr="006C389D" w:rsidRDefault="008446DE" w:rsidP="00295035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val="ru-RU"/>
              </w:rPr>
            </w:pPr>
            <w:r w:rsidRPr="006C389D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 w:rsidRPr="006C389D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6C389D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.: 255-35-06</w:t>
            </w:r>
          </w:p>
        </w:tc>
      </w:tr>
    </w:tbl>
    <w:tbl>
      <w:tblPr>
        <w:tblStyle w:val="a3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8554"/>
        <w:gridCol w:w="1086"/>
      </w:tblGrid>
      <w:tr w:rsidR="008446DE" w:rsidRPr="006C389D" w:rsidTr="00295035">
        <w:tc>
          <w:tcPr>
            <w:tcW w:w="2247" w:type="dxa"/>
            <w:tcBorders>
              <w:top w:val="nil"/>
            </w:tcBorders>
          </w:tcPr>
          <w:p w:rsidR="008446DE" w:rsidRPr="006C389D" w:rsidRDefault="008446DE" w:rsidP="0029503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8554" w:type="dxa"/>
          </w:tcPr>
          <w:p w:rsidR="008446DE" w:rsidRPr="006C389D" w:rsidRDefault="008446DE" w:rsidP="0029503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8446DE" w:rsidRPr="006C389D" w:rsidRDefault="008446DE" w:rsidP="0029503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8446DE" w:rsidRPr="006C389D" w:rsidRDefault="008446DE" w:rsidP="008446DE">
      <w:pPr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  <w:lang w:val="ru-RU"/>
        </w:rPr>
      </w:pPr>
    </w:p>
    <w:p w:rsidR="008446DE" w:rsidRPr="006C389D" w:rsidRDefault="008446DE" w:rsidP="008446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8446DE" w:rsidRPr="006C389D" w:rsidRDefault="008446DE" w:rsidP="008446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8446DE" w:rsidRPr="006C389D" w:rsidRDefault="008446DE" w:rsidP="008446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</w:pPr>
    </w:p>
    <w:p w:rsidR="008446DE" w:rsidRPr="006C389D" w:rsidRDefault="008446DE" w:rsidP="008446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</w:pPr>
      <w:r w:rsidRPr="006C389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ВЕРХОВНА РАДА УКРАЇНИ</w:t>
      </w:r>
    </w:p>
    <w:p w:rsidR="008446DE" w:rsidRPr="006C389D" w:rsidRDefault="008446DE" w:rsidP="0084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446DE" w:rsidRDefault="008446DE" w:rsidP="0084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 Верховної Ради України з питань правоохоронної діяльності за дорученням Голови Верховної Ради України Д. Разумкова розглянув на своєму засіданні </w:t>
      </w:r>
      <w:r w:rsidR="00670EF1" w:rsidRPr="00670EF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E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6C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(протокол № </w:t>
      </w:r>
      <w:r w:rsidR="00670EF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6C38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Закону України «Про </w:t>
      </w:r>
      <w:r w:rsidR="00670EF1" w:rsidRPr="00670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Кримінального кодексу України (щодо вжиття заходів стосовно захисту бджільництва)</w:t>
      </w:r>
      <w:r w:rsidRPr="006C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C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(реєстр. № 3</w:t>
      </w:r>
      <w:r w:rsidR="0067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741</w:t>
      </w:r>
      <w:r w:rsidRPr="006C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6C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поданий народним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670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C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r w:rsidR="00670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Деркачем А.Л.</w:t>
      </w:r>
    </w:p>
    <w:p w:rsidR="009C0340" w:rsidRPr="009C0340" w:rsidRDefault="009C0340" w:rsidP="009C03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Метою законопроекту є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посилення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кримінальної відповідальності за застосування засобів захисту рослин для обробки медоносних рослин у період медозбору без повідомлення фізичним чи юридичним особам, які займаються бджільництвом, та органу місцевого самоврядування, незважаючи на можливість подати ці відомості.</w:t>
      </w:r>
    </w:p>
    <w:p w:rsidR="009C0340" w:rsidRDefault="009C0340" w:rsidP="009C03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Автором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проекту пропону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ється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внести</w:t>
      </w:r>
      <w:proofErr w:type="spellEnd"/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зміни до статті 247 Кримінального кодексу України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(далі – КК), доповнивши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частиною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другою,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встановити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відповідальність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порушення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правил,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установлених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боротьби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зі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шкідниками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хворобами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рослин,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інших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вимог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законодавства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захист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рослин,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спричинили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загибель</w:t>
      </w:r>
      <w:r w:rsidR="004A34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бджолиних</w:t>
      </w:r>
      <w:r w:rsidR="004A34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сімей,</w:t>
      </w:r>
      <w:r w:rsidR="004A34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чим</w:t>
      </w:r>
      <w:r w:rsidR="004A34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створили</w:t>
      </w:r>
      <w:r w:rsidR="004A34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тяжкі</w:t>
      </w:r>
      <w:r w:rsidR="004A34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наслідки</w:t>
      </w:r>
      <w:r w:rsidR="004A34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A34BF" w:rsidRDefault="004A34BF" w:rsidP="009C03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Також, законопроектом передбачається доповнити вказану статтю КК України приміткою, пунктом 2 якої встановити, що тяжкими наслідками «</w:t>
      </w:r>
      <w:r w:rsidRPr="004A34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вважа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4A34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ться матеріальні збитки, які заподіяні фізичним або юридичним особам, які займаються бджільництвом та у шістдесят і більше разів перевищують неоподатков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уваний мінімум доходів громадян».</w:t>
      </w:r>
    </w:p>
    <w:p w:rsidR="004A34BF" w:rsidRDefault="009C0340" w:rsidP="009C03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ході обговорення народні депутати України – члени Комітету зауважили, що </w:t>
      </w:r>
      <w:r w:rsidR="004A34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 тексту передбачених законопроектом змін незрозуміл</w:t>
      </w:r>
      <w:r w:rsidR="00467F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4A34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що саме має бути складом кримінального правопорушення – загибель бджолиних сімей,  як тяжкий наслідок, чи їх загибель, що заподіяла певні матеріальні збитк</w:t>
      </w:r>
      <w:r w:rsidR="00467F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фізичним або юридичним особам.</w:t>
      </w:r>
    </w:p>
    <w:p w:rsidR="00467F55" w:rsidRDefault="009C0340" w:rsidP="009C03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Також, члени Комітету </w:t>
      </w:r>
      <w:r w:rsidR="00467F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зазначили, що частиною п’ятою статті 85</w:t>
      </w: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67F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467F55" w:rsidRPr="00467F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Порушення правил використання об'єктів тваринного світу</w:t>
      </w:r>
      <w:r w:rsidR="00467F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Кодексу України про адміністративні правопорушення передбачено адміністративну відповідальність за порушення правил здійснення інших видів спеціального використання об’єктів тваринного світу. </w:t>
      </w:r>
    </w:p>
    <w:p w:rsidR="00467F55" w:rsidRDefault="00467F55" w:rsidP="009C03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Відповідно до положень статті 3 «Об’єкти тваринного світу» Закону України «Про тваринний світ»</w:t>
      </w:r>
      <w:r w:rsid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бджоли, як дикі тварини, а також продукти їх життєдіяльності (мед, віск тощо) належать до об’єктів тваринного світу. Таким чином, прийняття запропонованих змін може утворити конкуренцію правових норм та неоднозначного їх застосування на практиці.</w:t>
      </w:r>
    </w:p>
    <w:p w:rsidR="009C0340" w:rsidRPr="009C0340" w:rsidRDefault="009C0340" w:rsidP="009C03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Головне науково-експертне управління Апарату Верховної Ради України </w:t>
      </w:r>
      <w:r w:rsid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висловило ряд зауважень до законопроекту.</w:t>
      </w:r>
    </w:p>
    <w:p w:rsidR="009C0340" w:rsidRDefault="00E474FB" w:rsidP="009C03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Національна поліція</w:t>
      </w:r>
      <w:r w:rsidR="009C0340" w:rsidRPr="009C03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України </w:t>
      </w:r>
      <w:r w:rsidRPr="00E474FB">
        <w:rPr>
          <w:rFonts w:ascii="Times New Roman" w:hAnsi="Times New Roman" w:cs="Times New Roman"/>
          <w:sz w:val="28"/>
          <w:szCs w:val="28"/>
          <w:shd w:val="clear" w:color="auto" w:fill="FFFFFF"/>
        </w:rPr>
        <w:t>у своєму висновку зазначає,  що проект потребує доопрацювання</w:t>
      </w:r>
      <w:r w:rsidR="009C0340" w:rsidRP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474FB" w:rsidRDefault="00E474FB" w:rsidP="009C03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Національний університет біоресурсів і природокористування України </w:t>
      </w:r>
      <w:r w:rsidRP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проаналізувавши випадки отруєння бджіл в Україні,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звертає увагу</w:t>
      </w:r>
      <w:r w:rsidRP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що основною проблемою бджолярів є збір доказової бази та доведення факту отруєння бджіл конкретними пестицидами. </w:t>
      </w:r>
    </w:p>
    <w:p w:rsidR="00E474FB" w:rsidRDefault="00E474FB" w:rsidP="009C03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Враховуючи, що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всі витрати на здійснення лабораторних досліджень із встановлення причини загибелі бджіл здійснюються за кошти постраждалої сторони,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часто  бджолярі  неспроможні  їх  профінансувати.  </w:t>
      </w:r>
    </w:p>
    <w:p w:rsidR="00E474FB" w:rsidRPr="00E474FB" w:rsidRDefault="00E474FB" w:rsidP="009C03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Тому  доцільно передбачити кошти в державному бюджеті на проведення таких лабораторних досліджень.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Окрім цього, посилити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контроль за використанням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засобів захисту рослин</w:t>
      </w:r>
      <w:r w:rsidRPr="00E47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 рослинництві щодо їх безпечності для галузі бджільництва</w:t>
      </w:r>
      <w:r w:rsidR="00B735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73556" w:rsidRPr="00B73556" w:rsidRDefault="00B73556" w:rsidP="00B735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підкомітету з питань організації охорони громадської безпеки і порядку, </w:t>
      </w:r>
      <w:bookmarkStart w:id="0" w:name="_GoBack"/>
      <w:r w:rsidRPr="00B73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 рекомендує Верховній Раді України відповідно до пункту 2 частини першої статті 114 Регламенту Верховної Ради України проект Закону України «Про внесення змін до Кримінального кодексу України (щодо вжиття заходів стосовно захисту бджільництва)» (реєстр. № 3741) відхилити.</w:t>
      </w:r>
    </w:p>
    <w:bookmarkEnd w:id="0"/>
    <w:p w:rsidR="00B73556" w:rsidRPr="00B73556" w:rsidRDefault="00B73556" w:rsidP="00B735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Співдоповідачем на засіданні Верховної Ради України визначено Голову підкомітету з питань організації охорони громадської безпеки і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Дануц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7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3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556" w:rsidRPr="00B73556" w:rsidRDefault="00B73556" w:rsidP="00B735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Постанови Верховної Ради України та висновок Головного науково-експертного управління Апарату Верховної Ради України додаються.</w:t>
      </w:r>
    </w:p>
    <w:p w:rsidR="009C0340" w:rsidRPr="009C0340" w:rsidRDefault="00B73556" w:rsidP="00B735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Просимо розглянути.</w:t>
      </w:r>
    </w:p>
    <w:p w:rsidR="008446DE" w:rsidRPr="009C0340" w:rsidRDefault="008446DE" w:rsidP="008446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446DE" w:rsidRPr="006C389D" w:rsidRDefault="008446DE" w:rsidP="008446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Голова Комітету                                                                         Д. Монастирський </w:t>
      </w:r>
    </w:p>
    <w:p w:rsidR="008446DE" w:rsidRPr="006C389D" w:rsidRDefault="008446DE" w:rsidP="0084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E" w:rsidRPr="006C389D" w:rsidRDefault="008446DE" w:rsidP="0084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E" w:rsidRPr="006C389D" w:rsidRDefault="008446DE" w:rsidP="0084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46DE" w:rsidRPr="006C389D" w:rsidRDefault="008446DE" w:rsidP="0084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46DE" w:rsidRPr="006C389D" w:rsidRDefault="008446DE" w:rsidP="0084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46DE" w:rsidRPr="006C389D" w:rsidRDefault="008446DE" w:rsidP="0084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46DE" w:rsidRPr="006C389D" w:rsidRDefault="008446DE" w:rsidP="0084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46DE" w:rsidRPr="006C389D" w:rsidRDefault="008446DE" w:rsidP="008446DE">
      <w:pPr>
        <w:rPr>
          <w:lang w:val="ru-RU"/>
        </w:rPr>
      </w:pPr>
    </w:p>
    <w:p w:rsidR="00E50B11" w:rsidRPr="008446DE" w:rsidRDefault="00E50B11">
      <w:pPr>
        <w:rPr>
          <w:lang w:val="ru-RU"/>
        </w:rPr>
      </w:pPr>
    </w:p>
    <w:sectPr w:rsidR="00E50B11" w:rsidRPr="008446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DE"/>
    <w:rsid w:val="00467F55"/>
    <w:rsid w:val="004A34BF"/>
    <w:rsid w:val="006630A3"/>
    <w:rsid w:val="00670EF1"/>
    <w:rsid w:val="008446DE"/>
    <w:rsid w:val="009C0340"/>
    <w:rsid w:val="00B73556"/>
    <w:rsid w:val="00E474FB"/>
    <w:rsid w:val="00E5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8EEC-198A-4E5E-9EC5-AA5A94BD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6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2020-12-21T17:24:00Z</dcterms:created>
  <dcterms:modified xsi:type="dcterms:W3CDTF">2020-12-21T18:44:00Z</dcterms:modified>
</cp:coreProperties>
</file>