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BF" w:rsidRPr="006C20D5" w:rsidRDefault="00DD3CBF" w:rsidP="00DD3CBF">
      <w:pPr>
        <w:jc w:val="center"/>
        <w:outlineLvl w:val="0"/>
        <w:rPr>
          <w:rFonts w:ascii="Times New Roman" w:hAnsi="Times New Roman" w:cs="Times New Roman"/>
          <w:color w:val="auto"/>
        </w:rPr>
      </w:pPr>
      <w:bookmarkStart w:id="0" w:name="_GoBack"/>
      <w:bookmarkEnd w:id="0"/>
      <w:r w:rsidRPr="006C20D5">
        <w:rPr>
          <w:rFonts w:ascii="Times New Roman" w:hAnsi="Times New Roman" w:cs="Times New Roman"/>
          <w:color w:val="auto"/>
        </w:rPr>
        <w:t>Пояснювальна записка</w:t>
      </w:r>
    </w:p>
    <w:p w:rsidR="00DD3CBF" w:rsidRPr="006C20D5" w:rsidRDefault="00DD3CBF" w:rsidP="00DD3CBF">
      <w:pPr>
        <w:jc w:val="center"/>
        <w:rPr>
          <w:rFonts w:ascii="Times New Roman" w:hAnsi="Times New Roman" w:cs="Times New Roman"/>
          <w:color w:val="auto"/>
        </w:rPr>
      </w:pPr>
      <w:r w:rsidRPr="006C20D5">
        <w:rPr>
          <w:rFonts w:ascii="Times New Roman" w:hAnsi="Times New Roman" w:cs="Times New Roman"/>
          <w:color w:val="auto"/>
        </w:rPr>
        <w:t xml:space="preserve">до проекту Закону України </w:t>
      </w:r>
    </w:p>
    <w:p w:rsidR="00DD3CBF" w:rsidRDefault="00DD3CBF" w:rsidP="00DD3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auto"/>
        </w:rPr>
      </w:pPr>
      <w:r w:rsidRPr="006C20D5">
        <w:rPr>
          <w:rFonts w:ascii="Times New Roman" w:hAnsi="Times New Roman" w:cs="Times New Roman"/>
          <w:color w:val="auto"/>
        </w:rPr>
        <w:t>"</w:t>
      </w:r>
      <w:r w:rsidRPr="006C20D5">
        <w:rPr>
          <w:rFonts w:ascii="Times New Roman" w:hAnsi="Times New Roman" w:cs="Times New Roman"/>
          <w:bCs w:val="0"/>
          <w:color w:val="auto"/>
        </w:rPr>
        <w:t xml:space="preserve">Про </w:t>
      </w:r>
      <w:r>
        <w:rPr>
          <w:rFonts w:ascii="Times New Roman" w:hAnsi="Times New Roman" w:cs="Times New Roman"/>
          <w:color w:val="auto"/>
        </w:rPr>
        <w:t xml:space="preserve">реструктуризацію заборгованості </w:t>
      </w:r>
    </w:p>
    <w:p w:rsidR="00DD3CBF" w:rsidRPr="006C20D5" w:rsidRDefault="00DD3CBF" w:rsidP="00DD3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за житлово-комунальні послуги</w:t>
      </w:r>
      <w:r w:rsidRPr="006C20D5">
        <w:rPr>
          <w:rFonts w:ascii="Times New Roman" w:hAnsi="Times New Roman" w:cs="Times New Roman"/>
          <w:color w:val="auto"/>
        </w:rPr>
        <w:t xml:space="preserve">" </w:t>
      </w:r>
    </w:p>
    <w:p w:rsidR="00DD3CBF" w:rsidRPr="006C20D5" w:rsidRDefault="00DD3CBF" w:rsidP="00DD3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auto"/>
        </w:rPr>
      </w:pPr>
    </w:p>
    <w:p w:rsidR="00DD3CBF" w:rsidRPr="006C20D5" w:rsidRDefault="00DD3CBF" w:rsidP="00DD3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auto"/>
        </w:rPr>
      </w:pPr>
    </w:p>
    <w:p w:rsidR="00DD3CBF" w:rsidRPr="006C20D5" w:rsidRDefault="00DD3CBF" w:rsidP="00DD3CBF">
      <w:pPr>
        <w:numPr>
          <w:ilvl w:val="0"/>
          <w:numId w:val="1"/>
        </w:numPr>
        <w:shd w:val="clear" w:color="auto" w:fill="FFFFFF"/>
        <w:autoSpaceDE w:val="0"/>
        <w:autoSpaceDN w:val="0"/>
        <w:adjustRightInd w:val="0"/>
        <w:spacing w:after="120"/>
        <w:jc w:val="both"/>
        <w:rPr>
          <w:rFonts w:ascii="Times New Roman" w:hAnsi="Times New Roman" w:cs="Times New Roman"/>
          <w:bCs w:val="0"/>
          <w:color w:val="auto"/>
        </w:rPr>
      </w:pPr>
      <w:r w:rsidRPr="006C20D5">
        <w:rPr>
          <w:rFonts w:ascii="Times New Roman" w:hAnsi="Times New Roman" w:cs="Times New Roman"/>
          <w:bCs w:val="0"/>
          <w:color w:val="auto"/>
        </w:rPr>
        <w:t xml:space="preserve">Обґрунтування необхідності прийняття </w:t>
      </w:r>
      <w:r>
        <w:rPr>
          <w:rFonts w:ascii="Times New Roman" w:hAnsi="Times New Roman" w:cs="Times New Roman"/>
          <w:bCs w:val="0"/>
          <w:color w:val="auto"/>
        </w:rPr>
        <w:t>законопроекту</w:t>
      </w:r>
    </w:p>
    <w:p w:rsidR="00DD3CBF" w:rsidRPr="006C20D5" w:rsidRDefault="00DD3CBF" w:rsidP="00DD3CBF">
      <w:pPr>
        <w:ind w:firstLine="708"/>
        <w:jc w:val="both"/>
        <w:rPr>
          <w:rFonts w:ascii="Times New Roman" w:hAnsi="Times New Roman" w:cs="Times New Roman"/>
          <w:b w:val="0"/>
          <w:bCs w:val="0"/>
        </w:rPr>
      </w:pPr>
      <w:r w:rsidRPr="006C20D5">
        <w:rPr>
          <w:rFonts w:ascii="Times New Roman" w:hAnsi="Times New Roman" w:cs="Times New Roman"/>
          <w:b w:val="0"/>
          <w:bCs w:val="0"/>
        </w:rPr>
        <w:t xml:space="preserve">З початку поточного року зросла заборгованість населення за спожиті житлово-комунальні послуги (без урахування газу та електроенергії). Так, станом на 1 березня 2020 року за даними Державної служби статистики України, заборгованість становить 32,69 млрд гривень. </w:t>
      </w:r>
    </w:p>
    <w:p w:rsidR="00DD3CBF" w:rsidRPr="006C20D5" w:rsidRDefault="00DD3CBF" w:rsidP="00DD3CBF">
      <w:pPr>
        <w:ind w:firstLine="708"/>
        <w:jc w:val="both"/>
        <w:rPr>
          <w:rFonts w:ascii="Times New Roman" w:hAnsi="Times New Roman" w:cs="Times New Roman"/>
          <w:b w:val="0"/>
          <w:bCs w:val="0"/>
        </w:rPr>
      </w:pPr>
      <w:r w:rsidRPr="006C20D5">
        <w:rPr>
          <w:rFonts w:ascii="Times New Roman" w:hAnsi="Times New Roman" w:cs="Times New Roman"/>
          <w:b w:val="0"/>
          <w:bCs w:val="0"/>
        </w:rPr>
        <w:t>Серед регіонів найвищий рівень розрахунків спостерігається Вінницькій (93,3%), Сумській (93,0%) та Львівській (92,8%) областях. Найнижчий – у Херсонській (74,5%), Луганській (74,9%), Харківській (75,3%) та Кіровоградській (76,9%) областях.</w:t>
      </w:r>
    </w:p>
    <w:p w:rsidR="00DD3CBF" w:rsidRPr="006C20D5" w:rsidRDefault="00DD3CBF" w:rsidP="00DD3CBF">
      <w:pPr>
        <w:ind w:firstLine="708"/>
        <w:jc w:val="both"/>
        <w:rPr>
          <w:rFonts w:ascii="Times New Roman" w:hAnsi="Times New Roman" w:cs="Times New Roman"/>
          <w:b w:val="0"/>
          <w:bCs w:val="0"/>
        </w:rPr>
      </w:pPr>
      <w:r w:rsidRPr="006C20D5">
        <w:rPr>
          <w:rFonts w:ascii="Times New Roman" w:hAnsi="Times New Roman" w:cs="Times New Roman"/>
          <w:b w:val="0"/>
          <w:bCs w:val="0"/>
        </w:rPr>
        <w:t>Найменшу заборгованість зафіксовано в Чернівецькій, Закарпатській та Волинській областях. При цьому найбільшу заборгованість мають місто Київ, Дніпропетровська та Харківська області.</w:t>
      </w:r>
    </w:p>
    <w:p w:rsidR="00DD3CBF" w:rsidRPr="006C20D5" w:rsidRDefault="00DD3CBF" w:rsidP="00DD3CBF">
      <w:pPr>
        <w:pStyle w:val="a6"/>
        <w:shd w:val="clear" w:color="auto" w:fill="FFFFFF"/>
        <w:spacing w:before="0" w:beforeAutospacing="0" w:after="0" w:afterAutospacing="0"/>
        <w:ind w:firstLine="708"/>
        <w:jc w:val="both"/>
        <w:rPr>
          <w:color w:val="293237"/>
          <w:sz w:val="28"/>
          <w:szCs w:val="28"/>
          <w:lang w:val="uk-UA"/>
        </w:rPr>
      </w:pPr>
      <w:r w:rsidRPr="006C20D5">
        <w:rPr>
          <w:sz w:val="28"/>
          <w:szCs w:val="28"/>
          <w:lang w:val="uk-UA"/>
        </w:rPr>
        <w:t xml:space="preserve">Раніше, </w:t>
      </w:r>
      <w:r w:rsidRPr="006C20D5">
        <w:rPr>
          <w:color w:val="293237"/>
          <w:sz w:val="28"/>
          <w:szCs w:val="28"/>
          <w:lang w:val="uk-UA"/>
        </w:rPr>
        <w:t>З метою розв’язання аналогічної проблеми боргів комплексно з урахуванням інтересів як населення, так і підприємств житлово-комунального господарства та енергопостачальників 20 лютого 2003 року Верховною Радою України було прийнято Закон України "Про реструктуризацію заборгованості з квартирної плати, плати за житлово-комунальні послуги, спожиті газ та електроенергію", яким пропонується реструктурувати заборгованість з квартирної плати (плати за утримання житла) та плати за комунальні послуги (водо-, тепло, газопостачання, послуги водовідведення, електроенергія, вивезення побутового сміття та рідких нечистот) (далі житлово-комунальні послуги) наймачів жилих приміщень та власників жилих будинків або квартир (далі - громадяни), яка склалася на дату набрання чинності Законом, перед надавачами житлово-комунальних послуг на термін до 60 місяців залежно від суми боргу та рівня доходів громадян на дату реструктуризації.</w:t>
      </w:r>
    </w:p>
    <w:p w:rsidR="00DD3CBF" w:rsidRPr="006C20D5" w:rsidRDefault="00DD3CBF" w:rsidP="00DD3CBF">
      <w:pPr>
        <w:pStyle w:val="a6"/>
        <w:shd w:val="clear" w:color="auto" w:fill="FFFFFF"/>
        <w:spacing w:before="0" w:beforeAutospacing="0" w:after="0" w:afterAutospacing="0"/>
        <w:ind w:firstLine="708"/>
        <w:jc w:val="both"/>
        <w:rPr>
          <w:color w:val="293237"/>
          <w:sz w:val="28"/>
          <w:szCs w:val="28"/>
          <w:lang w:val="uk-UA"/>
        </w:rPr>
      </w:pPr>
      <w:r w:rsidRPr="006C20D5">
        <w:rPr>
          <w:color w:val="293237"/>
          <w:sz w:val="28"/>
          <w:szCs w:val="28"/>
          <w:lang w:val="uk-UA"/>
        </w:rPr>
        <w:t>Законом були встановлені граничні розміри частки доходу, яка вноситься громадянами на оплату поточних платежів та платежів по погашенню реструктурованої заборгованості, а саме на період погашення реструктурованої заборгованості загальна сума платежів, що вносяться громадянами на оплату поточних платежів та платежів по погашенню реструктурованої заборгованості, не повинна перевищувати 25 відсотків доходів, що визначаються при нарахуванні субсидій для працюючих громадян, і 20 відсотків доходів - для пенсіонерів та інших осіб, які отримують будь-які види соціальної допомоги.</w:t>
      </w:r>
    </w:p>
    <w:p w:rsidR="00DD3CBF" w:rsidRPr="006C20D5" w:rsidRDefault="00DD3CBF" w:rsidP="00DD3CBF">
      <w:pPr>
        <w:pStyle w:val="a6"/>
        <w:shd w:val="clear" w:color="auto" w:fill="FFFFFF"/>
        <w:spacing w:before="0" w:beforeAutospacing="0" w:after="0" w:afterAutospacing="0"/>
        <w:ind w:firstLine="708"/>
        <w:jc w:val="both"/>
        <w:rPr>
          <w:color w:val="293237"/>
          <w:sz w:val="28"/>
          <w:szCs w:val="28"/>
          <w:lang w:val="uk-UA"/>
        </w:rPr>
      </w:pPr>
      <w:r w:rsidRPr="006C20D5">
        <w:rPr>
          <w:color w:val="293237"/>
          <w:sz w:val="28"/>
          <w:szCs w:val="28"/>
          <w:lang w:val="uk-UA"/>
        </w:rPr>
        <w:t xml:space="preserve">Для реструктуризації заборгованості громадяни укладали з підприємствами - надавачами житлово-комунальних послуг договори про щомісячне рівномірне погашення реструктурованої заборгованості та </w:t>
      </w:r>
      <w:r w:rsidRPr="006C20D5">
        <w:rPr>
          <w:color w:val="293237"/>
          <w:sz w:val="28"/>
          <w:szCs w:val="28"/>
          <w:lang w:val="uk-UA"/>
        </w:rPr>
        <w:lastRenderedPageBreak/>
        <w:t>своєчасну сплату поточних платежів за житлово-комунальні послуги (далі - договір про реструктуризацію заборгованості).</w:t>
      </w:r>
    </w:p>
    <w:p w:rsidR="00DD3CBF" w:rsidRPr="006C20D5" w:rsidRDefault="00DD3CBF" w:rsidP="00DD3CBF">
      <w:pPr>
        <w:pStyle w:val="a6"/>
        <w:shd w:val="clear" w:color="auto" w:fill="FFFFFF"/>
        <w:spacing w:before="0" w:beforeAutospacing="0" w:after="0" w:afterAutospacing="0"/>
        <w:ind w:firstLine="708"/>
        <w:jc w:val="both"/>
        <w:rPr>
          <w:color w:val="293237"/>
          <w:sz w:val="28"/>
          <w:szCs w:val="28"/>
          <w:lang w:val="uk-UA"/>
        </w:rPr>
      </w:pPr>
      <w:r w:rsidRPr="006C20D5">
        <w:rPr>
          <w:color w:val="293237"/>
          <w:sz w:val="28"/>
          <w:szCs w:val="28"/>
          <w:lang w:val="uk-UA"/>
        </w:rPr>
        <w:t>Однак, з 2003 року такий механізм реструктуризації відсутній, фактично, реструктуризація була переведена в площину договірних відносин між постачальником та користувачем послуг.</w:t>
      </w:r>
    </w:p>
    <w:p w:rsidR="00DD3CBF" w:rsidRPr="006C20D5" w:rsidRDefault="00DD3CBF" w:rsidP="00DD3CBF">
      <w:pPr>
        <w:pStyle w:val="a6"/>
        <w:shd w:val="clear" w:color="auto" w:fill="FFFFFF"/>
        <w:spacing w:before="0" w:beforeAutospacing="0" w:after="0" w:afterAutospacing="0"/>
        <w:ind w:firstLine="708"/>
        <w:jc w:val="both"/>
        <w:rPr>
          <w:color w:val="293237"/>
          <w:sz w:val="28"/>
          <w:szCs w:val="28"/>
          <w:lang w:val="uk-UA"/>
        </w:rPr>
      </w:pPr>
      <w:r w:rsidRPr="006C20D5">
        <w:rPr>
          <w:color w:val="293237"/>
          <w:sz w:val="28"/>
          <w:szCs w:val="28"/>
          <w:lang w:val="uk-UA"/>
        </w:rPr>
        <w:t>Проте</w:t>
      </w:r>
      <w:r>
        <w:rPr>
          <w:color w:val="293237"/>
          <w:sz w:val="28"/>
          <w:szCs w:val="28"/>
          <w:lang w:val="uk-UA"/>
        </w:rPr>
        <w:t>,</w:t>
      </w:r>
      <w:r w:rsidRPr="006C20D5">
        <w:rPr>
          <w:color w:val="293237"/>
          <w:sz w:val="28"/>
          <w:szCs w:val="28"/>
          <w:lang w:val="uk-UA"/>
        </w:rPr>
        <w:t xml:space="preserve"> таке врегулювання у значній кількості випадків не дає можливість громадянам, які потребують такої реструктуризації, реалізувати своє право, оскільки відсутність граничної суми щомісячних платежів призводить до запропонування договорів реструктуризації з</w:t>
      </w:r>
      <w:r>
        <w:rPr>
          <w:color w:val="293237"/>
          <w:sz w:val="28"/>
          <w:szCs w:val="28"/>
          <w:lang w:val="uk-UA"/>
        </w:rPr>
        <w:t>і</w:t>
      </w:r>
      <w:r w:rsidRPr="006C20D5">
        <w:rPr>
          <w:color w:val="293237"/>
          <w:sz w:val="28"/>
          <w:szCs w:val="28"/>
          <w:lang w:val="uk-UA"/>
        </w:rPr>
        <w:t xml:space="preserve"> </w:t>
      </w:r>
      <w:r>
        <w:rPr>
          <w:color w:val="293237"/>
          <w:sz w:val="28"/>
          <w:szCs w:val="28"/>
          <w:lang w:val="uk-UA"/>
        </w:rPr>
        <w:t>заздалегідь</w:t>
      </w:r>
      <w:r w:rsidRPr="006C20D5">
        <w:rPr>
          <w:color w:val="293237"/>
          <w:sz w:val="28"/>
          <w:szCs w:val="28"/>
          <w:lang w:val="uk-UA"/>
        </w:rPr>
        <w:t xml:space="preserve"> невиконуваними графіками погашення заборгованості – 70, 90 та навіть більше 100 відсотків від середньомісячного доходу домогосподарства.</w:t>
      </w:r>
    </w:p>
    <w:p w:rsidR="00DD3CBF" w:rsidRPr="006C20D5" w:rsidRDefault="00DD3CBF" w:rsidP="00DD3CBF">
      <w:pPr>
        <w:pStyle w:val="a6"/>
        <w:shd w:val="clear" w:color="auto" w:fill="FFFFFF"/>
        <w:spacing w:before="0" w:beforeAutospacing="0" w:after="0" w:afterAutospacing="0"/>
        <w:ind w:firstLine="708"/>
        <w:jc w:val="both"/>
        <w:rPr>
          <w:color w:val="293237"/>
          <w:sz w:val="28"/>
          <w:szCs w:val="28"/>
          <w:lang w:val="uk-UA"/>
        </w:rPr>
      </w:pPr>
      <w:r w:rsidRPr="006C20D5">
        <w:rPr>
          <w:color w:val="293237"/>
          <w:sz w:val="28"/>
          <w:szCs w:val="28"/>
          <w:lang w:val="uk-UA"/>
        </w:rPr>
        <w:t xml:space="preserve">За таких умов громадянин не в змозі </w:t>
      </w:r>
      <w:r>
        <w:rPr>
          <w:color w:val="293237"/>
          <w:sz w:val="28"/>
          <w:szCs w:val="28"/>
          <w:lang w:val="uk-UA"/>
        </w:rPr>
        <w:t>сплачувати</w:t>
      </w:r>
      <w:r w:rsidRPr="006C20D5">
        <w:rPr>
          <w:color w:val="293237"/>
          <w:sz w:val="28"/>
          <w:szCs w:val="28"/>
          <w:lang w:val="uk-UA"/>
        </w:rPr>
        <w:t xml:space="preserve"> поточні платежі, не має можливості отримати субсидію</w:t>
      </w:r>
      <w:r>
        <w:rPr>
          <w:color w:val="293237"/>
          <w:sz w:val="28"/>
          <w:szCs w:val="28"/>
          <w:lang w:val="uk-UA"/>
        </w:rPr>
        <w:t>, оскільки ці питання є взаємопов’язаними,</w:t>
      </w:r>
      <w:r w:rsidRPr="006C20D5">
        <w:rPr>
          <w:color w:val="293237"/>
          <w:sz w:val="28"/>
          <w:szCs w:val="28"/>
          <w:lang w:val="uk-UA"/>
        </w:rPr>
        <w:t xml:space="preserve"> </w:t>
      </w:r>
      <w:r>
        <w:rPr>
          <w:color w:val="293237"/>
          <w:sz w:val="28"/>
          <w:szCs w:val="28"/>
          <w:lang w:val="uk-UA"/>
        </w:rPr>
        <w:t>тобто, громадянин позбавляється можливості реалізації гарантованого йому прав на отримання субсидії.</w:t>
      </w:r>
    </w:p>
    <w:p w:rsidR="00DD3CBF" w:rsidRPr="006C20D5" w:rsidRDefault="00DD3CBF" w:rsidP="00DD3CBF">
      <w:pPr>
        <w:pStyle w:val="a6"/>
        <w:shd w:val="clear" w:color="auto" w:fill="FFFFFF"/>
        <w:spacing w:before="0" w:beforeAutospacing="0" w:after="0" w:afterAutospacing="0"/>
        <w:ind w:firstLine="708"/>
        <w:jc w:val="both"/>
        <w:rPr>
          <w:color w:val="293237"/>
          <w:sz w:val="28"/>
          <w:szCs w:val="28"/>
          <w:lang w:val="uk-UA"/>
        </w:rPr>
      </w:pPr>
      <w:r w:rsidRPr="006C20D5">
        <w:rPr>
          <w:color w:val="293237"/>
          <w:sz w:val="28"/>
          <w:szCs w:val="28"/>
          <w:lang w:val="uk-UA"/>
        </w:rPr>
        <w:t>Як результат – житлово-комунальні підприємства та постачальники послуг несуть збитки, громадяни не можуть налагодити життя у скрутних умовах.</w:t>
      </w:r>
    </w:p>
    <w:p w:rsidR="00DD3CBF" w:rsidRPr="006C20D5" w:rsidRDefault="00DD3CBF" w:rsidP="00DD3CBF">
      <w:pPr>
        <w:pStyle w:val="a6"/>
        <w:shd w:val="clear" w:color="auto" w:fill="FFFFFF"/>
        <w:spacing w:before="0" w:beforeAutospacing="0" w:after="0" w:afterAutospacing="0"/>
        <w:ind w:firstLine="708"/>
        <w:jc w:val="both"/>
        <w:rPr>
          <w:color w:val="293237"/>
          <w:sz w:val="28"/>
          <w:szCs w:val="28"/>
          <w:lang w:val="uk-UA"/>
        </w:rPr>
      </w:pPr>
      <w:r w:rsidRPr="006C20D5">
        <w:rPr>
          <w:color w:val="293237"/>
          <w:sz w:val="28"/>
          <w:szCs w:val="28"/>
          <w:lang w:val="uk-UA"/>
        </w:rPr>
        <w:t>Відсутність чіткого механізму з урахуваннями інтересів як громадян</w:t>
      </w:r>
      <w:r>
        <w:rPr>
          <w:color w:val="293237"/>
          <w:sz w:val="28"/>
          <w:szCs w:val="28"/>
          <w:lang w:val="uk-UA"/>
        </w:rPr>
        <w:t>,</w:t>
      </w:r>
      <w:r w:rsidRPr="006C20D5">
        <w:rPr>
          <w:color w:val="293237"/>
          <w:sz w:val="28"/>
          <w:szCs w:val="28"/>
          <w:lang w:val="uk-UA"/>
        </w:rPr>
        <w:t xml:space="preserve"> так і  житлово-комунальних підприємств, постачальників послуг не йде на користь ні першим, ні другим, ні державі.</w:t>
      </w:r>
    </w:p>
    <w:p w:rsidR="00DD3CBF" w:rsidRPr="006C20D5" w:rsidRDefault="00DD3CBF" w:rsidP="00DD3CBF">
      <w:pPr>
        <w:pStyle w:val="HTML"/>
        <w:widowControl w:val="0"/>
        <w:tabs>
          <w:tab w:val="clear" w:pos="916"/>
          <w:tab w:val="clear" w:pos="3664"/>
          <w:tab w:val="clear" w:pos="4580"/>
          <w:tab w:val="left" w:pos="720"/>
        </w:tabs>
        <w:ind w:firstLine="720"/>
        <w:jc w:val="both"/>
        <w:rPr>
          <w:rFonts w:ascii="Times New Roman" w:hAnsi="Times New Roman" w:cs="Times New Roman"/>
          <w:sz w:val="28"/>
          <w:szCs w:val="28"/>
        </w:rPr>
      </w:pPr>
      <w:r w:rsidRPr="006C20D5">
        <w:rPr>
          <w:rFonts w:ascii="Times New Roman" w:hAnsi="Times New Roman" w:cs="Times New Roman"/>
          <w:sz w:val="28"/>
          <w:szCs w:val="28"/>
        </w:rPr>
        <w:t xml:space="preserve">Наразі ситуація буде становитись ще гіршою, оскільки пандемія COVID-19 </w:t>
      </w:r>
      <w:r>
        <w:rPr>
          <w:rFonts w:ascii="Times New Roman" w:hAnsi="Times New Roman" w:cs="Times New Roman"/>
          <w:sz w:val="28"/>
          <w:szCs w:val="28"/>
        </w:rPr>
        <w:t xml:space="preserve">призводить до </w:t>
      </w:r>
      <w:r w:rsidRPr="006C20D5">
        <w:rPr>
          <w:rFonts w:ascii="Times New Roman" w:hAnsi="Times New Roman" w:cs="Times New Roman"/>
          <w:sz w:val="28"/>
          <w:szCs w:val="28"/>
        </w:rPr>
        <w:t xml:space="preserve">падіння доходів громадян та їх </w:t>
      </w:r>
      <w:r>
        <w:rPr>
          <w:rFonts w:ascii="Times New Roman" w:hAnsi="Times New Roman" w:cs="Times New Roman"/>
          <w:sz w:val="28"/>
          <w:szCs w:val="28"/>
        </w:rPr>
        <w:t>платоспроможності</w:t>
      </w:r>
      <w:r w:rsidRPr="006C20D5">
        <w:rPr>
          <w:rFonts w:ascii="Times New Roman" w:hAnsi="Times New Roman" w:cs="Times New Roman"/>
          <w:sz w:val="28"/>
          <w:szCs w:val="28"/>
        </w:rPr>
        <w:t>.</w:t>
      </w:r>
    </w:p>
    <w:p w:rsidR="00DD3CBF" w:rsidRPr="006C20D5" w:rsidRDefault="00DD3CBF" w:rsidP="00DD3CBF">
      <w:pPr>
        <w:pStyle w:val="HTML"/>
        <w:widowControl w:val="0"/>
        <w:tabs>
          <w:tab w:val="clear" w:pos="916"/>
          <w:tab w:val="clear" w:pos="3664"/>
          <w:tab w:val="clear" w:pos="4580"/>
          <w:tab w:val="left" w:pos="720"/>
        </w:tabs>
        <w:ind w:firstLine="720"/>
        <w:jc w:val="both"/>
        <w:rPr>
          <w:rFonts w:ascii="Times New Roman" w:hAnsi="Times New Roman" w:cs="Times New Roman"/>
          <w:sz w:val="28"/>
          <w:szCs w:val="28"/>
        </w:rPr>
      </w:pPr>
      <w:r w:rsidRPr="006C20D5">
        <w:rPr>
          <w:rFonts w:ascii="Times New Roman" w:hAnsi="Times New Roman" w:cs="Times New Roman"/>
          <w:sz w:val="28"/>
          <w:szCs w:val="28"/>
        </w:rPr>
        <w:t>Проблема реструктуризації заборгованості актуальне вже більш ніж п’ятнадцять років, настав час її вирішити шляхом прийняття  спеціального закону, який встановить механізм реструктуризації заборгованості з житлово-комунальних послуг.</w:t>
      </w:r>
    </w:p>
    <w:p w:rsidR="00DD3CBF" w:rsidRPr="006C20D5" w:rsidRDefault="00DD3CBF" w:rsidP="00DD3CBF">
      <w:pPr>
        <w:pStyle w:val="HTML"/>
        <w:widowControl w:val="0"/>
        <w:tabs>
          <w:tab w:val="clear" w:pos="916"/>
          <w:tab w:val="clear" w:pos="3664"/>
          <w:tab w:val="clear" w:pos="4580"/>
          <w:tab w:val="left" w:pos="720"/>
        </w:tabs>
        <w:ind w:firstLine="720"/>
        <w:jc w:val="both"/>
        <w:rPr>
          <w:rFonts w:ascii="Times New Roman" w:hAnsi="Times New Roman" w:cs="Times New Roman"/>
          <w:sz w:val="28"/>
          <w:szCs w:val="28"/>
        </w:rPr>
      </w:pPr>
      <w:r w:rsidRPr="006C20D5">
        <w:rPr>
          <w:rFonts w:ascii="Times New Roman" w:hAnsi="Times New Roman" w:cs="Times New Roman"/>
          <w:sz w:val="28"/>
          <w:szCs w:val="28"/>
        </w:rPr>
        <w:t xml:space="preserve">Запропонований механізм у разі втілення передбачає, що розмір поточних витрат домогосподарства на сплату житлово-господарчих послуг у разі надання субсидії та витрат на погашення заборгованості сумарно складатиме не менш 35 % від середнього сукупного доходу домогосподарства (для найбільш незабезпечених верств населення) з ростом відповідно до доходу домогосподарства та регулюватиметься розміром </w:t>
      </w:r>
      <w:r>
        <w:rPr>
          <w:rFonts w:ascii="Times New Roman" w:hAnsi="Times New Roman" w:cs="Times New Roman"/>
          <w:sz w:val="28"/>
          <w:szCs w:val="28"/>
        </w:rPr>
        <w:t>субсидії, що надається.</w:t>
      </w:r>
    </w:p>
    <w:p w:rsidR="00DD3CBF" w:rsidRPr="006C20D5" w:rsidRDefault="00DD3CBF" w:rsidP="00DD3CBF">
      <w:pPr>
        <w:pStyle w:val="HTML"/>
        <w:widowControl w:val="0"/>
        <w:tabs>
          <w:tab w:val="clear" w:pos="916"/>
          <w:tab w:val="clear" w:pos="3664"/>
          <w:tab w:val="clear" w:pos="4580"/>
          <w:tab w:val="left" w:pos="720"/>
        </w:tabs>
        <w:ind w:firstLine="720"/>
        <w:jc w:val="both"/>
        <w:rPr>
          <w:rFonts w:ascii="Times New Roman" w:hAnsi="Times New Roman" w:cs="Times New Roman"/>
          <w:sz w:val="28"/>
          <w:szCs w:val="28"/>
        </w:rPr>
      </w:pPr>
    </w:p>
    <w:p w:rsidR="00DD3CBF" w:rsidRPr="006C20D5" w:rsidRDefault="00DD3CBF" w:rsidP="00DD3CBF">
      <w:pPr>
        <w:numPr>
          <w:ilvl w:val="0"/>
          <w:numId w:val="1"/>
        </w:numPr>
        <w:spacing w:after="120"/>
        <w:jc w:val="both"/>
        <w:rPr>
          <w:rFonts w:ascii="Times New Roman" w:hAnsi="Times New Roman" w:cs="Times New Roman"/>
          <w:bCs w:val="0"/>
        </w:rPr>
      </w:pPr>
      <w:r w:rsidRPr="006C20D5">
        <w:rPr>
          <w:rFonts w:ascii="Times New Roman" w:hAnsi="Times New Roman" w:cs="Times New Roman"/>
          <w:bCs w:val="0"/>
        </w:rPr>
        <w:t>Мета і шляхи її досягнення</w:t>
      </w:r>
    </w:p>
    <w:p w:rsidR="00DD3CBF" w:rsidRPr="00DD3CBF" w:rsidRDefault="00DD3CBF" w:rsidP="00DD3CBF">
      <w:pPr>
        <w:pStyle w:val="a6"/>
        <w:spacing w:before="120" w:beforeAutospacing="0" w:after="0" w:afterAutospacing="0"/>
        <w:ind w:firstLine="709"/>
        <w:jc w:val="both"/>
        <w:rPr>
          <w:sz w:val="28"/>
          <w:szCs w:val="28"/>
          <w:lang w:val="uk-UA"/>
        </w:rPr>
      </w:pPr>
      <w:r w:rsidRPr="006C20D5">
        <w:rPr>
          <w:sz w:val="28"/>
          <w:szCs w:val="28"/>
          <w:lang w:val="uk-UA"/>
        </w:rPr>
        <w:t xml:space="preserve">Метою </w:t>
      </w:r>
      <w:r w:rsidRPr="00DD3CBF">
        <w:rPr>
          <w:sz w:val="28"/>
          <w:szCs w:val="28"/>
          <w:lang w:val="uk-UA"/>
        </w:rPr>
        <w:t xml:space="preserve">прийняття </w:t>
      </w:r>
      <w:r w:rsidRPr="00DD3CBF">
        <w:rPr>
          <w:bCs/>
          <w:sz w:val="28"/>
          <w:szCs w:val="28"/>
        </w:rPr>
        <w:t>законопроекту</w:t>
      </w:r>
      <w:r w:rsidRPr="00DD3CBF">
        <w:rPr>
          <w:sz w:val="28"/>
          <w:szCs w:val="28"/>
          <w:lang w:val="uk-UA"/>
        </w:rPr>
        <w:t xml:space="preserve"> є впровадження єдиного механізму реструктуризації заборгованості з житлово-комунальних послуг.</w:t>
      </w:r>
    </w:p>
    <w:p w:rsidR="00DD3CBF" w:rsidRPr="006C20D5" w:rsidRDefault="00DD3CBF" w:rsidP="00DD3CBF">
      <w:pPr>
        <w:pStyle w:val="a6"/>
        <w:spacing w:before="120" w:beforeAutospacing="0" w:after="0" w:afterAutospacing="0"/>
        <w:ind w:firstLine="709"/>
        <w:jc w:val="both"/>
        <w:rPr>
          <w:sz w:val="28"/>
          <w:szCs w:val="28"/>
          <w:lang w:val="uk-UA"/>
        </w:rPr>
      </w:pPr>
      <w:r w:rsidRPr="00DD3CBF">
        <w:rPr>
          <w:sz w:val="28"/>
          <w:szCs w:val="28"/>
          <w:lang w:val="uk-UA"/>
        </w:rPr>
        <w:t>Для досягнення цієї</w:t>
      </w:r>
      <w:r w:rsidRPr="006C20D5">
        <w:rPr>
          <w:sz w:val="28"/>
          <w:szCs w:val="28"/>
          <w:lang w:val="uk-UA"/>
        </w:rPr>
        <w:t xml:space="preserve"> мети актом пропонується:</w:t>
      </w:r>
    </w:p>
    <w:p w:rsidR="00DD3CBF" w:rsidRPr="006C20D5" w:rsidRDefault="00DD3CBF" w:rsidP="00DD3CBF">
      <w:pPr>
        <w:spacing w:before="120"/>
        <w:ind w:firstLine="708"/>
        <w:jc w:val="both"/>
        <w:rPr>
          <w:rFonts w:ascii="Times New Roman" w:hAnsi="Times New Roman" w:cs="Times New Roman"/>
          <w:b w:val="0"/>
        </w:rPr>
      </w:pPr>
      <w:r w:rsidRPr="006C20D5">
        <w:rPr>
          <w:rFonts w:ascii="Times New Roman" w:hAnsi="Times New Roman" w:cs="Times New Roman"/>
          <w:b w:val="0"/>
        </w:rPr>
        <w:t>1) визначити механізм розрахунку розміру щомісячних платежів та графіку їх виплат;</w:t>
      </w:r>
    </w:p>
    <w:p w:rsidR="00DD3CBF" w:rsidRPr="006C20D5" w:rsidRDefault="00DD3CBF" w:rsidP="00DD3CBF">
      <w:pPr>
        <w:spacing w:before="120"/>
        <w:ind w:firstLine="708"/>
        <w:jc w:val="both"/>
        <w:rPr>
          <w:rFonts w:ascii="Times New Roman" w:hAnsi="Times New Roman" w:cs="Times New Roman"/>
          <w:b w:val="0"/>
        </w:rPr>
      </w:pPr>
      <w:r w:rsidRPr="006C20D5">
        <w:rPr>
          <w:rFonts w:ascii="Times New Roman" w:hAnsi="Times New Roman" w:cs="Times New Roman"/>
          <w:b w:val="0"/>
        </w:rPr>
        <w:t>2) створення відповідних комісій на місцевому рівні або надання повноважень вже створеним комісіям для здійснення контролю;</w:t>
      </w:r>
    </w:p>
    <w:p w:rsidR="00DD3CBF" w:rsidRPr="004E1256" w:rsidRDefault="00DD3CBF" w:rsidP="00DD3CBF">
      <w:pPr>
        <w:spacing w:before="120"/>
        <w:ind w:firstLine="708"/>
        <w:jc w:val="both"/>
        <w:rPr>
          <w:rFonts w:ascii="Times New Roman" w:hAnsi="Times New Roman" w:cs="Times New Roman"/>
          <w:b w:val="0"/>
        </w:rPr>
      </w:pPr>
      <w:r w:rsidRPr="006C20D5">
        <w:rPr>
          <w:rFonts w:ascii="Times New Roman" w:hAnsi="Times New Roman" w:cs="Times New Roman"/>
          <w:b w:val="0"/>
        </w:rPr>
        <w:lastRenderedPageBreak/>
        <w:t xml:space="preserve">3) приведення </w:t>
      </w:r>
      <w:r>
        <w:rPr>
          <w:rFonts w:ascii="Times New Roman" w:hAnsi="Times New Roman" w:cs="Times New Roman"/>
          <w:b w:val="0"/>
        </w:rPr>
        <w:t xml:space="preserve">у </w:t>
      </w:r>
      <w:r w:rsidRPr="006C20D5">
        <w:rPr>
          <w:rFonts w:ascii="Times New Roman" w:hAnsi="Times New Roman" w:cs="Times New Roman"/>
          <w:b w:val="0"/>
        </w:rPr>
        <w:t>відповідніст</w:t>
      </w:r>
      <w:r>
        <w:rPr>
          <w:rFonts w:ascii="Times New Roman" w:hAnsi="Times New Roman" w:cs="Times New Roman"/>
          <w:b w:val="0"/>
        </w:rPr>
        <w:t>ь</w:t>
      </w:r>
      <w:r w:rsidRPr="006C20D5">
        <w:rPr>
          <w:rFonts w:ascii="Times New Roman" w:hAnsi="Times New Roman" w:cs="Times New Roman"/>
          <w:b w:val="0"/>
        </w:rPr>
        <w:t xml:space="preserve"> прийнятих Кабінетом Міністрів України рішень.  </w:t>
      </w:r>
    </w:p>
    <w:p w:rsidR="00DD3CBF" w:rsidRPr="006C20D5" w:rsidRDefault="00DD3CBF" w:rsidP="00DD3CBF">
      <w:pPr>
        <w:spacing w:before="120"/>
        <w:ind w:firstLine="539"/>
        <w:jc w:val="both"/>
        <w:outlineLvl w:val="0"/>
        <w:rPr>
          <w:rFonts w:ascii="Times New Roman" w:hAnsi="Times New Roman" w:cs="Times New Roman"/>
        </w:rPr>
      </w:pPr>
      <w:r w:rsidRPr="006C20D5">
        <w:rPr>
          <w:rFonts w:ascii="Times New Roman" w:hAnsi="Times New Roman" w:cs="Times New Roman"/>
        </w:rPr>
        <w:t>3.Правові аспекти</w:t>
      </w:r>
    </w:p>
    <w:p w:rsidR="00DD3CBF" w:rsidRPr="006C20D5" w:rsidRDefault="00DD3CBF" w:rsidP="00DD3CBF">
      <w:pPr>
        <w:spacing w:before="120"/>
        <w:ind w:firstLine="539"/>
        <w:jc w:val="both"/>
        <w:outlineLvl w:val="0"/>
        <w:rPr>
          <w:rFonts w:ascii="Times New Roman" w:hAnsi="Times New Roman" w:cs="Times New Roman"/>
          <w:b w:val="0"/>
          <w:bCs w:val="0"/>
        </w:rPr>
      </w:pPr>
      <w:r w:rsidRPr="006C20D5">
        <w:rPr>
          <w:rFonts w:ascii="Times New Roman" w:hAnsi="Times New Roman" w:cs="Times New Roman"/>
          <w:b w:val="0"/>
          <w:bCs w:val="0"/>
        </w:rPr>
        <w:t xml:space="preserve"> Основними нормативно-правовими актами, які діють у даній сфері правового регулювання є:</w:t>
      </w:r>
    </w:p>
    <w:p w:rsidR="00DD3CBF" w:rsidRPr="006C20D5" w:rsidRDefault="00DD3CBF" w:rsidP="00DD3CBF">
      <w:pPr>
        <w:spacing w:before="120"/>
        <w:ind w:firstLine="539"/>
        <w:jc w:val="both"/>
        <w:outlineLvl w:val="0"/>
        <w:rPr>
          <w:rFonts w:ascii="Times New Roman" w:hAnsi="Times New Roman" w:cs="Times New Roman"/>
          <w:b w:val="0"/>
          <w:bCs w:val="0"/>
        </w:rPr>
      </w:pPr>
      <w:r w:rsidRPr="006C20D5">
        <w:rPr>
          <w:rFonts w:ascii="Times New Roman" w:hAnsi="Times New Roman" w:cs="Times New Roman"/>
          <w:b w:val="0"/>
          <w:bCs w:val="0"/>
        </w:rPr>
        <w:t>Конституція України;</w:t>
      </w:r>
    </w:p>
    <w:p w:rsidR="00DD3CBF" w:rsidRDefault="00DD3CBF" w:rsidP="00DD3CBF">
      <w:pPr>
        <w:pStyle w:val="HTML"/>
        <w:shd w:val="clear" w:color="auto" w:fill="FFFFFF"/>
        <w:ind w:firstLine="539"/>
        <w:jc w:val="both"/>
        <w:rPr>
          <w:rFonts w:ascii="Times New Roman" w:hAnsi="Times New Roman" w:cs="Times New Roman"/>
          <w:color w:val="292B2C"/>
          <w:sz w:val="28"/>
          <w:szCs w:val="28"/>
        </w:rPr>
      </w:pPr>
      <w:r w:rsidRPr="006C20D5">
        <w:rPr>
          <w:rFonts w:ascii="Times New Roman" w:hAnsi="Times New Roman" w:cs="Times New Roman"/>
          <w:sz w:val="28"/>
          <w:szCs w:val="28"/>
        </w:rPr>
        <w:t>Закон України від 20.02</w:t>
      </w:r>
      <w:r>
        <w:rPr>
          <w:rFonts w:ascii="Times New Roman" w:hAnsi="Times New Roman" w:cs="Times New Roman"/>
          <w:sz w:val="28"/>
          <w:szCs w:val="28"/>
        </w:rPr>
        <w:t>.</w:t>
      </w:r>
      <w:r w:rsidRPr="006C20D5">
        <w:rPr>
          <w:rFonts w:ascii="Times New Roman" w:hAnsi="Times New Roman" w:cs="Times New Roman"/>
          <w:sz w:val="28"/>
          <w:szCs w:val="28"/>
        </w:rPr>
        <w:t>2003 р. № 554-IV «</w:t>
      </w:r>
      <w:r w:rsidRPr="006C20D5">
        <w:rPr>
          <w:rFonts w:ascii="Times New Roman" w:hAnsi="Times New Roman" w:cs="Times New Roman"/>
          <w:color w:val="292B2C"/>
          <w:sz w:val="28"/>
          <w:szCs w:val="28"/>
        </w:rPr>
        <w:t>Про реструктуризацію заборгованості з квартирної плати, плати за житлово-комунальні послуги,  спожиті газ та електроенергію»;</w:t>
      </w:r>
    </w:p>
    <w:p w:rsidR="00DD3CBF" w:rsidRDefault="00DD3CBF" w:rsidP="00DD3CBF">
      <w:pPr>
        <w:pStyle w:val="HTML"/>
        <w:shd w:val="clear" w:color="auto" w:fill="FFFFFF"/>
        <w:ind w:firstLine="539"/>
        <w:jc w:val="both"/>
        <w:rPr>
          <w:rFonts w:ascii="Times New Roman" w:hAnsi="Times New Roman" w:cs="Times New Roman"/>
          <w:color w:val="292B2C"/>
          <w:sz w:val="28"/>
          <w:szCs w:val="28"/>
        </w:rPr>
      </w:pPr>
      <w:r>
        <w:rPr>
          <w:rFonts w:ascii="Times New Roman" w:hAnsi="Times New Roman" w:cs="Times New Roman"/>
          <w:color w:val="292B2C"/>
          <w:sz w:val="28"/>
          <w:szCs w:val="28"/>
        </w:rPr>
        <w:t>Закон України від 09.11.2017 р. № 2189-</w:t>
      </w:r>
      <w:r>
        <w:rPr>
          <w:rFonts w:ascii="Times New Roman" w:hAnsi="Times New Roman" w:cs="Times New Roman"/>
          <w:color w:val="292B2C"/>
          <w:sz w:val="28"/>
          <w:szCs w:val="28"/>
          <w:lang w:val="en-US"/>
        </w:rPr>
        <w:t>VIII</w:t>
      </w:r>
      <w:r w:rsidRPr="009C74DA">
        <w:rPr>
          <w:rFonts w:ascii="Times New Roman" w:hAnsi="Times New Roman" w:cs="Times New Roman"/>
          <w:color w:val="292B2C"/>
          <w:sz w:val="28"/>
          <w:szCs w:val="28"/>
          <w:lang w:val="ru-RU"/>
        </w:rPr>
        <w:t xml:space="preserve"> </w:t>
      </w:r>
      <w:r>
        <w:rPr>
          <w:rFonts w:ascii="Times New Roman" w:hAnsi="Times New Roman" w:cs="Times New Roman"/>
          <w:color w:val="292B2C"/>
          <w:sz w:val="28"/>
          <w:szCs w:val="28"/>
        </w:rPr>
        <w:t>«Про житлово-комунальні послуги»»</w:t>
      </w:r>
    </w:p>
    <w:p w:rsidR="00DD3CBF" w:rsidRDefault="00DD3CBF" w:rsidP="00DD3CBF">
      <w:pPr>
        <w:pStyle w:val="HTML"/>
        <w:shd w:val="clear" w:color="auto" w:fill="FFFFFF"/>
        <w:ind w:firstLine="539"/>
        <w:jc w:val="both"/>
        <w:rPr>
          <w:rFonts w:ascii="Times New Roman" w:hAnsi="Times New Roman" w:cs="Times New Roman"/>
          <w:color w:val="292B2C"/>
          <w:sz w:val="28"/>
          <w:szCs w:val="28"/>
        </w:rPr>
      </w:pPr>
      <w:r w:rsidRPr="006C20D5">
        <w:rPr>
          <w:rFonts w:ascii="Times New Roman" w:hAnsi="Times New Roman" w:cs="Times New Roman"/>
          <w:sz w:val="28"/>
          <w:szCs w:val="28"/>
        </w:rPr>
        <w:t xml:space="preserve">Постанова Кабінету Міністрів України </w:t>
      </w:r>
      <w:r w:rsidRPr="00D035E6">
        <w:rPr>
          <w:rFonts w:ascii="Times New Roman" w:hAnsi="Times New Roman" w:cs="Times New Roman"/>
          <w:sz w:val="28"/>
          <w:szCs w:val="28"/>
        </w:rPr>
        <w:t>від 21 жовтня 1995 р. № 848</w:t>
      </w:r>
      <w:r w:rsidRPr="00D035E6">
        <w:rPr>
          <w:rFonts w:ascii="Times New Roman" w:hAnsi="Times New Roman" w:cs="Times New Roman"/>
          <w:color w:val="auto"/>
          <w:sz w:val="28"/>
          <w:szCs w:val="28"/>
        </w:rPr>
        <w:br/>
      </w:r>
      <w:r w:rsidRPr="006C20D5">
        <w:rPr>
          <w:rFonts w:ascii="Times New Roman" w:hAnsi="Times New Roman" w:cs="Times New Roman"/>
        </w:rPr>
        <w:t>«</w:t>
      </w:r>
      <w:r w:rsidRPr="00D035E6">
        <w:rPr>
          <w:rFonts w:ascii="Times New Roman" w:hAnsi="Times New Roman" w:cs="Times New Roman"/>
          <w:sz w:val="28"/>
          <w:szCs w:val="28"/>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6C20D5">
        <w:rPr>
          <w:rFonts w:ascii="Times New Roman" w:hAnsi="Times New Roman" w:cs="Times New Roman"/>
        </w:rPr>
        <w:t>»;</w:t>
      </w:r>
    </w:p>
    <w:p w:rsidR="00DD3CBF" w:rsidRPr="006C20D5" w:rsidRDefault="00DD3CBF" w:rsidP="00DD3CBF">
      <w:pPr>
        <w:pStyle w:val="HTML"/>
        <w:shd w:val="clear" w:color="auto" w:fill="FFFFFF"/>
        <w:ind w:firstLine="539"/>
        <w:jc w:val="both"/>
        <w:rPr>
          <w:rFonts w:ascii="Times New Roman" w:hAnsi="Times New Roman" w:cs="Times New Roman"/>
          <w:color w:val="292B2C"/>
          <w:sz w:val="28"/>
          <w:szCs w:val="28"/>
        </w:rPr>
      </w:pPr>
      <w:r w:rsidRPr="006C20D5">
        <w:rPr>
          <w:rFonts w:ascii="Times New Roman" w:hAnsi="Times New Roman" w:cs="Times New Roman"/>
          <w:sz w:val="28"/>
          <w:szCs w:val="28"/>
        </w:rPr>
        <w:t xml:space="preserve">Постанова Кабінету Міністрів України </w:t>
      </w:r>
      <w:r w:rsidRPr="006C20D5">
        <w:rPr>
          <w:rFonts w:ascii="Times New Roman" w:hAnsi="Times New Roman" w:cs="Times New Roman"/>
          <w:color w:val="292B2C"/>
          <w:sz w:val="28"/>
          <w:szCs w:val="28"/>
        </w:rPr>
        <w:t>від 27 липня 1998 р. N 1156 «Про новий розмір витрат на оплату житлово-комунальних</w:t>
      </w:r>
      <w:bookmarkStart w:id="1" w:name="o4"/>
      <w:bookmarkEnd w:id="1"/>
      <w:r w:rsidRPr="006C20D5">
        <w:rPr>
          <w:rFonts w:ascii="Times New Roman" w:hAnsi="Times New Roman" w:cs="Times New Roman"/>
          <w:color w:val="292B2C"/>
          <w:sz w:val="28"/>
          <w:szCs w:val="28"/>
        </w:rPr>
        <w:t xml:space="preserve"> </w:t>
      </w:r>
      <w:r w:rsidRPr="00D035E6">
        <w:rPr>
          <w:rFonts w:ascii="Times New Roman" w:hAnsi="Times New Roman" w:cs="Times New Roman"/>
          <w:color w:val="292B2C"/>
          <w:sz w:val="28"/>
          <w:szCs w:val="28"/>
        </w:rPr>
        <w:t>послуг, придбання скрапленого газу, твердого та рідкого</w:t>
      </w:r>
      <w:bookmarkStart w:id="2" w:name="o5"/>
      <w:bookmarkEnd w:id="2"/>
      <w:r w:rsidRPr="006C20D5">
        <w:rPr>
          <w:rFonts w:ascii="Times New Roman" w:hAnsi="Times New Roman" w:cs="Times New Roman"/>
          <w:color w:val="292B2C"/>
          <w:sz w:val="28"/>
          <w:szCs w:val="28"/>
        </w:rPr>
        <w:t xml:space="preserve"> </w:t>
      </w:r>
      <w:r w:rsidRPr="00D035E6">
        <w:rPr>
          <w:rFonts w:ascii="Times New Roman" w:hAnsi="Times New Roman" w:cs="Times New Roman"/>
          <w:color w:val="292B2C"/>
          <w:sz w:val="28"/>
          <w:szCs w:val="28"/>
        </w:rPr>
        <w:t>пічного побутового палива у разі надання житлової субсидії</w:t>
      </w:r>
      <w:r w:rsidRPr="006C20D5">
        <w:rPr>
          <w:rFonts w:ascii="Times New Roman" w:hAnsi="Times New Roman" w:cs="Times New Roman"/>
          <w:color w:val="292B2C"/>
          <w:sz w:val="28"/>
          <w:szCs w:val="28"/>
        </w:rPr>
        <w:t>»</w:t>
      </w:r>
      <w:r>
        <w:rPr>
          <w:rFonts w:ascii="Times New Roman" w:hAnsi="Times New Roman" w:cs="Times New Roman"/>
          <w:color w:val="292B2C"/>
          <w:sz w:val="28"/>
          <w:szCs w:val="28"/>
        </w:rPr>
        <w:t>.</w:t>
      </w:r>
    </w:p>
    <w:p w:rsidR="00DD3CBF" w:rsidRPr="006C20D5" w:rsidRDefault="00DD3CBF" w:rsidP="00DD3CBF">
      <w:pPr>
        <w:ind w:firstLine="540"/>
        <w:jc w:val="both"/>
        <w:outlineLvl w:val="0"/>
        <w:rPr>
          <w:rFonts w:ascii="Times New Roman" w:hAnsi="Times New Roman" w:cs="Times New Roman"/>
          <w:color w:val="auto"/>
        </w:rPr>
      </w:pPr>
    </w:p>
    <w:p w:rsidR="00DD3CBF" w:rsidRPr="006C20D5" w:rsidRDefault="00DD3CBF" w:rsidP="00DD3CBF">
      <w:pPr>
        <w:ind w:firstLine="540"/>
        <w:jc w:val="both"/>
        <w:outlineLvl w:val="0"/>
        <w:rPr>
          <w:rFonts w:ascii="Times New Roman" w:hAnsi="Times New Roman" w:cs="Times New Roman"/>
          <w:color w:val="auto"/>
        </w:rPr>
      </w:pPr>
      <w:r w:rsidRPr="006C20D5">
        <w:rPr>
          <w:rFonts w:ascii="Times New Roman" w:hAnsi="Times New Roman" w:cs="Times New Roman"/>
          <w:color w:val="auto"/>
        </w:rPr>
        <w:t>4. Фінансово-економічне обґрунтування</w:t>
      </w:r>
    </w:p>
    <w:p w:rsidR="00DD3CBF" w:rsidRDefault="00DD3CBF" w:rsidP="00DD3CBF">
      <w:pPr>
        <w:shd w:val="clear" w:color="auto" w:fill="FFFFFF"/>
        <w:autoSpaceDE w:val="0"/>
        <w:autoSpaceDN w:val="0"/>
        <w:adjustRightInd w:val="0"/>
        <w:spacing w:after="120"/>
        <w:ind w:firstLine="540"/>
        <w:jc w:val="both"/>
        <w:rPr>
          <w:rFonts w:ascii="Times New Roman" w:hAnsi="Times New Roman" w:cs="Times New Roman"/>
          <w:b w:val="0"/>
        </w:rPr>
      </w:pPr>
      <w:r w:rsidRPr="006C20D5">
        <w:rPr>
          <w:rFonts w:ascii="Times New Roman" w:hAnsi="Times New Roman" w:cs="Times New Roman"/>
          <w:b w:val="0"/>
        </w:rPr>
        <w:t xml:space="preserve">Реалізація положень запропонованого </w:t>
      </w:r>
      <w:r>
        <w:rPr>
          <w:rFonts w:ascii="Times New Roman" w:hAnsi="Times New Roman" w:cs="Times New Roman"/>
          <w:b w:val="0"/>
        </w:rPr>
        <w:t>законопроекту</w:t>
      </w:r>
      <w:r w:rsidRPr="006C20D5">
        <w:rPr>
          <w:rFonts w:ascii="Times New Roman" w:hAnsi="Times New Roman" w:cs="Times New Roman"/>
          <w:b w:val="0"/>
        </w:rPr>
        <w:t xml:space="preserve"> не потребує додаткових матеріальних та фінансових витрат із Державного бюджету України.</w:t>
      </w:r>
    </w:p>
    <w:p w:rsidR="00DD3CBF" w:rsidRPr="006C20D5" w:rsidRDefault="00DD3CBF" w:rsidP="00DD3CBF">
      <w:pPr>
        <w:shd w:val="clear" w:color="auto" w:fill="FFFFFF"/>
        <w:autoSpaceDE w:val="0"/>
        <w:autoSpaceDN w:val="0"/>
        <w:adjustRightInd w:val="0"/>
        <w:spacing w:after="120"/>
        <w:ind w:firstLine="540"/>
        <w:jc w:val="both"/>
        <w:rPr>
          <w:rFonts w:ascii="Times New Roman" w:hAnsi="Times New Roman" w:cs="Times New Roman"/>
          <w:b w:val="0"/>
        </w:rPr>
      </w:pPr>
    </w:p>
    <w:p w:rsidR="00DD3CBF" w:rsidRPr="006C20D5" w:rsidRDefault="00DD3CBF" w:rsidP="00DD3CBF">
      <w:pPr>
        <w:spacing w:before="120"/>
        <w:ind w:firstLine="539"/>
        <w:jc w:val="both"/>
        <w:outlineLvl w:val="0"/>
        <w:rPr>
          <w:rFonts w:ascii="Times New Roman" w:hAnsi="Times New Roman" w:cs="Times New Roman"/>
          <w:bCs w:val="0"/>
        </w:rPr>
      </w:pPr>
      <w:r w:rsidRPr="006C20D5">
        <w:rPr>
          <w:rFonts w:ascii="Times New Roman" w:hAnsi="Times New Roman" w:cs="Times New Roman"/>
        </w:rPr>
        <w:t xml:space="preserve">5. </w:t>
      </w:r>
      <w:r w:rsidRPr="006C20D5">
        <w:rPr>
          <w:rFonts w:ascii="Times New Roman" w:hAnsi="Times New Roman" w:cs="Times New Roman"/>
          <w:bCs w:val="0"/>
        </w:rPr>
        <w:t>Прогноз результатів</w:t>
      </w:r>
    </w:p>
    <w:p w:rsidR="00DD3CBF" w:rsidRDefault="00DD3CBF" w:rsidP="00DD3CBF">
      <w:pPr>
        <w:ind w:firstLine="539"/>
        <w:jc w:val="both"/>
        <w:rPr>
          <w:rFonts w:ascii="Times New Roman" w:hAnsi="Times New Roman" w:cs="Times New Roman"/>
          <w:b w:val="0"/>
        </w:rPr>
      </w:pPr>
      <w:r w:rsidRPr="006C20D5">
        <w:rPr>
          <w:rFonts w:ascii="Times New Roman" w:hAnsi="Times New Roman" w:cs="Times New Roman"/>
          <w:b w:val="0"/>
        </w:rPr>
        <w:t xml:space="preserve">Прийняття </w:t>
      </w:r>
      <w:r>
        <w:rPr>
          <w:rFonts w:ascii="Times New Roman" w:hAnsi="Times New Roman" w:cs="Times New Roman"/>
          <w:b w:val="0"/>
        </w:rPr>
        <w:t>законопроекту</w:t>
      </w:r>
      <w:r w:rsidRPr="006C20D5">
        <w:rPr>
          <w:rFonts w:ascii="Times New Roman" w:hAnsi="Times New Roman" w:cs="Times New Roman"/>
          <w:b w:val="0"/>
        </w:rPr>
        <w:t xml:space="preserve"> дозволить отримати позитивні результати, зокрема:</w:t>
      </w:r>
    </w:p>
    <w:p w:rsidR="00DD3CBF" w:rsidRPr="006C20D5" w:rsidRDefault="00DD3CBF" w:rsidP="00DD3CBF">
      <w:pPr>
        <w:ind w:firstLine="539"/>
        <w:jc w:val="both"/>
        <w:rPr>
          <w:rFonts w:ascii="Times New Roman" w:hAnsi="Times New Roman" w:cs="Times New Roman"/>
          <w:b w:val="0"/>
        </w:rPr>
      </w:pPr>
      <w:r>
        <w:rPr>
          <w:rFonts w:ascii="Times New Roman" w:hAnsi="Times New Roman" w:cs="Times New Roman"/>
          <w:b w:val="0"/>
        </w:rPr>
        <w:t>1) забезпечення реалізації прав громадян на реструктуризацію заборгованості та отримання субсидії;</w:t>
      </w:r>
    </w:p>
    <w:p w:rsidR="00DD3CBF" w:rsidRDefault="00DD3CBF" w:rsidP="00DD3CBF">
      <w:pPr>
        <w:pStyle w:val="a6"/>
        <w:spacing w:before="0" w:beforeAutospacing="0" w:after="0" w:afterAutospacing="0"/>
        <w:ind w:firstLine="539"/>
        <w:jc w:val="both"/>
        <w:rPr>
          <w:sz w:val="28"/>
          <w:szCs w:val="28"/>
          <w:lang w:val="uk-UA"/>
        </w:rPr>
      </w:pPr>
      <w:r>
        <w:rPr>
          <w:sz w:val="28"/>
          <w:szCs w:val="28"/>
          <w:lang w:val="uk-UA"/>
        </w:rPr>
        <w:t>2</w:t>
      </w:r>
      <w:r w:rsidRPr="006C20D5">
        <w:rPr>
          <w:sz w:val="28"/>
          <w:szCs w:val="28"/>
          <w:lang w:val="uk-UA"/>
        </w:rPr>
        <w:t>) збільшення розміру сплати заборгованості постачальникам послуг та як наслідок - збільшення надходжень до Державного бюджету України;</w:t>
      </w:r>
    </w:p>
    <w:p w:rsidR="00DD3CBF" w:rsidRPr="006C20D5" w:rsidRDefault="00DD3CBF" w:rsidP="00DD3CBF">
      <w:pPr>
        <w:pStyle w:val="a6"/>
        <w:spacing w:before="0" w:beforeAutospacing="0" w:after="0" w:afterAutospacing="0"/>
        <w:ind w:firstLine="539"/>
        <w:jc w:val="both"/>
        <w:rPr>
          <w:sz w:val="28"/>
          <w:szCs w:val="28"/>
          <w:lang w:val="uk-UA"/>
        </w:rPr>
      </w:pPr>
      <w:r>
        <w:rPr>
          <w:sz w:val="28"/>
          <w:szCs w:val="28"/>
          <w:lang w:val="uk-UA"/>
        </w:rPr>
        <w:t>3) збільшення відсотка сплати поточних платежів</w:t>
      </w:r>
      <w:r w:rsidRPr="006C20D5">
        <w:rPr>
          <w:sz w:val="28"/>
          <w:szCs w:val="28"/>
          <w:lang w:val="uk-UA"/>
        </w:rPr>
        <w:t xml:space="preserve"> та як наслідок - збільшення надходжень до Державного бюджету України</w:t>
      </w:r>
      <w:r>
        <w:rPr>
          <w:sz w:val="28"/>
          <w:szCs w:val="28"/>
          <w:lang w:val="uk-UA"/>
        </w:rPr>
        <w:t>;</w:t>
      </w:r>
    </w:p>
    <w:p w:rsidR="00DD3CBF" w:rsidRPr="006C20D5" w:rsidRDefault="00DD3CBF" w:rsidP="00DD3CBF">
      <w:pPr>
        <w:pStyle w:val="a6"/>
        <w:spacing w:before="0" w:beforeAutospacing="0" w:after="0" w:afterAutospacing="0"/>
        <w:ind w:firstLine="539"/>
        <w:jc w:val="both"/>
        <w:rPr>
          <w:sz w:val="28"/>
          <w:szCs w:val="28"/>
          <w:lang w:val="uk-UA"/>
        </w:rPr>
      </w:pPr>
      <w:r>
        <w:rPr>
          <w:sz w:val="28"/>
          <w:szCs w:val="28"/>
          <w:lang w:val="uk-UA"/>
        </w:rPr>
        <w:t>4</w:t>
      </w:r>
      <w:r w:rsidRPr="006C20D5">
        <w:rPr>
          <w:sz w:val="28"/>
          <w:szCs w:val="28"/>
          <w:lang w:val="uk-UA"/>
        </w:rPr>
        <w:t>) зменшення соціальної напруги у суспільстві;</w:t>
      </w:r>
    </w:p>
    <w:p w:rsidR="00DD3CBF" w:rsidRPr="00DD3CBF" w:rsidRDefault="00DD3CBF" w:rsidP="00DD3CBF">
      <w:pPr>
        <w:pStyle w:val="a6"/>
        <w:spacing w:before="0" w:beforeAutospacing="0" w:after="0" w:afterAutospacing="0"/>
        <w:ind w:firstLine="539"/>
        <w:jc w:val="both"/>
        <w:rPr>
          <w:rStyle w:val="a7"/>
          <w:b w:val="0"/>
          <w:sz w:val="28"/>
          <w:szCs w:val="28"/>
          <w:lang w:val="uk-UA"/>
        </w:rPr>
      </w:pPr>
      <w:r w:rsidRPr="00DD3CBF">
        <w:rPr>
          <w:rStyle w:val="a7"/>
          <w:b w:val="0"/>
          <w:sz w:val="28"/>
          <w:szCs w:val="28"/>
          <w:lang w:val="uk-UA"/>
        </w:rPr>
        <w:t>5) підвищення рівня  довіри населення до державної влади;</w:t>
      </w:r>
    </w:p>
    <w:p w:rsidR="00DD3CBF" w:rsidRPr="006C20D5" w:rsidRDefault="00DD3CBF" w:rsidP="00DD3CBF">
      <w:pPr>
        <w:ind w:firstLine="539"/>
        <w:jc w:val="both"/>
        <w:rPr>
          <w:rFonts w:ascii="Times New Roman" w:hAnsi="Times New Roman" w:cs="Times New Roman"/>
          <w:b w:val="0"/>
        </w:rPr>
      </w:pPr>
      <w:r>
        <w:rPr>
          <w:rFonts w:ascii="Times New Roman" w:hAnsi="Times New Roman" w:cs="Times New Roman"/>
          <w:b w:val="0"/>
        </w:rPr>
        <w:t>6</w:t>
      </w:r>
      <w:r w:rsidRPr="006C20D5">
        <w:rPr>
          <w:rFonts w:ascii="Times New Roman" w:hAnsi="Times New Roman" w:cs="Times New Roman"/>
          <w:b w:val="0"/>
        </w:rPr>
        <w:t xml:space="preserve">) закладе основи для зростання </w:t>
      </w:r>
      <w:r w:rsidRPr="00DD3CBF">
        <w:rPr>
          <w:rFonts w:ascii="Times New Roman" w:hAnsi="Times New Roman" w:cs="Times New Roman"/>
          <w:b w:val="0"/>
        </w:rPr>
        <w:t>платоспроможності</w:t>
      </w:r>
      <w:r w:rsidRPr="006C20D5">
        <w:rPr>
          <w:rFonts w:ascii="Times New Roman" w:hAnsi="Times New Roman" w:cs="Times New Roman"/>
          <w:b w:val="0"/>
        </w:rPr>
        <w:t xml:space="preserve"> громадян.</w:t>
      </w:r>
    </w:p>
    <w:p w:rsidR="00DD3CBF" w:rsidRDefault="00DD3CBF" w:rsidP="00DD3CBF">
      <w:pPr>
        <w:rPr>
          <w:rFonts w:ascii="Times New Roman" w:hAnsi="Times New Roman" w:cs="Times New Roman"/>
        </w:rPr>
      </w:pPr>
    </w:p>
    <w:p w:rsidR="00554EEF" w:rsidRPr="006C20D5" w:rsidRDefault="00554EEF" w:rsidP="00DD3CBF">
      <w:pPr>
        <w:rPr>
          <w:rFonts w:ascii="Times New Roman" w:hAnsi="Times New Roman" w:cs="Times New Roman"/>
        </w:rPr>
      </w:pPr>
      <w:r>
        <w:rPr>
          <w:rFonts w:ascii="Times New Roman" w:hAnsi="Times New Roman" w:cs="Times New Roman"/>
        </w:rPr>
        <w:t>Народні депутати України</w:t>
      </w:r>
    </w:p>
    <w:p w:rsidR="00DD3CBF" w:rsidRPr="006C20D5" w:rsidRDefault="00DD3CBF" w:rsidP="00DD3CBF">
      <w:pPr>
        <w:rPr>
          <w:rFonts w:ascii="Times New Roman" w:hAnsi="Times New Roman" w:cs="Times New Roman"/>
          <w:b w:val="0"/>
        </w:rPr>
      </w:pPr>
    </w:p>
    <w:p w:rsidR="00DD3CBF" w:rsidRPr="00DD3CBF" w:rsidRDefault="00DD3CBF">
      <w:pPr>
        <w:rPr>
          <w:rFonts w:asciiTheme="minorHAnsi" w:hAnsiTheme="minorHAnsi"/>
        </w:rPr>
      </w:pPr>
    </w:p>
    <w:sectPr w:rsidR="00DD3CBF" w:rsidRPr="00DD3CBF" w:rsidSect="003527F8">
      <w:headerReference w:type="even" r:id="rId10"/>
      <w:headerReference w:type="default" r:id="rId11"/>
      <w:pgSz w:w="11906" w:h="16838"/>
      <w:pgMar w:top="1134" w:right="850" w:bottom="1134" w:left="1701" w:header="708" w:footer="708"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02" w:rsidRDefault="00443D02">
      <w:r>
        <w:separator/>
      </w:r>
    </w:p>
  </w:endnote>
  <w:endnote w:type="continuationSeparator" w:id="0">
    <w:p w:rsidR="00443D02" w:rsidRDefault="0044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UkrainianLazurski">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02" w:rsidRDefault="00443D02">
      <w:r>
        <w:separator/>
      </w:r>
    </w:p>
  </w:footnote>
  <w:footnote w:type="continuationSeparator" w:id="0">
    <w:p w:rsidR="00443D02" w:rsidRDefault="00443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D50" w:rsidRDefault="00DD3CBF" w:rsidP="008D62BE">
    <w:pPr>
      <w:pStyle w:val="a3"/>
      <w:framePr w:wrap="around" w:vAnchor="text" w:hAnchor="margin" w:xAlign="center" w:y="1"/>
      <w:rPr>
        <w:rStyle w:val="a5"/>
        <w:rFonts w:cs="UkrainianLazurski"/>
      </w:rPr>
    </w:pPr>
    <w:r>
      <w:rPr>
        <w:rStyle w:val="a5"/>
        <w:rFonts w:cs="UkrainianLazurski"/>
      </w:rPr>
      <w:fldChar w:fldCharType="begin"/>
    </w:r>
    <w:r>
      <w:rPr>
        <w:rStyle w:val="a5"/>
        <w:rFonts w:cs="UkrainianLazurski"/>
      </w:rPr>
      <w:instrText xml:space="preserve">PAGE  </w:instrText>
    </w:r>
    <w:r>
      <w:rPr>
        <w:rStyle w:val="a5"/>
        <w:rFonts w:cs="UkrainianLazurski"/>
      </w:rPr>
      <w:fldChar w:fldCharType="separate"/>
    </w:r>
    <w:r>
      <w:rPr>
        <w:rStyle w:val="a5"/>
        <w:rFonts w:cs="UkrainianLazurski"/>
        <w:noProof/>
      </w:rPr>
      <w:t>2</w:t>
    </w:r>
    <w:r>
      <w:rPr>
        <w:rStyle w:val="a5"/>
        <w:rFonts w:cs="UkrainianLazurski"/>
      </w:rPr>
      <w:fldChar w:fldCharType="end"/>
    </w:r>
  </w:p>
  <w:p w:rsidR="00307D50" w:rsidRDefault="00443D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D50" w:rsidRPr="00A1021F" w:rsidRDefault="00DD3CBF" w:rsidP="008D62BE">
    <w:pPr>
      <w:pStyle w:val="a3"/>
      <w:framePr w:wrap="around" w:vAnchor="text" w:hAnchor="margin" w:xAlign="center" w:y="1"/>
      <w:rPr>
        <w:rStyle w:val="a5"/>
        <w:rFonts w:ascii="Times New Roman" w:hAnsi="Times New Roman"/>
        <w:b w:val="0"/>
        <w:sz w:val="24"/>
        <w:szCs w:val="24"/>
      </w:rPr>
    </w:pPr>
    <w:r w:rsidRPr="00A1021F">
      <w:rPr>
        <w:rStyle w:val="a5"/>
        <w:rFonts w:ascii="Times New Roman" w:hAnsi="Times New Roman"/>
        <w:b w:val="0"/>
        <w:sz w:val="24"/>
        <w:szCs w:val="24"/>
      </w:rPr>
      <w:fldChar w:fldCharType="begin"/>
    </w:r>
    <w:r w:rsidRPr="00A1021F">
      <w:rPr>
        <w:rStyle w:val="a5"/>
        <w:rFonts w:ascii="Times New Roman" w:hAnsi="Times New Roman"/>
        <w:b w:val="0"/>
        <w:sz w:val="24"/>
        <w:szCs w:val="24"/>
      </w:rPr>
      <w:instrText xml:space="preserve">PAGE  </w:instrText>
    </w:r>
    <w:r w:rsidRPr="00A1021F">
      <w:rPr>
        <w:rStyle w:val="a5"/>
        <w:rFonts w:ascii="Times New Roman" w:hAnsi="Times New Roman"/>
        <w:b w:val="0"/>
        <w:sz w:val="24"/>
        <w:szCs w:val="24"/>
      </w:rPr>
      <w:fldChar w:fldCharType="separate"/>
    </w:r>
    <w:r w:rsidR="00131B70">
      <w:rPr>
        <w:rStyle w:val="a5"/>
        <w:rFonts w:ascii="Times New Roman" w:hAnsi="Times New Roman"/>
        <w:b w:val="0"/>
        <w:noProof/>
        <w:sz w:val="24"/>
        <w:szCs w:val="24"/>
      </w:rPr>
      <w:t>2</w:t>
    </w:r>
    <w:r w:rsidRPr="00A1021F">
      <w:rPr>
        <w:rStyle w:val="a5"/>
        <w:rFonts w:ascii="Times New Roman" w:hAnsi="Times New Roman"/>
        <w:b w:val="0"/>
        <w:sz w:val="24"/>
        <w:szCs w:val="24"/>
      </w:rPr>
      <w:fldChar w:fldCharType="end"/>
    </w:r>
  </w:p>
  <w:p w:rsidR="00307D50" w:rsidRDefault="00443D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D0866"/>
    <w:multiLevelType w:val="hybridMultilevel"/>
    <w:tmpl w:val="10AE5C4C"/>
    <w:lvl w:ilvl="0" w:tplc="1446206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BF"/>
    <w:rsid w:val="00131B70"/>
    <w:rsid w:val="00443D02"/>
    <w:rsid w:val="00554EEF"/>
    <w:rsid w:val="0069165C"/>
    <w:rsid w:val="00DD3C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B6D8D-4994-497A-8854-19CFACEE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CBF"/>
    <w:pPr>
      <w:spacing w:after="0" w:line="240" w:lineRule="auto"/>
    </w:pPr>
    <w:rPr>
      <w:rFonts w:ascii="UkrainianLazurski" w:eastAsia="Times New Roman" w:hAnsi="UkrainianLazurski" w:cs="UkrainianLazurski"/>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3CBF"/>
    <w:pPr>
      <w:tabs>
        <w:tab w:val="center" w:pos="4677"/>
        <w:tab w:val="right" w:pos="9355"/>
      </w:tabs>
    </w:pPr>
  </w:style>
  <w:style w:type="character" w:customStyle="1" w:styleId="a4">
    <w:name w:val="Верхній колонтитул Знак"/>
    <w:basedOn w:val="a0"/>
    <w:link w:val="a3"/>
    <w:uiPriority w:val="99"/>
    <w:rsid w:val="00DD3CBF"/>
    <w:rPr>
      <w:rFonts w:ascii="UkrainianLazurski" w:eastAsia="Times New Roman" w:hAnsi="UkrainianLazurski" w:cs="UkrainianLazurski"/>
      <w:b/>
      <w:bCs/>
      <w:color w:val="000000"/>
      <w:sz w:val="28"/>
      <w:szCs w:val="28"/>
      <w:lang w:eastAsia="ru-RU"/>
    </w:rPr>
  </w:style>
  <w:style w:type="character" w:styleId="a5">
    <w:name w:val="page number"/>
    <w:basedOn w:val="a0"/>
    <w:uiPriority w:val="99"/>
    <w:rsid w:val="00DD3CBF"/>
    <w:rPr>
      <w:rFonts w:cs="Times New Roman"/>
    </w:rPr>
  </w:style>
  <w:style w:type="paragraph" w:styleId="HTML">
    <w:name w:val="HTML Preformatted"/>
    <w:basedOn w:val="a"/>
    <w:link w:val="HTML0"/>
    <w:uiPriority w:val="99"/>
    <w:rsid w:val="00DD3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17"/>
      <w:szCs w:val="17"/>
      <w:lang w:eastAsia="uk-UA"/>
    </w:rPr>
  </w:style>
  <w:style w:type="character" w:customStyle="1" w:styleId="HTML0">
    <w:name w:val="Стандартний HTML Знак"/>
    <w:basedOn w:val="a0"/>
    <w:link w:val="HTML"/>
    <w:uiPriority w:val="99"/>
    <w:rsid w:val="00DD3CBF"/>
    <w:rPr>
      <w:rFonts w:ascii="Courier New" w:eastAsia="Times New Roman" w:hAnsi="Courier New" w:cs="Courier New"/>
      <w:color w:val="000000"/>
      <w:sz w:val="17"/>
      <w:szCs w:val="17"/>
      <w:lang w:eastAsia="uk-UA"/>
    </w:rPr>
  </w:style>
  <w:style w:type="paragraph" w:styleId="a6">
    <w:name w:val="Normal (Web)"/>
    <w:basedOn w:val="a"/>
    <w:uiPriority w:val="99"/>
    <w:rsid w:val="00DD3CBF"/>
    <w:pPr>
      <w:spacing w:before="100" w:beforeAutospacing="1" w:after="100" w:afterAutospacing="1"/>
    </w:pPr>
    <w:rPr>
      <w:rFonts w:ascii="Times New Roman" w:hAnsi="Times New Roman" w:cs="Times New Roman"/>
      <w:b w:val="0"/>
      <w:bCs w:val="0"/>
      <w:color w:val="auto"/>
      <w:sz w:val="24"/>
      <w:szCs w:val="24"/>
      <w:lang w:val="ru-RU"/>
    </w:rPr>
  </w:style>
  <w:style w:type="character" w:styleId="a7">
    <w:name w:val="Strong"/>
    <w:basedOn w:val="a0"/>
    <w:uiPriority w:val="99"/>
    <w:qFormat/>
    <w:rsid w:val="00DD3CB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69654-AFF2-4CE9-8130-4994A1B70B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B93EE8-FA1F-44E9-8FA7-98F045D8F929}">
  <ds:schemaRefs>
    <ds:schemaRef ds:uri="http://schemas.microsoft.com/sharepoint/v3/contenttype/forms"/>
  </ds:schemaRefs>
</ds:datastoreItem>
</file>

<file path=customXml/itemProps3.xml><?xml version="1.0" encoding="utf-8"?>
<ds:datastoreItem xmlns:ds="http://schemas.openxmlformats.org/officeDocument/2006/customXml" ds:itemID="{564B0557-EF22-40BC-8C22-06F1FF71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4328</Words>
  <Characters>2468</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2020-07-02T11:53:00Z</dcterms:created>
  <dcterms:modified xsi:type="dcterms:W3CDTF">2020-07-02T11:53:00Z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