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75CA8602" w:rsidR="000D4B81" w:rsidRPr="00C52D8B" w:rsidRDefault="000D4B81" w:rsidP="00F90D8B">
      <w:pPr>
        <w:ind w:firstLine="5245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C52D8B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</w:p>
    <w:p w14:paraId="186E5B6C" w14:textId="77777777" w:rsidR="005C1BD3" w:rsidRDefault="000D4B81" w:rsidP="005C1BD3">
      <w:pPr>
        <w:ind w:firstLine="5245"/>
        <w:rPr>
          <w:rFonts w:eastAsia="Times New Roman"/>
          <w:b/>
          <w:bCs/>
          <w:iCs/>
          <w:sz w:val="28"/>
          <w:szCs w:val="28"/>
          <w:lang w:val="uk-UA"/>
        </w:rPr>
      </w:pPr>
      <w:r w:rsidRPr="00C52D8B">
        <w:rPr>
          <w:rFonts w:eastAsia="Times New Roman"/>
          <w:b/>
          <w:sz w:val="28"/>
          <w:szCs w:val="28"/>
          <w:lang w:val="uk-UA"/>
        </w:rPr>
        <w:t xml:space="preserve">з питань </w:t>
      </w:r>
      <w:r w:rsidR="005C1BD3" w:rsidRPr="005C1BD3">
        <w:rPr>
          <w:rFonts w:eastAsia="Times New Roman"/>
          <w:b/>
          <w:bCs/>
          <w:iCs/>
          <w:sz w:val="28"/>
          <w:szCs w:val="28"/>
          <w:lang w:val="uk-UA"/>
        </w:rPr>
        <w:t>енергетики та житлово-</w:t>
      </w:r>
    </w:p>
    <w:p w14:paraId="31504593" w14:textId="046100F5" w:rsidR="005C1BD3" w:rsidRPr="005C1BD3" w:rsidRDefault="005C1BD3" w:rsidP="005C1BD3">
      <w:pPr>
        <w:ind w:firstLine="5245"/>
        <w:rPr>
          <w:rFonts w:eastAsia="Times New Roman"/>
          <w:b/>
          <w:bCs/>
          <w:iCs/>
          <w:sz w:val="28"/>
          <w:szCs w:val="28"/>
          <w:lang w:val="uk-UA"/>
        </w:rPr>
      </w:pPr>
      <w:r w:rsidRPr="005C1BD3">
        <w:rPr>
          <w:rFonts w:eastAsia="Times New Roman"/>
          <w:b/>
          <w:bCs/>
          <w:iCs/>
          <w:sz w:val="28"/>
          <w:szCs w:val="28"/>
          <w:lang w:val="uk-UA"/>
        </w:rPr>
        <w:t xml:space="preserve">комунальних послуг </w:t>
      </w:r>
    </w:p>
    <w:p w14:paraId="45C9F564" w14:textId="367E9614" w:rsidR="002700F6" w:rsidRDefault="002700F6" w:rsidP="005C1BD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розгляд</w:t>
      </w:r>
      <w:r w:rsidR="005D7484">
        <w:rPr>
          <w:rFonts w:eastAsia="Times New Roman"/>
          <w:sz w:val="28"/>
          <w:szCs w:val="28"/>
          <w:lang w:val="uk-UA"/>
        </w:rPr>
        <w:t xml:space="preserve"> законопроекту </w:t>
      </w:r>
    </w:p>
    <w:p w14:paraId="34589C20" w14:textId="50964DDE" w:rsidR="00F90D8B" w:rsidRPr="00F90D8B" w:rsidRDefault="005D7484" w:rsidP="00F90D8B">
      <w:pPr>
        <w:jc w:val="both"/>
        <w:rPr>
          <w:rFonts w:eastAsia="Times New Roman"/>
          <w:bCs/>
          <w:iCs/>
          <w:sz w:val="27"/>
          <w:szCs w:val="27"/>
          <w:lang w:val="uk-UA"/>
        </w:rPr>
      </w:pPr>
      <w:r>
        <w:rPr>
          <w:rFonts w:eastAsia="Times New Roman"/>
          <w:sz w:val="28"/>
          <w:szCs w:val="28"/>
          <w:lang w:val="uk-UA"/>
        </w:rPr>
        <w:t>за реєстр.№</w:t>
      </w:r>
      <w:r w:rsidR="00F90D8B">
        <w:rPr>
          <w:rFonts w:eastAsia="Times New Roman"/>
          <w:sz w:val="28"/>
          <w:szCs w:val="28"/>
          <w:lang w:val="uk-UA"/>
        </w:rPr>
        <w:t>3</w:t>
      </w:r>
      <w:r w:rsidR="00F26A51">
        <w:rPr>
          <w:rFonts w:eastAsia="Times New Roman"/>
          <w:sz w:val="28"/>
          <w:szCs w:val="28"/>
          <w:lang w:val="uk-UA"/>
        </w:rPr>
        <w:t>732</w:t>
      </w:r>
      <w:r w:rsidR="00E963EC">
        <w:rPr>
          <w:rFonts w:eastAsia="Times New Roman"/>
          <w:sz w:val="28"/>
          <w:szCs w:val="28"/>
          <w:lang w:val="uk-UA"/>
        </w:rPr>
        <w:t>-1</w:t>
      </w:r>
    </w:p>
    <w:p w14:paraId="6F111C20" w14:textId="77777777" w:rsidR="000D4B81" w:rsidRPr="00C52D8B" w:rsidRDefault="000D4B81" w:rsidP="000D4B81">
      <w:pPr>
        <w:ind w:firstLine="4962"/>
        <w:jc w:val="both"/>
        <w:rPr>
          <w:rFonts w:eastAsia="Times New Roman"/>
          <w:b/>
          <w:bCs/>
          <w:iCs/>
          <w:sz w:val="27"/>
          <w:szCs w:val="27"/>
          <w:lang w:val="uk-UA"/>
        </w:rPr>
      </w:pPr>
    </w:p>
    <w:p w14:paraId="7E70E47E" w14:textId="4C0A7444" w:rsidR="000D4B81" w:rsidRPr="005E6ACF" w:rsidRDefault="000D4B81" w:rsidP="000D4B81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Комітет Верховної Ради України з питань бюджету на своєму засіданні </w:t>
      </w:r>
      <w:r w:rsidR="008B58A3">
        <w:rPr>
          <w:rFonts w:eastAsia="Times New Roman"/>
          <w:color w:val="000000"/>
          <w:sz w:val="27"/>
          <w:szCs w:val="27"/>
          <w:lang w:val="uk-UA"/>
        </w:rPr>
        <w:t>2 </w:t>
      </w:r>
      <w:r w:rsidR="00A9245D">
        <w:rPr>
          <w:rFonts w:eastAsia="Times New Roman"/>
          <w:color w:val="000000"/>
          <w:sz w:val="27"/>
          <w:szCs w:val="27"/>
          <w:lang w:val="uk-UA"/>
        </w:rPr>
        <w:t>вересня</w:t>
      </w:r>
      <w:r w:rsidRPr="00C52D8B">
        <w:rPr>
          <w:rFonts w:eastAsia="Times New Roman"/>
          <w:sz w:val="27"/>
          <w:szCs w:val="27"/>
          <w:lang w:val="uk-UA"/>
        </w:rPr>
        <w:t xml:space="preserve"> </w:t>
      </w:r>
      <w:r w:rsidRPr="00C52D8B">
        <w:rPr>
          <w:rFonts w:eastAsia="Times New Roman"/>
          <w:color w:val="000000"/>
          <w:sz w:val="27"/>
          <w:szCs w:val="27"/>
          <w:lang w:val="uk-UA"/>
        </w:rPr>
        <w:t>2020 року (протокол № </w:t>
      </w:r>
      <w:r w:rsidR="00A9245D">
        <w:rPr>
          <w:rFonts w:eastAsia="Times New Roman"/>
          <w:color w:val="000000"/>
          <w:sz w:val="27"/>
          <w:szCs w:val="27"/>
          <w:lang w:val="uk-UA"/>
        </w:rPr>
        <w:t>5</w:t>
      </w:r>
      <w:r w:rsidR="008B58A3">
        <w:rPr>
          <w:rFonts w:eastAsia="Times New Roman"/>
          <w:color w:val="000000"/>
          <w:sz w:val="27"/>
          <w:szCs w:val="27"/>
          <w:lang w:val="uk-UA"/>
        </w:rPr>
        <w:t>3</w:t>
      </w: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C52D8B">
        <w:rPr>
          <w:rFonts w:eastAsia="Times New Roman"/>
          <w:sz w:val="27"/>
          <w:szCs w:val="27"/>
          <w:lang w:val="uk-UA"/>
        </w:rPr>
        <w:t xml:space="preserve">проект закону </w:t>
      </w:r>
      <w:r w:rsidRPr="003D346B">
        <w:rPr>
          <w:rFonts w:eastAsia="Times New Roman"/>
          <w:sz w:val="27"/>
          <w:szCs w:val="27"/>
          <w:lang w:val="uk-UA"/>
        </w:rPr>
        <w:t xml:space="preserve">про </w:t>
      </w:r>
      <w:r w:rsidR="00A1241A" w:rsidRPr="003D346B">
        <w:rPr>
          <w:sz w:val="28"/>
          <w:szCs w:val="28"/>
          <w:lang w:val="uk-UA"/>
        </w:rPr>
        <w:t>внесення змін до деяких законодавчих актів щодо комерційного обліку теплової енергії, водопостачання та природного газу для населення</w:t>
      </w:r>
      <w:r w:rsidR="00A1241A" w:rsidRPr="00C52D8B">
        <w:rPr>
          <w:rFonts w:eastAsia="Times New Roman"/>
          <w:sz w:val="27"/>
          <w:szCs w:val="27"/>
          <w:lang w:val="uk-UA"/>
        </w:rPr>
        <w:t xml:space="preserve"> </w:t>
      </w:r>
      <w:r w:rsidRPr="00C52D8B">
        <w:rPr>
          <w:rFonts w:eastAsia="Times New Roman"/>
          <w:sz w:val="27"/>
          <w:szCs w:val="27"/>
          <w:lang w:val="uk-UA"/>
        </w:rPr>
        <w:t>(</w:t>
      </w:r>
      <w:r w:rsidR="005D7484">
        <w:rPr>
          <w:rFonts w:eastAsia="Times New Roman"/>
          <w:sz w:val="28"/>
          <w:szCs w:val="28"/>
          <w:lang w:val="uk-UA"/>
        </w:rPr>
        <w:t>реєстр. № </w:t>
      </w:r>
      <w:r w:rsidR="009158ED">
        <w:rPr>
          <w:rFonts w:eastAsia="Times New Roman"/>
          <w:sz w:val="28"/>
          <w:szCs w:val="28"/>
          <w:lang w:val="uk-UA"/>
        </w:rPr>
        <w:t>3</w:t>
      </w:r>
      <w:r w:rsidR="00A9245D">
        <w:rPr>
          <w:rFonts w:eastAsia="Times New Roman"/>
          <w:sz w:val="28"/>
          <w:szCs w:val="28"/>
          <w:lang w:val="uk-UA"/>
        </w:rPr>
        <w:t>732</w:t>
      </w:r>
      <w:r w:rsidR="00D1000B">
        <w:rPr>
          <w:rFonts w:eastAsia="Times New Roman"/>
          <w:sz w:val="28"/>
          <w:szCs w:val="28"/>
          <w:lang w:val="uk-UA"/>
        </w:rPr>
        <w:t>-1</w:t>
      </w:r>
      <w:r w:rsidR="005D7484">
        <w:rPr>
          <w:rFonts w:eastAsia="Times New Roman"/>
          <w:sz w:val="28"/>
          <w:szCs w:val="28"/>
          <w:lang w:val="uk-UA"/>
        </w:rPr>
        <w:t xml:space="preserve"> від </w:t>
      </w:r>
      <w:r w:rsidR="00D1000B">
        <w:rPr>
          <w:rFonts w:eastAsia="Times New Roman"/>
          <w:sz w:val="28"/>
          <w:szCs w:val="28"/>
          <w:lang w:val="uk-UA"/>
        </w:rPr>
        <w:t>08</w:t>
      </w:r>
      <w:r w:rsidR="009158ED">
        <w:rPr>
          <w:rFonts w:eastAsia="Times New Roman"/>
          <w:sz w:val="28"/>
          <w:szCs w:val="28"/>
          <w:lang w:val="uk-UA"/>
        </w:rPr>
        <w:t>.0</w:t>
      </w:r>
      <w:r w:rsidR="00D1000B">
        <w:rPr>
          <w:rFonts w:eastAsia="Times New Roman"/>
          <w:sz w:val="28"/>
          <w:szCs w:val="28"/>
          <w:lang w:val="uk-UA"/>
        </w:rPr>
        <w:t>7</w:t>
      </w:r>
      <w:r w:rsidRPr="00C52D8B">
        <w:rPr>
          <w:rFonts w:eastAsia="Times New Roman"/>
          <w:sz w:val="28"/>
          <w:szCs w:val="28"/>
          <w:lang w:val="uk-UA"/>
        </w:rPr>
        <w:t>.2020 р.)</w:t>
      </w:r>
      <w:r w:rsidRPr="00C52D8B">
        <w:rPr>
          <w:rFonts w:eastAsia="Times New Roman"/>
          <w:sz w:val="27"/>
          <w:szCs w:val="27"/>
          <w:lang w:val="uk-UA"/>
        </w:rPr>
        <w:t xml:space="preserve">, поданий </w:t>
      </w:r>
      <w:r w:rsidRPr="00C52D8B">
        <w:rPr>
          <w:rFonts w:eastAsia="Times New Roman"/>
          <w:sz w:val="28"/>
          <w:szCs w:val="28"/>
          <w:lang w:val="uk-UA"/>
        </w:rPr>
        <w:t>народним</w:t>
      </w:r>
      <w:r w:rsidR="00A7250E">
        <w:rPr>
          <w:rFonts w:eastAsia="Times New Roman"/>
          <w:sz w:val="28"/>
          <w:szCs w:val="28"/>
          <w:lang w:val="uk-UA"/>
        </w:rPr>
        <w:t>и</w:t>
      </w:r>
      <w:r w:rsidR="005D7484">
        <w:rPr>
          <w:rFonts w:eastAsia="Times New Roman"/>
          <w:sz w:val="28"/>
          <w:szCs w:val="28"/>
          <w:lang w:val="uk-UA"/>
        </w:rPr>
        <w:t xml:space="preserve"> депутат</w:t>
      </w:r>
      <w:r w:rsidR="00A7250E">
        <w:rPr>
          <w:rFonts w:eastAsia="Times New Roman"/>
          <w:sz w:val="28"/>
          <w:szCs w:val="28"/>
          <w:lang w:val="uk-UA"/>
        </w:rPr>
        <w:t>а</w:t>
      </w:r>
      <w:r w:rsidRPr="00C52D8B">
        <w:rPr>
          <w:rFonts w:eastAsia="Times New Roman"/>
          <w:sz w:val="28"/>
          <w:szCs w:val="28"/>
          <w:lang w:val="uk-UA"/>
        </w:rPr>
        <w:t>м</w:t>
      </w:r>
      <w:r w:rsidR="00A7250E">
        <w:rPr>
          <w:rFonts w:eastAsia="Times New Roman"/>
          <w:sz w:val="28"/>
          <w:szCs w:val="28"/>
          <w:lang w:val="uk-UA"/>
        </w:rPr>
        <w:t>и</w:t>
      </w:r>
      <w:r w:rsidRPr="00C52D8B">
        <w:rPr>
          <w:rFonts w:eastAsia="Times New Roman"/>
          <w:sz w:val="28"/>
          <w:szCs w:val="28"/>
          <w:lang w:val="uk-UA"/>
        </w:rPr>
        <w:t xml:space="preserve"> України </w:t>
      </w:r>
      <w:r w:rsidR="00A7250E">
        <w:rPr>
          <w:rFonts w:eastAsia="Times New Roman"/>
          <w:sz w:val="28"/>
          <w:szCs w:val="28"/>
          <w:lang w:val="uk-UA"/>
        </w:rPr>
        <w:t xml:space="preserve">Чорним Д.С., </w:t>
      </w:r>
      <w:proofErr w:type="spellStart"/>
      <w:r w:rsidR="00A7250E">
        <w:rPr>
          <w:rFonts w:eastAsia="Times New Roman"/>
          <w:sz w:val="28"/>
          <w:szCs w:val="28"/>
          <w:lang w:val="uk-UA"/>
        </w:rPr>
        <w:t>Батенком</w:t>
      </w:r>
      <w:proofErr w:type="spellEnd"/>
      <w:r w:rsidR="00A7250E">
        <w:rPr>
          <w:rFonts w:eastAsia="Times New Roman"/>
          <w:sz w:val="28"/>
          <w:szCs w:val="28"/>
          <w:lang w:val="uk-UA"/>
        </w:rPr>
        <w:t xml:space="preserve"> Т.І., Германом Д.В. та іншими народними депутатами України.</w:t>
      </w:r>
    </w:p>
    <w:p w14:paraId="4EDB8ED4" w14:textId="054C6D49" w:rsidR="000048E7" w:rsidRDefault="00BD4DEB" w:rsidP="00F613ED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</w:t>
      </w:r>
      <w:r w:rsidR="008776F7">
        <w:rPr>
          <w:sz w:val="28"/>
          <w:szCs w:val="28"/>
          <w:lang w:val="uk-UA"/>
        </w:rPr>
        <w:t>аконопроект</w:t>
      </w:r>
      <w:r>
        <w:rPr>
          <w:sz w:val="28"/>
          <w:szCs w:val="28"/>
          <w:lang w:val="uk-UA"/>
        </w:rPr>
        <w:t>і</w:t>
      </w:r>
      <w:r w:rsidR="008776F7">
        <w:rPr>
          <w:sz w:val="28"/>
          <w:szCs w:val="28"/>
          <w:lang w:val="uk-UA"/>
        </w:rPr>
        <w:t xml:space="preserve"> </w:t>
      </w:r>
      <w:r w:rsidR="000048E7">
        <w:rPr>
          <w:sz w:val="28"/>
          <w:szCs w:val="28"/>
          <w:lang w:val="uk-UA"/>
        </w:rPr>
        <w:t xml:space="preserve">шляхом внесення змін до законів України «Про </w:t>
      </w:r>
      <w:r w:rsidR="000048E7" w:rsidRPr="000048E7">
        <w:rPr>
          <w:sz w:val="28"/>
          <w:szCs w:val="28"/>
          <w:lang w:val="uk-UA"/>
        </w:rPr>
        <w:t>комерційний облік теплової енергії та водопостачання</w:t>
      </w:r>
      <w:r w:rsidR="000048E7">
        <w:rPr>
          <w:sz w:val="28"/>
          <w:szCs w:val="28"/>
          <w:lang w:val="uk-UA"/>
        </w:rPr>
        <w:t xml:space="preserve">» та </w:t>
      </w:r>
      <w:r w:rsidR="000048E7" w:rsidRPr="000048E7">
        <w:rPr>
          <w:sz w:val="28"/>
          <w:szCs w:val="28"/>
          <w:lang w:val="uk-UA"/>
        </w:rPr>
        <w:t>«Про забезпечення комерційного обліку природного газу»</w:t>
      </w:r>
      <w:r w:rsidR="000048E7">
        <w:rPr>
          <w:sz w:val="28"/>
          <w:szCs w:val="28"/>
          <w:lang w:val="uk-UA"/>
        </w:rPr>
        <w:t xml:space="preserve"> </w:t>
      </w:r>
      <w:r w:rsidR="00533491">
        <w:rPr>
          <w:sz w:val="28"/>
          <w:szCs w:val="28"/>
          <w:lang w:val="uk-UA"/>
        </w:rPr>
        <w:t>пропонується</w:t>
      </w:r>
      <w:r w:rsidR="006E49B0">
        <w:rPr>
          <w:sz w:val="28"/>
          <w:szCs w:val="28"/>
          <w:lang w:val="uk-UA"/>
        </w:rPr>
        <w:t>:</w:t>
      </w:r>
    </w:p>
    <w:p w14:paraId="56C6E787" w14:textId="41BC4AF6" w:rsidR="00A07EA1" w:rsidRPr="0055210A" w:rsidRDefault="00A07EA1" w:rsidP="00F613ED">
      <w:pPr>
        <w:ind w:firstLine="993"/>
        <w:jc w:val="both"/>
        <w:rPr>
          <w:sz w:val="27"/>
          <w:szCs w:val="27"/>
          <w:lang w:val="uk-UA"/>
        </w:rPr>
      </w:pPr>
      <w:r w:rsidRPr="00533491">
        <w:rPr>
          <w:sz w:val="27"/>
          <w:szCs w:val="27"/>
          <w:lang w:val="uk-UA"/>
        </w:rPr>
        <w:t xml:space="preserve">відтермінувати </w:t>
      </w:r>
      <w:r w:rsidR="0055210A">
        <w:rPr>
          <w:sz w:val="27"/>
          <w:szCs w:val="27"/>
          <w:lang w:val="uk-UA"/>
        </w:rPr>
        <w:t xml:space="preserve">до </w:t>
      </w:r>
      <w:r w:rsidRPr="00533491">
        <w:rPr>
          <w:sz w:val="27"/>
          <w:szCs w:val="27"/>
          <w:lang w:val="uk-UA"/>
        </w:rPr>
        <w:t xml:space="preserve">1 серпня 2021 року застосування </w:t>
      </w:r>
      <w:r>
        <w:rPr>
          <w:sz w:val="28"/>
          <w:szCs w:val="28"/>
          <w:lang w:val="uk-UA"/>
        </w:rPr>
        <w:t>до</w:t>
      </w:r>
      <w:r w:rsidRPr="00A07EA1">
        <w:rPr>
          <w:sz w:val="28"/>
          <w:szCs w:val="28"/>
          <w:lang w:val="uk-UA"/>
        </w:rPr>
        <w:t xml:space="preserve"> суб’єктів господарювання - операторів зовнішніх інженерних мереж </w:t>
      </w:r>
      <w:r w:rsidRPr="00533491">
        <w:rPr>
          <w:sz w:val="27"/>
          <w:szCs w:val="27"/>
          <w:lang w:val="uk-UA"/>
        </w:rPr>
        <w:t xml:space="preserve">штрафних санкцій за </w:t>
      </w:r>
      <w:r w:rsidRPr="00A07EA1">
        <w:rPr>
          <w:sz w:val="28"/>
          <w:szCs w:val="28"/>
          <w:lang w:val="uk-UA"/>
        </w:rPr>
        <w:t>порушення законодавства у сфері забезпечення оснащення будівель вузлами обліку теплової енергії, гарячої чи питної води, періодичної повірки вузлів комерційного обліку</w:t>
      </w:r>
      <w:r>
        <w:rPr>
          <w:sz w:val="28"/>
          <w:szCs w:val="28"/>
          <w:lang w:val="uk-UA"/>
        </w:rPr>
        <w:t xml:space="preserve">, а також </w:t>
      </w:r>
      <w:r w:rsidR="00533491" w:rsidRPr="00533491">
        <w:rPr>
          <w:sz w:val="27"/>
          <w:szCs w:val="27"/>
          <w:lang w:val="uk-UA"/>
        </w:rPr>
        <w:t xml:space="preserve">перенести </w:t>
      </w:r>
      <w:r w:rsidR="0055210A">
        <w:rPr>
          <w:sz w:val="27"/>
          <w:szCs w:val="27"/>
          <w:lang w:val="uk-UA"/>
        </w:rPr>
        <w:t xml:space="preserve">до 1 липня 2021 року </w:t>
      </w:r>
      <w:r>
        <w:rPr>
          <w:sz w:val="27"/>
          <w:szCs w:val="27"/>
          <w:lang w:val="uk-UA"/>
        </w:rPr>
        <w:t>строк</w:t>
      </w:r>
      <w:r w:rsidR="00533491" w:rsidRPr="00533491">
        <w:rPr>
          <w:sz w:val="27"/>
          <w:szCs w:val="27"/>
          <w:lang w:val="uk-UA"/>
        </w:rPr>
        <w:t xml:space="preserve"> обов’язкового оснащення </w:t>
      </w:r>
      <w:r w:rsidRPr="00A07EA1">
        <w:rPr>
          <w:sz w:val="27"/>
          <w:szCs w:val="27"/>
          <w:lang w:val="uk-UA"/>
        </w:rPr>
        <w:t>оператор</w:t>
      </w:r>
      <w:r>
        <w:rPr>
          <w:sz w:val="27"/>
          <w:szCs w:val="27"/>
          <w:lang w:val="uk-UA"/>
        </w:rPr>
        <w:t>ами</w:t>
      </w:r>
      <w:r w:rsidRPr="00A07EA1">
        <w:rPr>
          <w:sz w:val="27"/>
          <w:szCs w:val="27"/>
          <w:lang w:val="uk-UA"/>
        </w:rPr>
        <w:t xml:space="preserve"> зовнішніх інженерних мереж</w:t>
      </w:r>
      <w:r w:rsidR="0055210A" w:rsidRPr="0055210A">
        <w:rPr>
          <w:sz w:val="27"/>
          <w:szCs w:val="27"/>
          <w:lang w:val="uk-UA"/>
        </w:rPr>
        <w:t xml:space="preserve"> </w:t>
      </w:r>
      <w:r w:rsidR="0055210A">
        <w:rPr>
          <w:sz w:val="27"/>
          <w:szCs w:val="27"/>
          <w:lang w:val="uk-UA"/>
        </w:rPr>
        <w:t>будівель</w:t>
      </w:r>
      <w:r w:rsidR="0055210A" w:rsidRPr="0055210A">
        <w:rPr>
          <w:sz w:val="27"/>
          <w:szCs w:val="27"/>
          <w:lang w:val="uk-UA"/>
        </w:rPr>
        <w:t xml:space="preserve"> вузлами комерційного обліку </w:t>
      </w:r>
      <w:r w:rsidR="0055210A" w:rsidRPr="00533491">
        <w:rPr>
          <w:sz w:val="27"/>
          <w:szCs w:val="27"/>
          <w:lang w:val="uk-UA"/>
        </w:rPr>
        <w:t>теплової енергії,</w:t>
      </w:r>
      <w:r w:rsidR="0055210A" w:rsidRPr="0055210A">
        <w:rPr>
          <w:b/>
          <w:color w:val="000000"/>
          <w:sz w:val="28"/>
          <w:szCs w:val="28"/>
          <w:lang w:val="uk-UA"/>
        </w:rPr>
        <w:t xml:space="preserve"> </w:t>
      </w:r>
      <w:r w:rsidR="0055210A" w:rsidRPr="0055210A">
        <w:rPr>
          <w:color w:val="000000"/>
          <w:sz w:val="28"/>
          <w:szCs w:val="28"/>
          <w:lang w:val="uk-UA"/>
        </w:rPr>
        <w:t>гарячої та питної води для нежитлових і житлових будівель</w:t>
      </w:r>
      <w:r w:rsidR="00FB296F">
        <w:rPr>
          <w:color w:val="000000"/>
          <w:sz w:val="28"/>
          <w:szCs w:val="28"/>
          <w:lang w:val="uk-UA"/>
        </w:rPr>
        <w:t>;</w:t>
      </w:r>
    </w:p>
    <w:p w14:paraId="2B225682" w14:textId="64671C54" w:rsidR="006E49B0" w:rsidRDefault="006E49B0" w:rsidP="006E49B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</w:t>
      </w:r>
      <w:r w:rsidRPr="006E49B0">
        <w:rPr>
          <w:sz w:val="28"/>
          <w:szCs w:val="28"/>
          <w:lang w:val="uk-UA"/>
        </w:rPr>
        <w:t xml:space="preserve"> процедур</w:t>
      </w:r>
      <w:r>
        <w:rPr>
          <w:sz w:val="28"/>
          <w:szCs w:val="28"/>
          <w:lang w:val="uk-UA"/>
        </w:rPr>
        <w:t>у</w:t>
      </w:r>
      <w:r w:rsidRPr="006E49B0">
        <w:rPr>
          <w:sz w:val="28"/>
          <w:szCs w:val="28"/>
          <w:lang w:val="uk-UA"/>
        </w:rPr>
        <w:t xml:space="preserve"> відмови співвласниками багатоквартирного будинку від комерційного обліку природного газу за встановленими </w:t>
      </w:r>
      <w:proofErr w:type="spellStart"/>
      <w:r w:rsidRPr="006E49B0">
        <w:rPr>
          <w:sz w:val="28"/>
          <w:szCs w:val="28"/>
          <w:lang w:val="uk-UA"/>
        </w:rPr>
        <w:t>загальнобудинковими</w:t>
      </w:r>
      <w:proofErr w:type="spellEnd"/>
      <w:r w:rsidRPr="006E49B0">
        <w:rPr>
          <w:sz w:val="28"/>
          <w:szCs w:val="28"/>
          <w:lang w:val="uk-UA"/>
        </w:rPr>
        <w:t xml:space="preserve"> лічильниками природного газу, та</w:t>
      </w:r>
      <w:r w:rsidR="00374C9D">
        <w:rPr>
          <w:sz w:val="28"/>
          <w:szCs w:val="28"/>
          <w:lang w:val="uk-UA"/>
        </w:rPr>
        <w:t xml:space="preserve"> визначити, що </w:t>
      </w:r>
      <w:r w:rsidRPr="006E49B0">
        <w:rPr>
          <w:sz w:val="28"/>
          <w:szCs w:val="28"/>
          <w:lang w:val="uk-UA"/>
        </w:rPr>
        <w:t xml:space="preserve">до встановлення індивідуальних лічильників облік природного газу </w:t>
      </w:r>
      <w:r w:rsidR="00374C9D">
        <w:rPr>
          <w:sz w:val="28"/>
          <w:szCs w:val="28"/>
          <w:lang w:val="uk-UA"/>
        </w:rPr>
        <w:t>здійснюється</w:t>
      </w:r>
      <w:r w:rsidR="00374C9D" w:rsidRPr="006E49B0">
        <w:rPr>
          <w:sz w:val="28"/>
          <w:szCs w:val="28"/>
          <w:lang w:val="uk-UA"/>
        </w:rPr>
        <w:t xml:space="preserve"> </w:t>
      </w:r>
      <w:r w:rsidRPr="006E49B0">
        <w:rPr>
          <w:sz w:val="28"/>
          <w:szCs w:val="28"/>
          <w:lang w:val="uk-UA"/>
        </w:rPr>
        <w:t>за нормами споживання</w:t>
      </w:r>
      <w:r w:rsidR="00D90A40">
        <w:rPr>
          <w:sz w:val="28"/>
          <w:szCs w:val="28"/>
          <w:lang w:val="uk-UA"/>
        </w:rPr>
        <w:t>;</w:t>
      </w:r>
    </w:p>
    <w:p w14:paraId="31AF8479" w14:textId="775FA3F8" w:rsidR="00FB296F" w:rsidRPr="00FB296F" w:rsidRDefault="00FB296F" w:rsidP="00EA1EC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заборону щодо фінансового забезпечення за рахунок місцевих бюджетів робіт з оснащення лічильниками газу населення;</w:t>
      </w:r>
    </w:p>
    <w:p w14:paraId="64E1B7DB" w14:textId="5500AFC1" w:rsidR="00FB296F" w:rsidRDefault="00FB296F" w:rsidP="00DE639F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доповнити перелік санкцій, які застосовуються Національною комісією регулювання електроенергетики України, передбачивши накладання штрафу у розмірі до 25 тисяч неоподатковуваних мінімумів доходів громадян на суб’єктів господарювання, що здійснюють розподіл природного газу на відповідній території,</w:t>
      </w:r>
      <w:r w:rsidR="00DE639F">
        <w:rPr>
          <w:rFonts w:eastAsia="Times New Roman"/>
          <w:sz w:val="28"/>
          <w:szCs w:val="28"/>
          <w:lang w:val="uk-UA"/>
        </w:rPr>
        <w:t xml:space="preserve"> </w:t>
      </w:r>
      <w:r w:rsidRPr="00FB296F">
        <w:rPr>
          <w:rFonts w:eastAsia="Times New Roman"/>
          <w:sz w:val="28"/>
          <w:szCs w:val="28"/>
          <w:lang w:val="uk-UA"/>
        </w:rPr>
        <w:t xml:space="preserve">у разі порушення строку розгляду заяви </w:t>
      </w:r>
      <w:r w:rsidR="00DE639F" w:rsidRPr="00DE639F">
        <w:rPr>
          <w:color w:val="000000"/>
          <w:sz w:val="28"/>
          <w:szCs w:val="28"/>
          <w:lang w:val="uk-UA" w:eastAsia="uk-UA"/>
        </w:rPr>
        <w:t>співвласників багатоквартирного будинку щодо порядку обліку природного газу,</w:t>
      </w:r>
      <w:r w:rsidR="00DE639F" w:rsidRPr="00DE639F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FB296F">
        <w:rPr>
          <w:rFonts w:eastAsia="Times New Roman"/>
          <w:sz w:val="28"/>
          <w:szCs w:val="28"/>
          <w:lang w:val="uk-UA"/>
        </w:rPr>
        <w:t>а також безпідставної відмови у розгляді такої заяви або зміні порядку обліку природного газу</w:t>
      </w:r>
    </w:p>
    <w:p w14:paraId="4B103037" w14:textId="54A75212" w:rsidR="00D90A40" w:rsidRPr="00D90A40" w:rsidRDefault="006E49B0" w:rsidP="00D90A40">
      <w:pPr>
        <w:ind w:firstLine="900"/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/>
        </w:rPr>
        <w:t xml:space="preserve">У експертному висновку Міністерства фінансів України до даного законопроекту </w:t>
      </w:r>
      <w:proofErr w:type="spellStart"/>
      <w:r w:rsidR="0089506F">
        <w:rPr>
          <w:rFonts w:eastAsia="Times New Roman"/>
          <w:sz w:val="28"/>
          <w:szCs w:val="28"/>
          <w:lang w:val="uk-UA"/>
        </w:rPr>
        <w:t>звернуто</w:t>
      </w:r>
      <w:proofErr w:type="spellEnd"/>
      <w:r w:rsidR="0089506F">
        <w:rPr>
          <w:rFonts w:eastAsia="Times New Roman"/>
          <w:sz w:val="28"/>
          <w:szCs w:val="28"/>
          <w:lang w:val="uk-UA"/>
        </w:rPr>
        <w:t xml:space="preserve"> увагу на встановлені законом обов’язки оператора </w:t>
      </w:r>
      <w:r w:rsidR="0089506F">
        <w:rPr>
          <w:rFonts w:eastAsia="Times New Roman"/>
          <w:sz w:val="28"/>
          <w:szCs w:val="28"/>
          <w:lang w:val="uk-UA"/>
        </w:rPr>
        <w:lastRenderedPageBreak/>
        <w:t xml:space="preserve">газорозподільної системи, що забезпечуються за рахунок своїх фінансових, матеріально-технічних, людських та інших ресурсів, а тому </w:t>
      </w:r>
      <w:r w:rsidRPr="006E49B0">
        <w:rPr>
          <w:sz w:val="27"/>
          <w:szCs w:val="27"/>
          <w:lang w:val="uk-UA"/>
        </w:rPr>
        <w:t xml:space="preserve">відмова співвласників багатоквартирних будинків від уже встановлених </w:t>
      </w:r>
      <w:proofErr w:type="spellStart"/>
      <w:r w:rsidRPr="006E49B0">
        <w:rPr>
          <w:sz w:val="27"/>
          <w:szCs w:val="27"/>
          <w:lang w:val="uk-UA"/>
        </w:rPr>
        <w:t>загальнобудинкових</w:t>
      </w:r>
      <w:proofErr w:type="spellEnd"/>
      <w:r w:rsidRPr="006E49B0">
        <w:rPr>
          <w:sz w:val="27"/>
          <w:szCs w:val="27"/>
          <w:lang w:val="uk-UA"/>
        </w:rPr>
        <w:t xml:space="preserve"> лічильників природного газу може призвести до вимог щодо відшкодування </w:t>
      </w:r>
      <w:r w:rsidR="00D90A40">
        <w:rPr>
          <w:sz w:val="27"/>
          <w:szCs w:val="27"/>
          <w:lang w:val="uk-UA"/>
        </w:rPr>
        <w:t xml:space="preserve">відповідних </w:t>
      </w:r>
      <w:r w:rsidRPr="006E49B0">
        <w:rPr>
          <w:sz w:val="27"/>
          <w:szCs w:val="27"/>
          <w:lang w:val="uk-UA"/>
        </w:rPr>
        <w:t xml:space="preserve">витрат </w:t>
      </w:r>
      <w:r w:rsidR="0089506F">
        <w:rPr>
          <w:sz w:val="27"/>
          <w:szCs w:val="27"/>
          <w:lang w:val="uk-UA"/>
        </w:rPr>
        <w:t>о</w:t>
      </w:r>
      <w:r w:rsidRPr="006E49B0">
        <w:rPr>
          <w:sz w:val="27"/>
          <w:szCs w:val="27"/>
          <w:lang w:val="uk-UA"/>
        </w:rPr>
        <w:t>пер</w:t>
      </w:r>
      <w:r w:rsidR="00D90A40">
        <w:rPr>
          <w:sz w:val="27"/>
          <w:szCs w:val="27"/>
          <w:lang w:val="uk-UA"/>
        </w:rPr>
        <w:t>аторів газорозподільної системи, проте</w:t>
      </w:r>
      <w:r w:rsidRPr="006E49B0">
        <w:rPr>
          <w:sz w:val="27"/>
          <w:szCs w:val="27"/>
          <w:lang w:val="uk-UA"/>
        </w:rPr>
        <w:t xml:space="preserve"> джерела</w:t>
      </w:r>
      <w:r w:rsidR="0089506F">
        <w:rPr>
          <w:sz w:val="27"/>
          <w:szCs w:val="27"/>
          <w:lang w:val="uk-UA"/>
        </w:rPr>
        <w:t xml:space="preserve"> такого відшкодування відсутні.</w:t>
      </w:r>
      <w:r w:rsidR="00D90A40">
        <w:rPr>
          <w:sz w:val="27"/>
          <w:szCs w:val="27"/>
          <w:lang w:val="uk-UA"/>
        </w:rPr>
        <w:t xml:space="preserve"> </w:t>
      </w:r>
      <w:r w:rsidR="0089506F">
        <w:rPr>
          <w:sz w:val="27"/>
          <w:szCs w:val="27"/>
          <w:lang w:val="uk-UA"/>
        </w:rPr>
        <w:t xml:space="preserve">Поряд з тим, Мінфіном пропонується </w:t>
      </w:r>
      <w:r w:rsidR="00D90A40">
        <w:rPr>
          <w:sz w:val="27"/>
          <w:szCs w:val="27"/>
          <w:lang w:val="uk-UA"/>
        </w:rPr>
        <w:t xml:space="preserve">виключити </w:t>
      </w:r>
      <w:r w:rsidR="00D90A40" w:rsidRPr="00D90A40">
        <w:rPr>
          <w:color w:val="000000"/>
          <w:sz w:val="28"/>
          <w:szCs w:val="28"/>
          <w:lang w:val="uk-UA" w:eastAsia="uk-UA"/>
        </w:rPr>
        <w:t>норми щодо визначення</w:t>
      </w:r>
      <w:r w:rsidR="00D90A40">
        <w:rPr>
          <w:color w:val="000000"/>
          <w:sz w:val="28"/>
          <w:szCs w:val="28"/>
          <w:lang w:val="uk-UA" w:eastAsia="uk-UA"/>
        </w:rPr>
        <w:t xml:space="preserve"> коштів</w:t>
      </w:r>
      <w:r w:rsidR="00D90A40" w:rsidRPr="00D90A40">
        <w:rPr>
          <w:color w:val="000000"/>
          <w:sz w:val="28"/>
          <w:szCs w:val="28"/>
          <w:lang w:val="uk-UA" w:eastAsia="uk-UA"/>
        </w:rPr>
        <w:t xml:space="preserve"> державного та місцевих бюджетів </w:t>
      </w:r>
      <w:r w:rsidR="00D90A40">
        <w:rPr>
          <w:color w:val="000000"/>
          <w:sz w:val="28"/>
          <w:szCs w:val="28"/>
          <w:lang w:val="uk-UA" w:eastAsia="uk-UA"/>
        </w:rPr>
        <w:t xml:space="preserve">джерелом фінансового забезпечення </w:t>
      </w:r>
      <w:r w:rsidR="00D90A40" w:rsidRPr="00D90A40">
        <w:rPr>
          <w:color w:val="000000"/>
          <w:sz w:val="28"/>
          <w:szCs w:val="28"/>
          <w:lang w:val="uk-UA" w:eastAsia="uk-UA"/>
        </w:rPr>
        <w:t>оснащення лічильниками газу населення</w:t>
      </w:r>
      <w:r w:rsidR="00D90A40">
        <w:rPr>
          <w:color w:val="000000"/>
          <w:sz w:val="28"/>
          <w:szCs w:val="28"/>
          <w:lang w:val="uk-UA" w:eastAsia="uk-UA"/>
        </w:rPr>
        <w:t>, в</w:t>
      </w:r>
      <w:r w:rsidR="00D90A40" w:rsidRPr="00D90A40">
        <w:rPr>
          <w:color w:val="000000"/>
          <w:sz w:val="28"/>
          <w:szCs w:val="28"/>
          <w:lang w:val="uk-UA" w:eastAsia="uk-UA"/>
        </w:rPr>
        <w:t xml:space="preserve">раховуючи що </w:t>
      </w:r>
      <w:r w:rsidR="00D90A40">
        <w:rPr>
          <w:color w:val="000000"/>
          <w:sz w:val="28"/>
          <w:szCs w:val="28"/>
          <w:lang w:val="uk-UA" w:eastAsia="uk-UA"/>
        </w:rPr>
        <w:t>такі видатки повинні</w:t>
      </w:r>
      <w:r w:rsidR="00D90A40" w:rsidRPr="00D90A40">
        <w:rPr>
          <w:color w:val="000000"/>
          <w:sz w:val="28"/>
          <w:szCs w:val="28"/>
          <w:lang w:val="uk-UA" w:eastAsia="uk-UA"/>
        </w:rPr>
        <w:t xml:space="preserve"> здійснюватися за рахунок </w:t>
      </w:r>
      <w:r w:rsidR="0089506F">
        <w:rPr>
          <w:color w:val="000000"/>
          <w:sz w:val="28"/>
          <w:szCs w:val="28"/>
          <w:lang w:val="uk-UA" w:eastAsia="uk-UA"/>
        </w:rPr>
        <w:t>о</w:t>
      </w:r>
      <w:r w:rsidR="00D90A40" w:rsidRPr="00D90A40">
        <w:rPr>
          <w:color w:val="000000"/>
          <w:sz w:val="28"/>
          <w:szCs w:val="28"/>
          <w:lang w:val="uk-UA" w:eastAsia="uk-UA"/>
        </w:rPr>
        <w:t>ператорів газорозподільних мереж</w:t>
      </w:r>
      <w:r w:rsidR="00D90A40">
        <w:rPr>
          <w:color w:val="000000"/>
          <w:sz w:val="28"/>
          <w:szCs w:val="28"/>
          <w:lang w:val="uk-UA" w:eastAsia="uk-UA"/>
        </w:rPr>
        <w:t>.</w:t>
      </w:r>
    </w:p>
    <w:p w14:paraId="3DBEF6D6" w14:textId="631313DE" w:rsidR="0070172F" w:rsidRDefault="0070172F" w:rsidP="006E49B0">
      <w:pPr>
        <w:ind w:firstLine="9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Водночас застосування запропонованих у підпункті 4 пункту 2 розділу І законопроекту санкцій до суб’єктів господарювання, що </w:t>
      </w:r>
      <w:r>
        <w:rPr>
          <w:rFonts w:eastAsia="Times New Roman"/>
          <w:sz w:val="28"/>
          <w:szCs w:val="28"/>
          <w:lang w:val="uk-UA"/>
        </w:rPr>
        <w:t xml:space="preserve"> здійснюють розподіл природного газу на відповідній території, у разі виявлення визначених у законопроекті порушень, може зумовити збільшення надходжень державного бюджету. </w:t>
      </w:r>
    </w:p>
    <w:p w14:paraId="67537C65" w14:textId="49F09AAF" w:rsidR="006E49B0" w:rsidRPr="006E49B0" w:rsidRDefault="0070172F" w:rsidP="006E49B0">
      <w:pPr>
        <w:ind w:firstLine="9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При цьому </w:t>
      </w:r>
      <w:r w:rsidR="006E49B0" w:rsidRPr="006E49B0">
        <w:rPr>
          <w:color w:val="000000"/>
          <w:sz w:val="28"/>
          <w:szCs w:val="28"/>
          <w:lang w:val="uk-UA" w:eastAsia="uk-UA"/>
        </w:rPr>
        <w:t xml:space="preserve">до законопроекту не надано належне фінансово-економічне обґрунтування (включаючи відповідні розрахунки) та пропозиції щодо </w:t>
      </w:r>
      <w:r w:rsidR="006E49B0" w:rsidRPr="0070172F">
        <w:rPr>
          <w:color w:val="000000"/>
          <w:sz w:val="28"/>
          <w:szCs w:val="28"/>
          <w:lang w:val="uk-UA" w:eastAsia="uk-UA"/>
        </w:rPr>
        <w:t>додаткових джерел проведення таких видатків з державного та місцевих бюджетів</w:t>
      </w:r>
      <w:r w:rsidR="006E49B0" w:rsidRPr="006E49B0">
        <w:rPr>
          <w:color w:val="000000"/>
          <w:sz w:val="28"/>
          <w:szCs w:val="28"/>
          <w:lang w:val="uk-UA" w:eastAsia="uk-UA"/>
        </w:rPr>
        <w:t xml:space="preserve"> для досягнення збалансованості бюджетів, що суперечить вимогам частини першої статті 27 Бюджетного кодексу України та частини третьої статті 91 Регламенту Верховної Ради України. </w:t>
      </w:r>
    </w:p>
    <w:p w14:paraId="08D82143" w14:textId="77777777" w:rsidR="006E49B0" w:rsidRPr="006E49B0" w:rsidRDefault="006E49B0" w:rsidP="006E49B0">
      <w:pPr>
        <w:ind w:firstLine="902"/>
        <w:jc w:val="both"/>
        <w:rPr>
          <w:color w:val="000000"/>
          <w:sz w:val="28"/>
          <w:szCs w:val="28"/>
          <w:lang w:val="uk-UA" w:eastAsia="uk-UA"/>
        </w:rPr>
      </w:pPr>
      <w:r w:rsidRPr="006E49B0">
        <w:rPr>
          <w:color w:val="000000"/>
          <w:sz w:val="28"/>
          <w:szCs w:val="28"/>
          <w:lang w:val="uk-UA" w:eastAsia="uk-UA"/>
        </w:rPr>
        <w:t>Термін набрання чинності законом, визначений у законопроекті (з дня, наступного за днем його опублікування), не відповідає вимогам частини третьої статті 27 Бюджетного кодексу України щодо введення в дію законів України або їх окремих положень, які впливають на показники бюджету (зменшують надходження бюджету та/або збільшують витрати бюджету).</w:t>
      </w:r>
    </w:p>
    <w:p w14:paraId="6F6BDF3D" w14:textId="3E5FE801" w:rsidR="00061CBC" w:rsidRPr="00061CBC" w:rsidRDefault="00061CBC" w:rsidP="00061CBC">
      <w:pPr>
        <w:ind w:firstLine="900"/>
        <w:jc w:val="both"/>
        <w:rPr>
          <w:rFonts w:eastAsia="Times New Roman"/>
          <w:bCs/>
          <w:iCs/>
          <w:sz w:val="27"/>
          <w:szCs w:val="27"/>
          <w:lang w:val="uk-UA"/>
        </w:rPr>
      </w:pPr>
      <w:r w:rsidRPr="00061CBC">
        <w:rPr>
          <w:rFonts w:eastAsia="Times New Roman"/>
          <w:bCs/>
          <w:iCs/>
          <w:sz w:val="27"/>
          <w:szCs w:val="27"/>
          <w:lang w:val="uk-UA"/>
        </w:rPr>
        <w:t>За підсумками розгляду Комітет ухвалив рішення</w:t>
      </w:r>
      <w:r>
        <w:rPr>
          <w:rFonts w:eastAsia="Times New Roman"/>
          <w:bCs/>
          <w:iCs/>
          <w:sz w:val="27"/>
          <w:szCs w:val="27"/>
          <w:lang w:val="uk-UA"/>
        </w:rPr>
        <w:t>, що п</w:t>
      </w:r>
      <w:r w:rsidRPr="00061CBC">
        <w:rPr>
          <w:rFonts w:eastAsia="Times New Roman"/>
          <w:sz w:val="28"/>
          <w:szCs w:val="28"/>
          <w:lang w:val="uk-UA"/>
        </w:rPr>
        <w:t>роект закону про</w:t>
      </w:r>
      <w:r w:rsidRPr="00061CBC">
        <w:rPr>
          <w:rFonts w:eastAsia="Times New Roman"/>
          <w:sz w:val="27"/>
          <w:szCs w:val="27"/>
          <w:lang w:val="uk-UA"/>
        </w:rPr>
        <w:t xml:space="preserve"> </w:t>
      </w:r>
      <w:r w:rsidRPr="003D346B">
        <w:rPr>
          <w:sz w:val="28"/>
          <w:szCs w:val="28"/>
          <w:lang w:val="uk-UA"/>
        </w:rPr>
        <w:t>внесення змін до деяких законодавчих актів щодо комерційного обліку теплової енергії, водопостачання та природного газу для населення</w:t>
      </w:r>
      <w:r w:rsidRPr="00C52D8B">
        <w:rPr>
          <w:rFonts w:eastAsia="Times New Roman"/>
          <w:sz w:val="27"/>
          <w:szCs w:val="27"/>
          <w:lang w:val="uk-UA"/>
        </w:rPr>
        <w:t xml:space="preserve"> (</w:t>
      </w:r>
      <w:r>
        <w:rPr>
          <w:rFonts w:eastAsia="Times New Roman"/>
          <w:sz w:val="28"/>
          <w:szCs w:val="28"/>
          <w:lang w:val="uk-UA"/>
        </w:rPr>
        <w:t>реєстр. № 3732-1 від 08.07</w:t>
      </w:r>
      <w:r w:rsidRPr="00C52D8B">
        <w:rPr>
          <w:rFonts w:eastAsia="Times New Roman"/>
          <w:sz w:val="28"/>
          <w:szCs w:val="28"/>
          <w:lang w:val="uk-UA"/>
        </w:rPr>
        <w:t>.2020 р.)</w:t>
      </w:r>
      <w:r w:rsidRPr="00C52D8B">
        <w:rPr>
          <w:rFonts w:eastAsia="Times New Roman"/>
          <w:sz w:val="27"/>
          <w:szCs w:val="27"/>
          <w:lang w:val="uk-UA"/>
        </w:rPr>
        <w:t xml:space="preserve">, поданий </w:t>
      </w:r>
      <w:r w:rsidRPr="00C52D8B">
        <w:rPr>
          <w:rFonts w:eastAsia="Times New Roman"/>
          <w:sz w:val="28"/>
          <w:szCs w:val="28"/>
          <w:lang w:val="uk-UA"/>
        </w:rPr>
        <w:t>народним</w:t>
      </w:r>
      <w:r>
        <w:rPr>
          <w:rFonts w:eastAsia="Times New Roman"/>
          <w:sz w:val="28"/>
          <w:szCs w:val="28"/>
          <w:lang w:val="uk-UA"/>
        </w:rPr>
        <w:t>и депутата</w:t>
      </w:r>
      <w:r w:rsidRPr="00C52D8B">
        <w:rPr>
          <w:rFonts w:eastAsia="Times New Roman"/>
          <w:sz w:val="28"/>
          <w:szCs w:val="28"/>
          <w:lang w:val="uk-UA"/>
        </w:rPr>
        <w:t>м</w:t>
      </w:r>
      <w:r>
        <w:rPr>
          <w:rFonts w:eastAsia="Times New Roman"/>
          <w:sz w:val="28"/>
          <w:szCs w:val="28"/>
          <w:lang w:val="uk-UA"/>
        </w:rPr>
        <w:t>и</w:t>
      </w:r>
      <w:r w:rsidRPr="00C52D8B">
        <w:rPr>
          <w:rFonts w:eastAsia="Times New Roman"/>
          <w:sz w:val="28"/>
          <w:szCs w:val="28"/>
          <w:lang w:val="uk-UA"/>
        </w:rPr>
        <w:t xml:space="preserve"> України </w:t>
      </w:r>
      <w:r>
        <w:rPr>
          <w:rFonts w:eastAsia="Times New Roman"/>
          <w:sz w:val="28"/>
          <w:szCs w:val="28"/>
          <w:lang w:val="uk-UA"/>
        </w:rPr>
        <w:t xml:space="preserve">Чорним Д.С., </w:t>
      </w:r>
      <w:proofErr w:type="spellStart"/>
      <w:r>
        <w:rPr>
          <w:rFonts w:eastAsia="Times New Roman"/>
          <w:sz w:val="28"/>
          <w:szCs w:val="28"/>
          <w:lang w:val="uk-UA"/>
        </w:rPr>
        <w:t>Батенком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Т.І., Германом Д.В. та іншими народними депутатами України</w:t>
      </w:r>
      <w:r w:rsidRPr="00061CBC">
        <w:rPr>
          <w:rFonts w:eastAsia="Times New Roman"/>
          <w:sz w:val="28"/>
          <w:szCs w:val="28"/>
          <w:lang w:val="uk-UA"/>
        </w:rPr>
        <w:t xml:space="preserve">, має вплив на показники </w:t>
      </w:r>
      <w:r w:rsidR="00926EF7">
        <w:rPr>
          <w:rFonts w:eastAsia="Times New Roman"/>
          <w:sz w:val="28"/>
          <w:szCs w:val="28"/>
          <w:lang w:val="uk-UA"/>
        </w:rPr>
        <w:t xml:space="preserve">державного і місцевих бюджетів </w:t>
      </w:r>
      <w:r w:rsidRPr="00061CBC">
        <w:rPr>
          <w:rFonts w:eastAsia="Times New Roman"/>
          <w:sz w:val="28"/>
          <w:szCs w:val="28"/>
          <w:lang w:val="uk-UA"/>
        </w:rPr>
        <w:t>(</w:t>
      </w:r>
      <w:r w:rsidR="0070172F">
        <w:rPr>
          <w:rFonts w:eastAsia="Times New Roman"/>
          <w:sz w:val="28"/>
          <w:szCs w:val="28"/>
          <w:lang w:val="uk-UA"/>
        </w:rPr>
        <w:t>може призвести</w:t>
      </w:r>
      <w:r w:rsidRPr="00061CBC">
        <w:rPr>
          <w:rFonts w:eastAsia="Times New Roman"/>
          <w:sz w:val="28"/>
          <w:szCs w:val="28"/>
          <w:lang w:val="uk-UA"/>
        </w:rPr>
        <w:t xml:space="preserve"> до збільшення</w:t>
      </w:r>
      <w:r w:rsidR="009A1B7D">
        <w:rPr>
          <w:rFonts w:eastAsia="Times New Roman"/>
          <w:sz w:val="28"/>
          <w:szCs w:val="28"/>
          <w:lang w:val="uk-UA"/>
        </w:rPr>
        <w:t xml:space="preserve"> </w:t>
      </w:r>
      <w:r w:rsidR="0070172F">
        <w:rPr>
          <w:rFonts w:eastAsia="Times New Roman"/>
          <w:sz w:val="28"/>
          <w:szCs w:val="28"/>
          <w:lang w:val="uk-UA"/>
        </w:rPr>
        <w:t xml:space="preserve">їх </w:t>
      </w:r>
      <w:r w:rsidR="009A1B7D">
        <w:rPr>
          <w:rFonts w:eastAsia="Times New Roman"/>
          <w:sz w:val="28"/>
          <w:szCs w:val="28"/>
          <w:lang w:val="uk-UA"/>
        </w:rPr>
        <w:t>видатків</w:t>
      </w:r>
      <w:r w:rsidR="0070172F">
        <w:rPr>
          <w:rFonts w:eastAsia="Times New Roman"/>
          <w:sz w:val="28"/>
          <w:szCs w:val="28"/>
          <w:lang w:val="uk-UA"/>
        </w:rPr>
        <w:t xml:space="preserve">, а </w:t>
      </w:r>
      <w:r w:rsidR="009A1B7D">
        <w:rPr>
          <w:rFonts w:eastAsia="Times New Roman"/>
          <w:sz w:val="28"/>
          <w:szCs w:val="28"/>
          <w:lang w:val="uk-UA"/>
        </w:rPr>
        <w:t>та</w:t>
      </w:r>
      <w:r w:rsidR="0070172F">
        <w:rPr>
          <w:rFonts w:eastAsia="Times New Roman"/>
          <w:sz w:val="28"/>
          <w:szCs w:val="28"/>
          <w:lang w:val="uk-UA"/>
        </w:rPr>
        <w:t xml:space="preserve">кож зумовить збільшення </w:t>
      </w:r>
      <w:r w:rsidR="009A1B7D">
        <w:rPr>
          <w:rFonts w:eastAsia="Times New Roman"/>
          <w:sz w:val="28"/>
          <w:szCs w:val="28"/>
          <w:lang w:val="uk-UA"/>
        </w:rPr>
        <w:t xml:space="preserve">доходів </w:t>
      </w:r>
      <w:r w:rsidR="0070172F">
        <w:rPr>
          <w:rFonts w:eastAsia="Times New Roman"/>
          <w:sz w:val="28"/>
          <w:szCs w:val="28"/>
          <w:lang w:val="uk-UA"/>
        </w:rPr>
        <w:t>державного бюджету</w:t>
      </w:r>
      <w:r w:rsidR="009A1B7D">
        <w:rPr>
          <w:rFonts w:eastAsia="Times New Roman"/>
          <w:sz w:val="28"/>
          <w:szCs w:val="28"/>
          <w:lang w:val="uk-UA"/>
        </w:rPr>
        <w:t xml:space="preserve"> </w:t>
      </w:r>
      <w:r w:rsidR="008E56AD" w:rsidRPr="008E56AD">
        <w:rPr>
          <w:rFonts w:eastAsia="Times New Roman"/>
          <w:sz w:val="28"/>
          <w:szCs w:val="28"/>
          <w:lang w:val="uk-UA"/>
        </w:rPr>
        <w:t>залежно від виявлен</w:t>
      </w:r>
      <w:r w:rsidR="0070172F">
        <w:rPr>
          <w:rFonts w:eastAsia="Times New Roman"/>
          <w:sz w:val="28"/>
          <w:szCs w:val="28"/>
          <w:lang w:val="uk-UA"/>
        </w:rPr>
        <w:t>их</w:t>
      </w:r>
      <w:r w:rsidR="008E56AD" w:rsidRPr="008E56AD">
        <w:rPr>
          <w:rFonts w:eastAsia="Times New Roman"/>
          <w:sz w:val="28"/>
          <w:szCs w:val="28"/>
          <w:lang w:val="uk-UA"/>
        </w:rPr>
        <w:t xml:space="preserve"> правопорушень</w:t>
      </w:r>
      <w:r w:rsidR="009A1B7D" w:rsidRPr="009A1B7D">
        <w:rPr>
          <w:rFonts w:eastAsia="Times New Roman"/>
          <w:spacing w:val="-2"/>
          <w:sz w:val="28"/>
          <w:szCs w:val="28"/>
          <w:lang w:val="uk-UA"/>
        </w:rPr>
        <w:t>)</w:t>
      </w:r>
      <w:r w:rsidRPr="00061CBC">
        <w:rPr>
          <w:rFonts w:eastAsia="Times New Roman"/>
          <w:spacing w:val="-2"/>
          <w:sz w:val="28"/>
          <w:szCs w:val="28"/>
          <w:lang w:val="uk-UA"/>
        </w:rPr>
        <w:t xml:space="preserve">. У разі прийняття відповідного закону до </w:t>
      </w:r>
      <w:r w:rsidRPr="00061CBC">
        <w:rPr>
          <w:rFonts w:eastAsia="Times New Roman"/>
          <w:sz w:val="28"/>
          <w:szCs w:val="28"/>
          <w:lang w:val="uk-UA"/>
        </w:rPr>
        <w:t>15 липня 202</w:t>
      </w:r>
      <w:r>
        <w:rPr>
          <w:rFonts w:eastAsia="Times New Roman"/>
          <w:sz w:val="28"/>
          <w:szCs w:val="28"/>
          <w:lang w:val="uk-UA"/>
        </w:rPr>
        <w:t>1</w:t>
      </w:r>
      <w:r w:rsidRPr="00061CBC">
        <w:rPr>
          <w:rFonts w:eastAsia="Times New Roman"/>
          <w:sz w:val="28"/>
          <w:szCs w:val="28"/>
          <w:lang w:val="uk-UA"/>
        </w:rPr>
        <w:t xml:space="preserve"> року він має вводитися в дію не раніше 1 січня 202</w:t>
      </w:r>
      <w:r>
        <w:rPr>
          <w:rFonts w:eastAsia="Times New Roman"/>
          <w:sz w:val="28"/>
          <w:szCs w:val="28"/>
          <w:lang w:val="uk-UA"/>
        </w:rPr>
        <w:t>2</w:t>
      </w:r>
      <w:r w:rsidRPr="00061CBC">
        <w:rPr>
          <w:rFonts w:eastAsia="Times New Roman"/>
          <w:sz w:val="28"/>
          <w:szCs w:val="28"/>
          <w:lang w:val="uk-UA"/>
        </w:rPr>
        <w:t xml:space="preserve"> року, а після 15 липня 202</w:t>
      </w:r>
      <w:r>
        <w:rPr>
          <w:rFonts w:eastAsia="Times New Roman"/>
          <w:sz w:val="28"/>
          <w:szCs w:val="28"/>
          <w:lang w:val="uk-UA"/>
        </w:rPr>
        <w:t>1</w:t>
      </w:r>
      <w:r w:rsidR="00B92483">
        <w:rPr>
          <w:rFonts w:eastAsia="Times New Roman"/>
          <w:sz w:val="28"/>
          <w:szCs w:val="28"/>
          <w:lang w:val="uk-UA"/>
        </w:rPr>
        <w:t xml:space="preserve"> року - не раніше 1 </w:t>
      </w:r>
      <w:bookmarkStart w:id="0" w:name="_GoBack"/>
      <w:bookmarkEnd w:id="0"/>
      <w:r w:rsidRPr="00061CBC">
        <w:rPr>
          <w:rFonts w:eastAsia="Times New Roman"/>
          <w:sz w:val="28"/>
          <w:szCs w:val="28"/>
          <w:lang w:val="uk-UA"/>
        </w:rPr>
        <w:t>січня 202</w:t>
      </w:r>
      <w:r>
        <w:rPr>
          <w:rFonts w:eastAsia="Times New Roman"/>
          <w:sz w:val="28"/>
          <w:szCs w:val="28"/>
          <w:lang w:val="uk-UA"/>
        </w:rPr>
        <w:t>2</w:t>
      </w:r>
      <w:r w:rsidRPr="00061CBC">
        <w:rPr>
          <w:rFonts w:eastAsia="Times New Roman"/>
          <w:sz w:val="28"/>
          <w:szCs w:val="28"/>
          <w:lang w:val="uk-UA"/>
        </w:rPr>
        <w:t xml:space="preserve"> року (або 1 січня наступного за цим року залежно від часу прийняття закону).</w:t>
      </w:r>
    </w:p>
    <w:p w14:paraId="068C5903" w14:textId="77777777" w:rsidR="00FB637C" w:rsidRDefault="00FB637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07B5E02" w14:textId="543EC159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r w:rsidRPr="00C52D8B">
        <w:rPr>
          <w:rFonts w:eastAsia="Times New Roman"/>
          <w:b/>
          <w:sz w:val="27"/>
          <w:szCs w:val="27"/>
          <w:lang w:val="uk-UA"/>
        </w:rPr>
        <w:t xml:space="preserve">Голова Комітету </w:t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  <w:t>Ю.Ю. Арістов</w:t>
      </w:r>
    </w:p>
    <w:p w14:paraId="17D21246" w14:textId="3B467BF6" w:rsidR="000D4B81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A0E51C1" w14:textId="6C7A62B9" w:rsidR="009A1B7D" w:rsidRDefault="009A1B7D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E2A3EF5" w14:textId="51E13114" w:rsidR="00FB637C" w:rsidRDefault="00FB637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7249B17" w14:textId="23188453" w:rsidR="00FB637C" w:rsidRDefault="00FB637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E991C7F" w14:textId="45B6B6CC" w:rsidR="00FB637C" w:rsidRDefault="00FB637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8CF673A" w14:textId="7A74629D" w:rsidR="009A1B7D" w:rsidRDefault="009A1B7D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DF81ED7" w14:textId="77777777" w:rsidR="009A1B7D" w:rsidRDefault="009A1B7D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C6A80F0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0FB9B425" w14:textId="1669AFED" w:rsidR="00FE560D" w:rsidRPr="00F777BC" w:rsidRDefault="000D4B81" w:rsidP="00F777BC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sectPr w:rsidR="00FE560D" w:rsidRPr="00F777BC" w:rsidSect="00FB63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85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27B5" w14:textId="77777777" w:rsidR="00693950" w:rsidRDefault="00693950">
      <w:r>
        <w:separator/>
      </w:r>
    </w:p>
  </w:endnote>
  <w:endnote w:type="continuationSeparator" w:id="0">
    <w:p w14:paraId="0263C09C" w14:textId="77777777" w:rsidR="00693950" w:rsidRDefault="006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09705"/>
      <w:docPartObj>
        <w:docPartGallery w:val="Page Numbers (Bottom of Page)"/>
        <w:docPartUnique/>
      </w:docPartObj>
    </w:sdtPr>
    <w:sdtEndPr/>
    <w:sdtContent>
      <w:p w14:paraId="64E3FC2F" w14:textId="0EAD39E1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83" w:rsidRPr="00B92483">
          <w:rPr>
            <w:noProof/>
            <w:lang w:val="uk-UA"/>
          </w:rPr>
          <w:t>2</w:t>
        </w:r>
        <w:r>
          <w:fldChar w:fldCharType="end"/>
        </w:r>
      </w:p>
    </w:sdtContent>
  </w:sdt>
  <w:p w14:paraId="194E732A" w14:textId="77777777" w:rsidR="00C52D8B" w:rsidRDefault="00693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5834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693950">
        <w:pPr>
          <w:pStyle w:val="a5"/>
          <w:jc w:val="center"/>
        </w:pPr>
      </w:p>
    </w:sdtContent>
  </w:sdt>
  <w:p w14:paraId="6A00FD63" w14:textId="77777777" w:rsidR="00A7635E" w:rsidRDefault="00693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BA03" w14:textId="77777777" w:rsidR="00693950" w:rsidRDefault="00693950">
      <w:r>
        <w:separator/>
      </w:r>
    </w:p>
  </w:footnote>
  <w:footnote w:type="continuationSeparator" w:id="0">
    <w:p w14:paraId="7C88CE45" w14:textId="77777777" w:rsidR="00693950" w:rsidRDefault="0069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69395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69395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69395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693950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693950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693950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693950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048E7"/>
    <w:rsid w:val="00050A50"/>
    <w:rsid w:val="00060695"/>
    <w:rsid w:val="00061CBC"/>
    <w:rsid w:val="00085DA0"/>
    <w:rsid w:val="000932A0"/>
    <w:rsid w:val="000B118F"/>
    <w:rsid w:val="000B7CC8"/>
    <w:rsid w:val="000D4B81"/>
    <w:rsid w:val="00147C3D"/>
    <w:rsid w:val="00161690"/>
    <w:rsid w:val="001A0B60"/>
    <w:rsid w:val="001C6E7C"/>
    <w:rsid w:val="001D2605"/>
    <w:rsid w:val="001E19DC"/>
    <w:rsid w:val="001F1819"/>
    <w:rsid w:val="00210198"/>
    <w:rsid w:val="002700F6"/>
    <w:rsid w:val="00273D45"/>
    <w:rsid w:val="002A0A0F"/>
    <w:rsid w:val="002E2B0A"/>
    <w:rsid w:val="00346ECE"/>
    <w:rsid w:val="00371930"/>
    <w:rsid w:val="00374C9D"/>
    <w:rsid w:val="003D346B"/>
    <w:rsid w:val="0044177F"/>
    <w:rsid w:val="00443A98"/>
    <w:rsid w:val="00451EE7"/>
    <w:rsid w:val="00460EEA"/>
    <w:rsid w:val="00496257"/>
    <w:rsid w:val="004A1FCA"/>
    <w:rsid w:val="00533491"/>
    <w:rsid w:val="005376C3"/>
    <w:rsid w:val="0055210A"/>
    <w:rsid w:val="005B4B68"/>
    <w:rsid w:val="005C1BD3"/>
    <w:rsid w:val="005D7484"/>
    <w:rsid w:val="005E1A08"/>
    <w:rsid w:val="005E6ACF"/>
    <w:rsid w:val="00607F6B"/>
    <w:rsid w:val="00612DFA"/>
    <w:rsid w:val="00642599"/>
    <w:rsid w:val="0064557A"/>
    <w:rsid w:val="00677984"/>
    <w:rsid w:val="00693950"/>
    <w:rsid w:val="006A0143"/>
    <w:rsid w:val="006A6DA1"/>
    <w:rsid w:val="006B11CA"/>
    <w:rsid w:val="006C47A0"/>
    <w:rsid w:val="006C6CD2"/>
    <w:rsid w:val="006E49B0"/>
    <w:rsid w:val="006E63B2"/>
    <w:rsid w:val="006F1D93"/>
    <w:rsid w:val="0070172F"/>
    <w:rsid w:val="007147AB"/>
    <w:rsid w:val="00786D57"/>
    <w:rsid w:val="00787310"/>
    <w:rsid w:val="00787792"/>
    <w:rsid w:val="007B4EA2"/>
    <w:rsid w:val="007D2E42"/>
    <w:rsid w:val="00851724"/>
    <w:rsid w:val="008776F7"/>
    <w:rsid w:val="0089506F"/>
    <w:rsid w:val="008B58A3"/>
    <w:rsid w:val="008E56AD"/>
    <w:rsid w:val="008F7614"/>
    <w:rsid w:val="009158ED"/>
    <w:rsid w:val="0092640E"/>
    <w:rsid w:val="00926EF7"/>
    <w:rsid w:val="00967FC3"/>
    <w:rsid w:val="00974557"/>
    <w:rsid w:val="00991B36"/>
    <w:rsid w:val="009A1B7D"/>
    <w:rsid w:val="009C1F07"/>
    <w:rsid w:val="009C3410"/>
    <w:rsid w:val="009E7049"/>
    <w:rsid w:val="009F7418"/>
    <w:rsid w:val="00A0364D"/>
    <w:rsid w:val="00A07EA1"/>
    <w:rsid w:val="00A1241A"/>
    <w:rsid w:val="00A418A6"/>
    <w:rsid w:val="00A55447"/>
    <w:rsid w:val="00A7250E"/>
    <w:rsid w:val="00A9245D"/>
    <w:rsid w:val="00AA1E3F"/>
    <w:rsid w:val="00AF52F8"/>
    <w:rsid w:val="00B51F19"/>
    <w:rsid w:val="00B53A6E"/>
    <w:rsid w:val="00B62F2E"/>
    <w:rsid w:val="00B92483"/>
    <w:rsid w:val="00BA5711"/>
    <w:rsid w:val="00BB64F7"/>
    <w:rsid w:val="00BD4515"/>
    <w:rsid w:val="00BD4DEB"/>
    <w:rsid w:val="00BD6A43"/>
    <w:rsid w:val="00BD6CE7"/>
    <w:rsid w:val="00C4604E"/>
    <w:rsid w:val="00C507FE"/>
    <w:rsid w:val="00C52A10"/>
    <w:rsid w:val="00CA100E"/>
    <w:rsid w:val="00CB7E32"/>
    <w:rsid w:val="00CD18AC"/>
    <w:rsid w:val="00D04D66"/>
    <w:rsid w:val="00D1000B"/>
    <w:rsid w:val="00D20416"/>
    <w:rsid w:val="00D37760"/>
    <w:rsid w:val="00D86A79"/>
    <w:rsid w:val="00D90A40"/>
    <w:rsid w:val="00DA7F01"/>
    <w:rsid w:val="00DB395C"/>
    <w:rsid w:val="00DD01C1"/>
    <w:rsid w:val="00DD361A"/>
    <w:rsid w:val="00DD45C8"/>
    <w:rsid w:val="00DE5E65"/>
    <w:rsid w:val="00DE639F"/>
    <w:rsid w:val="00DF4042"/>
    <w:rsid w:val="00E10FD2"/>
    <w:rsid w:val="00E128C2"/>
    <w:rsid w:val="00E338ED"/>
    <w:rsid w:val="00E44079"/>
    <w:rsid w:val="00E5268A"/>
    <w:rsid w:val="00E65E33"/>
    <w:rsid w:val="00E707F4"/>
    <w:rsid w:val="00E80DC4"/>
    <w:rsid w:val="00E963EC"/>
    <w:rsid w:val="00EA1EC5"/>
    <w:rsid w:val="00EC3263"/>
    <w:rsid w:val="00EC60C1"/>
    <w:rsid w:val="00ED2D71"/>
    <w:rsid w:val="00ED5ECC"/>
    <w:rsid w:val="00F044E2"/>
    <w:rsid w:val="00F26A51"/>
    <w:rsid w:val="00F613ED"/>
    <w:rsid w:val="00F777BC"/>
    <w:rsid w:val="00F83540"/>
    <w:rsid w:val="00F90D8B"/>
    <w:rsid w:val="00FB296F"/>
    <w:rsid w:val="00FB637C"/>
    <w:rsid w:val="00FD1DD0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  <w:style w:type="paragraph" w:customStyle="1" w:styleId="Default">
    <w:name w:val="Default"/>
    <w:rsid w:val="0053349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paragraph" w:customStyle="1" w:styleId="rvps2">
    <w:name w:val="rvps2"/>
    <w:basedOn w:val="a"/>
    <w:rsid w:val="0053349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533491"/>
    <w:rPr>
      <w:color w:val="0000FF"/>
      <w:u w:val="single"/>
    </w:rPr>
  </w:style>
  <w:style w:type="character" w:customStyle="1" w:styleId="rvts46">
    <w:name w:val="rvts46"/>
    <w:basedOn w:val="a0"/>
    <w:rsid w:val="00533491"/>
  </w:style>
  <w:style w:type="character" w:customStyle="1" w:styleId="rvts0">
    <w:name w:val="rvts0"/>
    <w:rsid w:val="006A014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177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4177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19</cp:revision>
  <cp:lastPrinted>2020-08-26T16:36:00Z</cp:lastPrinted>
  <dcterms:created xsi:type="dcterms:W3CDTF">2020-08-20T11:40:00Z</dcterms:created>
  <dcterms:modified xsi:type="dcterms:W3CDTF">2020-09-09T09:43:00Z</dcterms:modified>
</cp:coreProperties>
</file>