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3D" w:rsidRPr="00102713" w:rsidRDefault="00B57E3D" w:rsidP="00E53FC4">
      <w:pPr>
        <w:keepNext/>
        <w:spacing w:after="0" w:line="240" w:lineRule="auto"/>
        <w:jc w:val="center"/>
        <w:outlineLvl w:val="2"/>
        <w:rPr>
          <w:rFonts w:ascii="Times New Roman" w:eastAsia="Times New Roman" w:hAnsi="Times New Roman"/>
          <w:sz w:val="28"/>
          <w:szCs w:val="24"/>
          <w:highlight w:val="yellow"/>
          <w:lang w:eastAsia="ru-RU"/>
        </w:rPr>
      </w:pPr>
    </w:p>
    <w:p w:rsidR="00C3493F" w:rsidRPr="00102713" w:rsidRDefault="00C3493F" w:rsidP="00E53FC4">
      <w:pPr>
        <w:keepNext/>
        <w:spacing w:after="0" w:line="240" w:lineRule="auto"/>
        <w:jc w:val="center"/>
        <w:outlineLvl w:val="2"/>
        <w:rPr>
          <w:rFonts w:ascii="Times New Roman" w:eastAsia="Times New Roman" w:hAnsi="Times New Roman"/>
          <w:sz w:val="28"/>
          <w:szCs w:val="24"/>
          <w:highlight w:val="yellow"/>
          <w:lang w:eastAsia="ru-RU"/>
        </w:rPr>
      </w:pPr>
    </w:p>
    <w:p w:rsidR="00C3493F" w:rsidRPr="00102713" w:rsidRDefault="00C3493F" w:rsidP="00E53FC4">
      <w:pPr>
        <w:keepNext/>
        <w:spacing w:after="0" w:line="240" w:lineRule="auto"/>
        <w:jc w:val="center"/>
        <w:outlineLvl w:val="2"/>
        <w:rPr>
          <w:rFonts w:ascii="Times New Roman" w:eastAsia="Times New Roman" w:hAnsi="Times New Roman"/>
          <w:sz w:val="28"/>
          <w:szCs w:val="24"/>
          <w:highlight w:val="yellow"/>
          <w:lang w:eastAsia="ru-RU"/>
        </w:rPr>
      </w:pPr>
    </w:p>
    <w:p w:rsidR="00F3692D" w:rsidRPr="00102713" w:rsidRDefault="00F3692D" w:rsidP="00E53FC4">
      <w:pPr>
        <w:keepNext/>
        <w:spacing w:after="0" w:line="240" w:lineRule="auto"/>
        <w:jc w:val="center"/>
        <w:outlineLvl w:val="2"/>
        <w:rPr>
          <w:rFonts w:ascii="Times New Roman" w:eastAsia="Times New Roman" w:hAnsi="Times New Roman"/>
          <w:sz w:val="28"/>
          <w:szCs w:val="24"/>
          <w:highlight w:val="yellow"/>
          <w:lang w:eastAsia="ru-RU"/>
        </w:rPr>
      </w:pPr>
    </w:p>
    <w:p w:rsidR="002735C0" w:rsidRPr="00102713" w:rsidRDefault="002735C0" w:rsidP="00E53FC4">
      <w:pPr>
        <w:keepNext/>
        <w:spacing w:after="0" w:line="240" w:lineRule="auto"/>
        <w:jc w:val="center"/>
        <w:outlineLvl w:val="2"/>
        <w:rPr>
          <w:rFonts w:ascii="Times New Roman" w:eastAsia="Times New Roman" w:hAnsi="Times New Roman"/>
          <w:sz w:val="28"/>
          <w:szCs w:val="24"/>
          <w:highlight w:val="yellow"/>
          <w:lang w:eastAsia="ru-RU"/>
        </w:rPr>
      </w:pPr>
    </w:p>
    <w:p w:rsidR="004630E4" w:rsidRPr="00102713" w:rsidRDefault="004630E4" w:rsidP="00E53FC4">
      <w:pPr>
        <w:keepNext/>
        <w:spacing w:after="0" w:line="240" w:lineRule="auto"/>
        <w:jc w:val="center"/>
        <w:outlineLvl w:val="2"/>
        <w:rPr>
          <w:rFonts w:ascii="Times New Roman" w:eastAsia="Times New Roman" w:hAnsi="Times New Roman"/>
          <w:sz w:val="28"/>
          <w:szCs w:val="24"/>
          <w:highlight w:val="yellow"/>
          <w:lang w:eastAsia="ru-RU"/>
        </w:rPr>
      </w:pPr>
    </w:p>
    <w:p w:rsidR="004630E4" w:rsidRPr="00102713" w:rsidRDefault="004630E4" w:rsidP="00E53FC4">
      <w:pPr>
        <w:keepNext/>
        <w:spacing w:after="0" w:line="240" w:lineRule="auto"/>
        <w:jc w:val="center"/>
        <w:outlineLvl w:val="2"/>
        <w:rPr>
          <w:rFonts w:ascii="Times New Roman" w:eastAsia="Times New Roman" w:hAnsi="Times New Roman"/>
          <w:sz w:val="28"/>
          <w:szCs w:val="24"/>
          <w:highlight w:val="yellow"/>
          <w:lang w:eastAsia="ru-RU"/>
        </w:rPr>
      </w:pPr>
    </w:p>
    <w:p w:rsidR="00877470" w:rsidRPr="00102713" w:rsidRDefault="00877470" w:rsidP="00E53FC4">
      <w:pPr>
        <w:keepNext/>
        <w:spacing w:after="0" w:line="240" w:lineRule="auto"/>
        <w:jc w:val="center"/>
        <w:outlineLvl w:val="2"/>
        <w:rPr>
          <w:rFonts w:ascii="Times New Roman" w:eastAsia="Times New Roman" w:hAnsi="Times New Roman"/>
          <w:sz w:val="28"/>
          <w:szCs w:val="24"/>
          <w:highlight w:val="yellow"/>
          <w:lang w:eastAsia="ru-RU"/>
        </w:rPr>
      </w:pPr>
    </w:p>
    <w:p w:rsidR="00C3493F" w:rsidRPr="00102713" w:rsidRDefault="00C3493F" w:rsidP="00E53FC4">
      <w:pPr>
        <w:keepNext/>
        <w:spacing w:after="0" w:line="240" w:lineRule="auto"/>
        <w:jc w:val="center"/>
        <w:outlineLvl w:val="2"/>
        <w:rPr>
          <w:rFonts w:ascii="Times New Roman" w:eastAsia="Times New Roman" w:hAnsi="Times New Roman"/>
          <w:sz w:val="28"/>
          <w:szCs w:val="24"/>
          <w:highlight w:val="yellow"/>
          <w:lang w:eastAsia="ru-RU"/>
        </w:rPr>
      </w:pPr>
    </w:p>
    <w:p w:rsidR="00B57E3D" w:rsidRPr="00102713" w:rsidRDefault="00B57E3D" w:rsidP="00E53FC4">
      <w:pPr>
        <w:keepNext/>
        <w:spacing w:after="0" w:line="240" w:lineRule="auto"/>
        <w:jc w:val="center"/>
        <w:outlineLvl w:val="2"/>
        <w:rPr>
          <w:rFonts w:ascii="Times New Roman" w:eastAsia="Times New Roman" w:hAnsi="Times New Roman"/>
          <w:b/>
          <w:sz w:val="28"/>
          <w:szCs w:val="24"/>
          <w:lang w:eastAsia="ru-RU"/>
        </w:rPr>
      </w:pPr>
      <w:r w:rsidRPr="00102713">
        <w:rPr>
          <w:rFonts w:ascii="Times New Roman" w:eastAsia="Times New Roman" w:hAnsi="Times New Roman"/>
          <w:b/>
          <w:sz w:val="28"/>
          <w:szCs w:val="24"/>
          <w:lang w:eastAsia="ru-RU"/>
        </w:rPr>
        <w:t>ВИСНОВОК</w:t>
      </w:r>
    </w:p>
    <w:p w:rsidR="00465F08" w:rsidRPr="00102713" w:rsidRDefault="00B57E3D" w:rsidP="00E53FC4">
      <w:pPr>
        <w:keepNext/>
        <w:spacing w:after="0" w:line="240" w:lineRule="auto"/>
        <w:jc w:val="center"/>
        <w:outlineLvl w:val="2"/>
        <w:rPr>
          <w:rFonts w:ascii="Times New Roman" w:eastAsia="Times New Roman" w:hAnsi="Times New Roman"/>
          <w:b/>
          <w:sz w:val="28"/>
          <w:szCs w:val="24"/>
          <w:lang w:eastAsia="ru-RU"/>
        </w:rPr>
      </w:pPr>
      <w:r w:rsidRPr="00102713">
        <w:rPr>
          <w:rFonts w:ascii="Times New Roman" w:eastAsia="Times New Roman" w:hAnsi="Times New Roman"/>
          <w:b/>
          <w:sz w:val="28"/>
          <w:szCs w:val="24"/>
          <w:lang w:eastAsia="ru-RU"/>
        </w:rPr>
        <w:t>на проект Закону України «</w:t>
      </w:r>
      <w:r w:rsidR="0008239F" w:rsidRPr="00102713">
        <w:rPr>
          <w:rFonts w:ascii="Times New Roman" w:eastAsia="Times New Roman" w:hAnsi="Times New Roman"/>
          <w:b/>
          <w:sz w:val="28"/>
          <w:szCs w:val="24"/>
          <w:lang w:eastAsia="ru-RU"/>
        </w:rPr>
        <w:t xml:space="preserve">Про </w:t>
      </w:r>
      <w:r w:rsidR="00465F08" w:rsidRPr="00102713">
        <w:rPr>
          <w:rFonts w:ascii="Times New Roman" w:eastAsia="Times New Roman" w:hAnsi="Times New Roman"/>
          <w:b/>
          <w:sz w:val="28"/>
          <w:szCs w:val="24"/>
          <w:lang w:eastAsia="ru-RU"/>
        </w:rPr>
        <w:t>внесення змін до Податкового</w:t>
      </w:r>
    </w:p>
    <w:p w:rsidR="00465F08" w:rsidRPr="00102713" w:rsidRDefault="00465F08" w:rsidP="00E53FC4">
      <w:pPr>
        <w:keepNext/>
        <w:spacing w:after="0" w:line="240" w:lineRule="auto"/>
        <w:jc w:val="center"/>
        <w:outlineLvl w:val="2"/>
        <w:rPr>
          <w:rFonts w:ascii="Times New Roman" w:eastAsia="Times New Roman" w:hAnsi="Times New Roman"/>
          <w:b/>
          <w:sz w:val="28"/>
          <w:szCs w:val="24"/>
          <w:lang w:eastAsia="ru-RU"/>
        </w:rPr>
      </w:pPr>
      <w:r w:rsidRPr="00102713">
        <w:rPr>
          <w:rFonts w:ascii="Times New Roman" w:eastAsia="Times New Roman" w:hAnsi="Times New Roman"/>
          <w:b/>
          <w:sz w:val="28"/>
          <w:szCs w:val="24"/>
          <w:lang w:eastAsia="ru-RU"/>
        </w:rPr>
        <w:t xml:space="preserve"> кодексу України та деяких інших законів України щодо </w:t>
      </w:r>
    </w:p>
    <w:p w:rsidR="00B57E3D" w:rsidRPr="00102713" w:rsidRDefault="00465F08" w:rsidP="00E53FC4">
      <w:pPr>
        <w:keepNext/>
        <w:spacing w:after="0" w:line="240" w:lineRule="auto"/>
        <w:jc w:val="center"/>
        <w:outlineLvl w:val="2"/>
        <w:rPr>
          <w:rFonts w:ascii="Times New Roman" w:eastAsia="Times New Roman" w:hAnsi="Times New Roman"/>
          <w:b/>
          <w:sz w:val="28"/>
          <w:szCs w:val="24"/>
          <w:lang w:eastAsia="ru-RU"/>
        </w:rPr>
      </w:pPr>
      <w:r w:rsidRPr="00102713">
        <w:rPr>
          <w:rFonts w:ascii="Times New Roman" w:eastAsia="Times New Roman" w:hAnsi="Times New Roman"/>
          <w:b/>
          <w:sz w:val="28"/>
          <w:szCs w:val="24"/>
          <w:lang w:eastAsia="ru-RU"/>
        </w:rPr>
        <w:t>заходів стимулювання економіки України</w:t>
      </w:r>
      <w:r w:rsidR="00B57E3D" w:rsidRPr="00102713">
        <w:rPr>
          <w:rFonts w:ascii="Times New Roman" w:eastAsia="Times New Roman" w:hAnsi="Times New Roman"/>
          <w:b/>
          <w:sz w:val="28"/>
          <w:szCs w:val="24"/>
          <w:lang w:eastAsia="ru-RU"/>
        </w:rPr>
        <w:t>»</w:t>
      </w:r>
    </w:p>
    <w:p w:rsidR="00B57E3D" w:rsidRPr="00102713" w:rsidRDefault="00B57E3D" w:rsidP="00E53FC4">
      <w:pPr>
        <w:keepNext/>
        <w:spacing w:after="0" w:line="240" w:lineRule="auto"/>
        <w:jc w:val="center"/>
        <w:outlineLvl w:val="2"/>
        <w:rPr>
          <w:rFonts w:ascii="Times New Roman" w:eastAsia="Times New Roman" w:hAnsi="Times New Roman"/>
          <w:sz w:val="28"/>
          <w:szCs w:val="24"/>
          <w:lang w:eastAsia="ru-RU"/>
        </w:rPr>
      </w:pPr>
    </w:p>
    <w:p w:rsidR="0037114C" w:rsidRPr="00102713" w:rsidRDefault="00F26091" w:rsidP="00E53FC4">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102713">
        <w:rPr>
          <w:rFonts w:ascii="Times New Roman" w:eastAsia="Times New Roman" w:hAnsi="Times New Roman"/>
          <w:sz w:val="28"/>
          <w:szCs w:val="24"/>
          <w:lang w:eastAsia="ru-RU"/>
        </w:rPr>
        <w:t>У законопроекті шляхом внесення змін до Податкового кодексу України (далі – ПК) пропонується</w:t>
      </w:r>
      <w:r w:rsidR="00465F08" w:rsidRPr="00102713">
        <w:rPr>
          <w:rFonts w:ascii="Times New Roman" w:eastAsia="Times New Roman" w:hAnsi="Times New Roman"/>
          <w:sz w:val="28"/>
          <w:szCs w:val="24"/>
          <w:lang w:eastAsia="ru-RU"/>
        </w:rPr>
        <w:t>, зокрема</w:t>
      </w:r>
      <w:r w:rsidR="001C77D0" w:rsidRPr="00102713">
        <w:rPr>
          <w:rFonts w:ascii="Times New Roman" w:eastAsia="Times New Roman" w:hAnsi="Times New Roman"/>
          <w:sz w:val="28"/>
          <w:szCs w:val="24"/>
          <w:lang w:eastAsia="ru-RU"/>
        </w:rPr>
        <w:t>:</w:t>
      </w:r>
      <w:r w:rsidRPr="00102713">
        <w:rPr>
          <w:rFonts w:ascii="Times New Roman" w:eastAsia="Times New Roman" w:hAnsi="Times New Roman"/>
          <w:sz w:val="28"/>
          <w:szCs w:val="24"/>
          <w:lang w:eastAsia="ru-RU"/>
        </w:rPr>
        <w:t xml:space="preserve"> </w:t>
      </w:r>
      <w:r w:rsidR="00465F08" w:rsidRPr="00102713">
        <w:rPr>
          <w:rFonts w:ascii="Times New Roman" w:eastAsia="Times New Roman" w:hAnsi="Times New Roman"/>
          <w:sz w:val="28"/>
          <w:szCs w:val="24"/>
          <w:lang w:eastAsia="ru-RU"/>
        </w:rPr>
        <w:t>удосконалити деякі питання адміністрування податку на додану вартість</w:t>
      </w:r>
      <w:r w:rsidR="00086B10" w:rsidRPr="00102713">
        <w:rPr>
          <w:rFonts w:ascii="Times New Roman" w:eastAsia="Times New Roman" w:hAnsi="Times New Roman"/>
          <w:sz w:val="28"/>
          <w:szCs w:val="24"/>
          <w:lang w:eastAsia="ru-RU"/>
        </w:rPr>
        <w:t>, акцизного податку</w:t>
      </w:r>
      <w:r w:rsidR="00285D80" w:rsidRPr="00102713">
        <w:rPr>
          <w:rFonts w:ascii="Times New Roman" w:eastAsia="Times New Roman" w:hAnsi="Times New Roman"/>
          <w:sz w:val="28"/>
          <w:szCs w:val="24"/>
          <w:lang w:eastAsia="ru-RU"/>
        </w:rPr>
        <w:t>,</w:t>
      </w:r>
      <w:r w:rsidR="00465F08" w:rsidRPr="00102713">
        <w:rPr>
          <w:rFonts w:ascii="Times New Roman" w:eastAsia="Times New Roman" w:hAnsi="Times New Roman"/>
          <w:sz w:val="28"/>
          <w:szCs w:val="24"/>
          <w:lang w:eastAsia="ru-RU"/>
        </w:rPr>
        <w:t xml:space="preserve"> маркування алкогольних виробів; уточнити вимоги щодо перебування на спрощеній системі оподаткування фізичних осіб - підприємців, які провадять діяльність виключно в межах фермерського господарства; тимчасово, з 1 січня 2021 року до 1 січня 2023 року, оподатковувати за ставкою податку на додану вартість 7</w:t>
      </w:r>
      <w:r w:rsidR="00285D80" w:rsidRPr="00102713">
        <w:rPr>
          <w:rFonts w:ascii="Times New Roman" w:eastAsia="Times New Roman" w:hAnsi="Times New Roman"/>
          <w:sz w:val="28"/>
          <w:szCs w:val="24"/>
          <w:lang w:eastAsia="ru-RU"/>
        </w:rPr>
        <w:t>%</w:t>
      </w:r>
      <w:r w:rsidR="00465F08" w:rsidRPr="00102713">
        <w:rPr>
          <w:rFonts w:ascii="Times New Roman" w:eastAsia="Times New Roman" w:hAnsi="Times New Roman"/>
          <w:sz w:val="28"/>
          <w:szCs w:val="24"/>
          <w:lang w:eastAsia="ru-RU"/>
        </w:rPr>
        <w:t xml:space="preserve"> операці</w:t>
      </w:r>
      <w:r w:rsidR="00285D80" w:rsidRPr="00102713">
        <w:rPr>
          <w:rFonts w:ascii="Times New Roman" w:eastAsia="Times New Roman" w:hAnsi="Times New Roman"/>
          <w:sz w:val="28"/>
          <w:szCs w:val="24"/>
          <w:lang w:eastAsia="ru-RU"/>
        </w:rPr>
        <w:t>ї</w:t>
      </w:r>
      <w:r w:rsidR="00465F08" w:rsidRPr="00102713">
        <w:rPr>
          <w:rFonts w:ascii="Times New Roman" w:eastAsia="Times New Roman" w:hAnsi="Times New Roman"/>
          <w:sz w:val="28"/>
          <w:szCs w:val="24"/>
          <w:lang w:eastAsia="ru-RU"/>
        </w:rPr>
        <w:t xml:space="preserve"> з постачання на митній території України та/або ввезення на митну територію України у митному режимі імпорту деякого обладнання та комплектуючих; </w:t>
      </w:r>
      <w:r w:rsidR="00285D80" w:rsidRPr="00102713">
        <w:rPr>
          <w:rFonts w:ascii="Times New Roman" w:eastAsia="Times New Roman" w:hAnsi="Times New Roman"/>
          <w:sz w:val="28"/>
          <w:szCs w:val="24"/>
          <w:lang w:eastAsia="ru-RU"/>
        </w:rPr>
        <w:t>у</w:t>
      </w:r>
      <w:r w:rsidR="00690D63" w:rsidRPr="00102713">
        <w:rPr>
          <w:rFonts w:ascii="Times New Roman" w:eastAsia="Times New Roman" w:hAnsi="Times New Roman"/>
          <w:sz w:val="28"/>
          <w:szCs w:val="24"/>
          <w:lang w:eastAsia="ru-RU"/>
        </w:rPr>
        <w:t>становити</w:t>
      </w:r>
      <w:r w:rsidR="00465F08" w:rsidRPr="00102713">
        <w:rPr>
          <w:rFonts w:ascii="Times New Roman" w:eastAsia="Times New Roman" w:hAnsi="Times New Roman"/>
          <w:sz w:val="28"/>
          <w:szCs w:val="24"/>
          <w:lang w:eastAsia="ru-RU"/>
        </w:rPr>
        <w:t>,</w:t>
      </w:r>
      <w:r w:rsidR="00690D63" w:rsidRPr="00102713">
        <w:rPr>
          <w:rFonts w:ascii="Times New Roman" w:eastAsia="Times New Roman" w:hAnsi="Times New Roman"/>
          <w:sz w:val="28"/>
          <w:szCs w:val="24"/>
          <w:lang w:eastAsia="ru-RU"/>
        </w:rPr>
        <w:t xml:space="preserve"> що</w:t>
      </w:r>
      <w:r w:rsidR="00465F08" w:rsidRPr="00102713">
        <w:rPr>
          <w:rFonts w:ascii="Times New Roman" w:eastAsia="Times New Roman" w:hAnsi="Times New Roman"/>
          <w:sz w:val="28"/>
          <w:szCs w:val="24"/>
          <w:lang w:eastAsia="ru-RU"/>
        </w:rPr>
        <w:t xml:space="preserve"> тимчасово до 31 грудня 2021 року, виробник</w:t>
      </w:r>
      <w:r w:rsidR="00690D63" w:rsidRPr="00102713">
        <w:rPr>
          <w:rFonts w:ascii="Times New Roman" w:eastAsia="Times New Roman" w:hAnsi="Times New Roman"/>
          <w:sz w:val="28"/>
          <w:szCs w:val="24"/>
          <w:lang w:eastAsia="ru-RU"/>
        </w:rPr>
        <w:t>и</w:t>
      </w:r>
      <w:r w:rsidR="00465F08" w:rsidRPr="00102713">
        <w:rPr>
          <w:rFonts w:ascii="Times New Roman" w:eastAsia="Times New Roman" w:hAnsi="Times New Roman"/>
          <w:sz w:val="28"/>
          <w:szCs w:val="24"/>
          <w:lang w:eastAsia="ru-RU"/>
        </w:rPr>
        <w:t xml:space="preserve"> пива з обсягом виробництва до 2 000 000 літрів на рік застосовують </w:t>
      </w:r>
      <w:r w:rsidR="00690D63" w:rsidRPr="00102713">
        <w:rPr>
          <w:rFonts w:ascii="Times New Roman" w:eastAsia="Times New Roman" w:hAnsi="Times New Roman"/>
          <w:sz w:val="28"/>
          <w:szCs w:val="24"/>
          <w:lang w:eastAsia="ru-RU"/>
        </w:rPr>
        <w:t xml:space="preserve">нульову ставку </w:t>
      </w:r>
      <w:r w:rsidR="00285D80" w:rsidRPr="00102713">
        <w:rPr>
          <w:rFonts w:ascii="Times New Roman" w:eastAsia="Times New Roman" w:hAnsi="Times New Roman"/>
          <w:sz w:val="28"/>
          <w:szCs w:val="24"/>
          <w:lang w:eastAsia="ru-RU"/>
        </w:rPr>
        <w:t xml:space="preserve">акцизного податку </w:t>
      </w:r>
      <w:r w:rsidR="00690D63" w:rsidRPr="00102713">
        <w:rPr>
          <w:rFonts w:ascii="Times New Roman" w:eastAsia="Times New Roman" w:hAnsi="Times New Roman"/>
          <w:sz w:val="28"/>
          <w:szCs w:val="24"/>
          <w:lang w:eastAsia="ru-RU"/>
        </w:rPr>
        <w:t>до</w:t>
      </w:r>
      <w:r w:rsidR="00465F08" w:rsidRPr="00102713">
        <w:rPr>
          <w:rFonts w:ascii="Times New Roman" w:eastAsia="Times New Roman" w:hAnsi="Times New Roman"/>
          <w:sz w:val="28"/>
          <w:szCs w:val="24"/>
          <w:lang w:eastAsia="ru-RU"/>
        </w:rPr>
        <w:t xml:space="preserve"> пива із солоду (солодов</w:t>
      </w:r>
      <w:r w:rsidR="00690D63" w:rsidRPr="00102713">
        <w:rPr>
          <w:rFonts w:ascii="Times New Roman" w:eastAsia="Times New Roman" w:hAnsi="Times New Roman"/>
          <w:sz w:val="28"/>
          <w:szCs w:val="24"/>
          <w:lang w:eastAsia="ru-RU"/>
        </w:rPr>
        <w:t xml:space="preserve">ого); </w:t>
      </w:r>
      <w:r w:rsidR="00285D80" w:rsidRPr="00102713">
        <w:rPr>
          <w:rFonts w:ascii="Times New Roman" w:eastAsia="Times New Roman" w:hAnsi="Times New Roman"/>
          <w:sz w:val="28"/>
          <w:szCs w:val="24"/>
          <w:lang w:eastAsia="ru-RU"/>
        </w:rPr>
        <w:t xml:space="preserve">установити, що </w:t>
      </w:r>
      <w:r w:rsidR="00690D63" w:rsidRPr="00102713">
        <w:rPr>
          <w:rFonts w:ascii="Times New Roman" w:eastAsia="Times New Roman" w:hAnsi="Times New Roman"/>
          <w:sz w:val="28"/>
          <w:szCs w:val="24"/>
          <w:lang w:eastAsia="ru-RU"/>
        </w:rPr>
        <w:t>тимчасово, на період здійснення заходів, спрямованих на запобігання виникнення та поширення коронавірусної хвороби (COVID-19)</w:t>
      </w:r>
      <w:r w:rsidR="00285D80" w:rsidRPr="00102713">
        <w:rPr>
          <w:rFonts w:ascii="Times New Roman" w:eastAsia="Times New Roman" w:hAnsi="Times New Roman"/>
          <w:sz w:val="28"/>
          <w:szCs w:val="24"/>
          <w:lang w:eastAsia="ru-RU"/>
        </w:rPr>
        <w:t>,</w:t>
      </w:r>
      <w:r w:rsidR="00690D63" w:rsidRPr="00102713">
        <w:rPr>
          <w:rFonts w:ascii="Times New Roman" w:eastAsia="Times New Roman" w:hAnsi="Times New Roman"/>
          <w:sz w:val="28"/>
          <w:szCs w:val="24"/>
          <w:lang w:eastAsia="ru-RU"/>
        </w:rPr>
        <w:t xml:space="preserve"> та протягом трьох місяців після дати завершення карантину</w:t>
      </w:r>
      <w:r w:rsidR="00690D63" w:rsidRPr="00102713">
        <w:t xml:space="preserve"> </w:t>
      </w:r>
      <w:r w:rsidR="00690D63" w:rsidRPr="00102713">
        <w:rPr>
          <w:rFonts w:ascii="Times New Roman" w:eastAsia="Times New Roman" w:hAnsi="Times New Roman"/>
          <w:sz w:val="28"/>
          <w:szCs w:val="24"/>
          <w:lang w:eastAsia="ru-RU"/>
        </w:rPr>
        <w:t>звільнити від плати за землю за земельні ділянки державної та комунальної власності та за земельні ділянки оздоровчого призначення, податку на нерухоме майно, відмінне від земельної ділянки</w:t>
      </w:r>
      <w:r w:rsidR="00285D80" w:rsidRPr="00102713">
        <w:rPr>
          <w:rFonts w:ascii="Times New Roman" w:eastAsia="Times New Roman" w:hAnsi="Times New Roman"/>
          <w:sz w:val="28"/>
          <w:szCs w:val="24"/>
          <w:lang w:eastAsia="ru-RU"/>
        </w:rPr>
        <w:t>,</w:t>
      </w:r>
      <w:r w:rsidR="00690D63" w:rsidRPr="00102713">
        <w:rPr>
          <w:rFonts w:ascii="Times New Roman" w:eastAsia="Times New Roman" w:hAnsi="Times New Roman"/>
          <w:sz w:val="28"/>
          <w:szCs w:val="24"/>
          <w:lang w:eastAsia="ru-RU"/>
        </w:rPr>
        <w:t xml:space="preserve"> за об’єкти нерухомості, які використовуються для надання послуг з тимчасового розміщення (проживання), харчування, екскурсійних та інших туристичних послуг, послуг санаторно-курортного лікування та /або оздоровчо-рекреаційних послуг. Також, у зв’язку із вказаним, пропонуються зміни до законів України «Про державне регулювання виробництва і обігу спирту етилового, коньячного і плодового, алкогольних напоїв</w:t>
      </w:r>
      <w:r w:rsidR="00285D80" w:rsidRPr="00102713">
        <w:rPr>
          <w:rFonts w:ascii="Times New Roman" w:eastAsia="Times New Roman" w:hAnsi="Times New Roman"/>
          <w:sz w:val="28"/>
          <w:szCs w:val="24"/>
          <w:lang w:eastAsia="ru-RU"/>
        </w:rPr>
        <w:t xml:space="preserve">, </w:t>
      </w:r>
      <w:r w:rsidR="00690D63" w:rsidRPr="00102713">
        <w:rPr>
          <w:rFonts w:ascii="Times New Roman" w:eastAsia="Times New Roman" w:hAnsi="Times New Roman"/>
          <w:sz w:val="28"/>
          <w:szCs w:val="24"/>
          <w:lang w:eastAsia="ru-RU"/>
        </w:rPr>
        <w:t>тютюнових виробів</w:t>
      </w:r>
      <w:r w:rsidR="00285D80" w:rsidRPr="00102713">
        <w:rPr>
          <w:rFonts w:ascii="Times New Roman" w:eastAsia="Times New Roman" w:hAnsi="Times New Roman"/>
          <w:sz w:val="28"/>
          <w:szCs w:val="24"/>
          <w:lang w:eastAsia="ru-RU"/>
        </w:rPr>
        <w:t xml:space="preserve"> та пального</w:t>
      </w:r>
      <w:r w:rsidR="00690D63" w:rsidRPr="00102713">
        <w:rPr>
          <w:rFonts w:ascii="Times New Roman" w:eastAsia="Times New Roman" w:hAnsi="Times New Roman"/>
          <w:sz w:val="28"/>
          <w:szCs w:val="24"/>
          <w:lang w:eastAsia="ru-RU"/>
        </w:rPr>
        <w:t>», «Про фермерське господарство».</w:t>
      </w:r>
    </w:p>
    <w:p w:rsidR="00086B10" w:rsidRPr="00102713" w:rsidRDefault="00086B10" w:rsidP="00E53FC4">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102713">
        <w:rPr>
          <w:rFonts w:ascii="Times New Roman" w:eastAsia="Times New Roman" w:hAnsi="Times New Roman"/>
          <w:sz w:val="28"/>
          <w:szCs w:val="24"/>
          <w:lang w:eastAsia="ru-RU"/>
        </w:rPr>
        <w:t>Проект, за змістом пояснювальної записки до нього, спрямований на «вдосконалення елементів сучасної податкової системи України, яка передбачатиме створення податкових умов для розвитку бізнесу та стимулювання розвитку економіки країни» (п. 2), усунення правових колізій в податковому законодавстві (п. 3), подолання наслідків коронавірусної хвороби (COVID-19) (</w:t>
      </w:r>
      <w:proofErr w:type="spellStart"/>
      <w:r w:rsidRPr="00102713">
        <w:rPr>
          <w:rFonts w:ascii="Times New Roman" w:eastAsia="Times New Roman" w:hAnsi="Times New Roman"/>
          <w:sz w:val="28"/>
          <w:szCs w:val="24"/>
          <w:lang w:eastAsia="ru-RU"/>
        </w:rPr>
        <w:t>п.п</w:t>
      </w:r>
      <w:proofErr w:type="spellEnd"/>
      <w:r w:rsidRPr="00102713">
        <w:rPr>
          <w:rFonts w:ascii="Times New Roman" w:eastAsia="Times New Roman" w:hAnsi="Times New Roman"/>
          <w:sz w:val="28"/>
          <w:szCs w:val="24"/>
          <w:lang w:eastAsia="ru-RU"/>
        </w:rPr>
        <w:t>. 1, 3).</w:t>
      </w:r>
    </w:p>
    <w:p w:rsidR="00465F08" w:rsidRPr="00102713" w:rsidRDefault="00465F08" w:rsidP="00E53FC4">
      <w:pPr>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8C4ECE" w:rsidRPr="00102713" w:rsidRDefault="008C4ECE" w:rsidP="00E53FC4">
      <w:pPr>
        <w:spacing w:after="0" w:line="240" w:lineRule="auto"/>
        <w:ind w:firstLine="708"/>
        <w:jc w:val="both"/>
        <w:rPr>
          <w:rFonts w:ascii="Times New Roman" w:eastAsia="Times New Roman" w:hAnsi="Times New Roman"/>
          <w:sz w:val="28"/>
          <w:szCs w:val="28"/>
          <w:lang w:eastAsia="uk-UA"/>
        </w:rPr>
      </w:pPr>
      <w:r w:rsidRPr="00102713">
        <w:rPr>
          <w:rFonts w:ascii="Times New Roman" w:eastAsia="Times New Roman" w:hAnsi="Times New Roman"/>
          <w:sz w:val="28"/>
          <w:szCs w:val="28"/>
          <w:lang w:eastAsia="uk-UA"/>
        </w:rPr>
        <w:t xml:space="preserve">Головне управління, </w:t>
      </w:r>
      <w:r w:rsidR="00420EE8" w:rsidRPr="00102713">
        <w:rPr>
          <w:rFonts w:ascii="Times New Roman" w:eastAsia="Times New Roman" w:hAnsi="Times New Roman"/>
          <w:sz w:val="28"/>
          <w:szCs w:val="28"/>
          <w:lang w:eastAsia="uk-UA"/>
        </w:rPr>
        <w:t>розглянувши проект</w:t>
      </w:r>
      <w:r w:rsidRPr="00102713">
        <w:rPr>
          <w:rFonts w:ascii="Times New Roman" w:eastAsia="Times New Roman" w:hAnsi="Times New Roman"/>
          <w:sz w:val="28"/>
          <w:szCs w:val="28"/>
          <w:lang w:eastAsia="uk-UA"/>
        </w:rPr>
        <w:t xml:space="preserve">, вважає за доцільне </w:t>
      </w:r>
      <w:r w:rsidR="0062324E">
        <w:rPr>
          <w:rFonts w:ascii="Times New Roman" w:eastAsia="Times New Roman" w:hAnsi="Times New Roman"/>
          <w:sz w:val="28"/>
          <w:szCs w:val="28"/>
          <w:lang w:eastAsia="uk-UA"/>
        </w:rPr>
        <w:t>висловити щодо нього такі зауваження</w:t>
      </w:r>
      <w:r w:rsidRPr="00102713">
        <w:rPr>
          <w:rFonts w:ascii="Times New Roman" w:eastAsia="Times New Roman" w:hAnsi="Times New Roman"/>
          <w:sz w:val="28"/>
          <w:szCs w:val="28"/>
          <w:lang w:eastAsia="uk-UA"/>
        </w:rPr>
        <w:t>.</w:t>
      </w:r>
    </w:p>
    <w:p w:rsidR="0006276D" w:rsidRDefault="0006276D" w:rsidP="00553E96">
      <w:pPr>
        <w:pStyle w:val="a7"/>
        <w:numPr>
          <w:ilvl w:val="0"/>
          <w:numId w:val="3"/>
        </w:numPr>
        <w:tabs>
          <w:tab w:val="left" w:pos="993"/>
        </w:tabs>
        <w:spacing w:after="0" w:line="240" w:lineRule="auto"/>
        <w:ind w:left="0" w:firstLine="709"/>
        <w:jc w:val="both"/>
        <w:rPr>
          <w:rFonts w:ascii="Times New Roman" w:eastAsia="Times New Roman" w:hAnsi="Times New Roman"/>
          <w:sz w:val="28"/>
          <w:szCs w:val="28"/>
          <w:lang w:eastAsia="uk-UA"/>
        </w:rPr>
      </w:pPr>
      <w:r w:rsidRPr="0006276D">
        <w:rPr>
          <w:rFonts w:ascii="Times New Roman" w:eastAsia="Times New Roman" w:hAnsi="Times New Roman"/>
          <w:sz w:val="28"/>
          <w:szCs w:val="28"/>
          <w:lang w:eastAsia="uk-UA"/>
        </w:rPr>
        <w:t xml:space="preserve">Вразливою, в плані складнощів у правозастосуванні, на наш погляд, є вживана у проекті </w:t>
      </w:r>
      <w:r w:rsidR="00F50F07" w:rsidRPr="0006276D">
        <w:rPr>
          <w:rFonts w:ascii="Times New Roman" w:eastAsia="Times New Roman" w:hAnsi="Times New Roman"/>
          <w:sz w:val="28"/>
          <w:szCs w:val="28"/>
          <w:lang w:eastAsia="uk-UA"/>
        </w:rPr>
        <w:t>конструкція «</w:t>
      </w:r>
      <w:r w:rsidR="00F50F07" w:rsidRPr="0006276D">
        <w:rPr>
          <w:rFonts w:ascii="Times New Roman" w:eastAsia="Times New Roman" w:hAnsi="Times New Roman"/>
          <w:color w:val="000000"/>
          <w:sz w:val="28"/>
          <w:szCs w:val="28"/>
        </w:rPr>
        <w:t xml:space="preserve">основні виробничі або невиробничі засоби, сільськогосподарські рослини, насадження, тварини платника податку» (зміни до </w:t>
      </w:r>
      <w:proofErr w:type="spellStart"/>
      <w:r w:rsidR="00F50F07" w:rsidRPr="0006276D">
        <w:rPr>
          <w:rFonts w:ascii="Times New Roman" w:eastAsia="Times New Roman" w:hAnsi="Times New Roman"/>
          <w:color w:val="000000"/>
          <w:sz w:val="28"/>
          <w:szCs w:val="28"/>
        </w:rPr>
        <w:t>абз</w:t>
      </w:r>
      <w:proofErr w:type="spellEnd"/>
      <w:r w:rsidR="00F50F07" w:rsidRPr="0006276D">
        <w:rPr>
          <w:rFonts w:ascii="Times New Roman" w:eastAsia="Times New Roman" w:hAnsi="Times New Roman"/>
          <w:color w:val="000000"/>
          <w:sz w:val="28"/>
          <w:szCs w:val="28"/>
        </w:rPr>
        <w:t xml:space="preserve">. 11 </w:t>
      </w:r>
      <w:proofErr w:type="spellStart"/>
      <w:r w:rsidR="00F50F07" w:rsidRPr="0006276D">
        <w:rPr>
          <w:rFonts w:ascii="Times New Roman" w:eastAsia="Times New Roman" w:hAnsi="Times New Roman"/>
          <w:color w:val="000000"/>
          <w:sz w:val="28"/>
          <w:szCs w:val="28"/>
        </w:rPr>
        <w:t>пп</w:t>
      </w:r>
      <w:proofErr w:type="spellEnd"/>
      <w:r w:rsidR="00F50F07" w:rsidRPr="0006276D">
        <w:rPr>
          <w:rFonts w:ascii="Times New Roman" w:eastAsia="Times New Roman" w:hAnsi="Times New Roman"/>
          <w:color w:val="000000"/>
          <w:sz w:val="28"/>
          <w:szCs w:val="28"/>
        </w:rPr>
        <w:t xml:space="preserve">. 14.1.191 п. 14.1 ст. 14, </w:t>
      </w:r>
      <w:proofErr w:type="spellStart"/>
      <w:r w:rsidR="00F50F07" w:rsidRPr="0006276D">
        <w:rPr>
          <w:rFonts w:ascii="Times New Roman" w:eastAsia="Times New Roman" w:hAnsi="Times New Roman"/>
          <w:color w:val="000000"/>
          <w:sz w:val="28"/>
          <w:szCs w:val="28"/>
        </w:rPr>
        <w:t>абз</w:t>
      </w:r>
      <w:proofErr w:type="spellEnd"/>
      <w:r w:rsidR="00F50F07" w:rsidRPr="0006276D">
        <w:rPr>
          <w:rFonts w:ascii="Times New Roman" w:eastAsia="Times New Roman" w:hAnsi="Times New Roman"/>
          <w:color w:val="000000"/>
          <w:sz w:val="28"/>
          <w:szCs w:val="28"/>
        </w:rPr>
        <w:t xml:space="preserve">. 4 оновленого п. 189.9 ст. 189 ПК). </w:t>
      </w:r>
      <w:r w:rsidR="00E27304">
        <w:rPr>
          <w:rFonts w:ascii="Times New Roman" w:eastAsia="Times New Roman" w:hAnsi="Times New Roman"/>
          <w:color w:val="000000"/>
          <w:sz w:val="28"/>
          <w:szCs w:val="28"/>
        </w:rPr>
        <w:t>Адже у</w:t>
      </w:r>
      <w:r w:rsidR="00F50F07" w:rsidRPr="0006276D">
        <w:rPr>
          <w:rFonts w:ascii="Times New Roman" w:eastAsia="Times New Roman" w:hAnsi="Times New Roman"/>
          <w:color w:val="000000"/>
          <w:sz w:val="28"/>
          <w:szCs w:val="28"/>
        </w:rPr>
        <w:t xml:space="preserve"> ній</w:t>
      </w:r>
      <w:r w:rsidR="00E27304">
        <w:rPr>
          <w:rFonts w:ascii="Times New Roman" w:eastAsia="Times New Roman" w:hAnsi="Times New Roman"/>
          <w:color w:val="000000"/>
          <w:sz w:val="28"/>
          <w:szCs w:val="28"/>
        </w:rPr>
        <w:t xml:space="preserve"> (</w:t>
      </w:r>
      <w:r w:rsidR="00F50F07" w:rsidRPr="0006276D">
        <w:rPr>
          <w:rFonts w:ascii="Times New Roman" w:eastAsia="Times New Roman" w:hAnsi="Times New Roman"/>
          <w:color w:val="000000"/>
          <w:sz w:val="28"/>
          <w:szCs w:val="28"/>
        </w:rPr>
        <w:t>як, власне, і в абзацах 2, 3 оновленого п. 189.9 ст. 189 ПК</w:t>
      </w:r>
      <w:r w:rsidR="00E27304">
        <w:rPr>
          <w:rFonts w:ascii="Times New Roman" w:eastAsia="Times New Roman" w:hAnsi="Times New Roman"/>
          <w:color w:val="000000"/>
          <w:sz w:val="28"/>
          <w:szCs w:val="28"/>
        </w:rPr>
        <w:t>)</w:t>
      </w:r>
      <w:r w:rsidR="00F50F07" w:rsidRPr="0006276D">
        <w:rPr>
          <w:rFonts w:ascii="Times New Roman" w:eastAsia="Times New Roman" w:hAnsi="Times New Roman"/>
          <w:color w:val="000000"/>
          <w:sz w:val="28"/>
          <w:szCs w:val="28"/>
        </w:rPr>
        <w:t>, сільськогосподарські рослини, насадження, тварини відокремлені від основних виробничих засобів</w:t>
      </w:r>
      <w:r w:rsidR="00E27304">
        <w:rPr>
          <w:rFonts w:ascii="Times New Roman" w:eastAsia="Times New Roman" w:hAnsi="Times New Roman"/>
          <w:color w:val="000000"/>
          <w:sz w:val="28"/>
          <w:szCs w:val="28"/>
        </w:rPr>
        <w:t xml:space="preserve">, у </w:t>
      </w:r>
      <w:r w:rsidRPr="0006276D">
        <w:rPr>
          <w:rFonts w:ascii="Times New Roman" w:eastAsia="Times New Roman" w:hAnsi="Times New Roman"/>
          <w:color w:val="000000"/>
          <w:sz w:val="28"/>
          <w:szCs w:val="28"/>
        </w:rPr>
        <w:t xml:space="preserve">той час, </w:t>
      </w:r>
      <w:r w:rsidR="00E27304">
        <w:rPr>
          <w:rFonts w:ascii="Times New Roman" w:eastAsia="Times New Roman" w:hAnsi="Times New Roman"/>
          <w:color w:val="000000"/>
          <w:sz w:val="28"/>
          <w:szCs w:val="28"/>
        </w:rPr>
        <w:t xml:space="preserve">як </w:t>
      </w:r>
      <w:r w:rsidRPr="0006276D">
        <w:rPr>
          <w:rFonts w:ascii="Times New Roman" w:eastAsia="Times New Roman" w:hAnsi="Times New Roman"/>
          <w:color w:val="000000"/>
          <w:sz w:val="28"/>
          <w:szCs w:val="28"/>
        </w:rPr>
        <w:t xml:space="preserve">низка </w:t>
      </w:r>
      <w:r w:rsidR="00821B44" w:rsidRPr="0006276D">
        <w:rPr>
          <w:rFonts w:ascii="Times New Roman" w:eastAsia="Times New Roman" w:hAnsi="Times New Roman"/>
          <w:sz w:val="28"/>
          <w:szCs w:val="28"/>
          <w:lang w:eastAsia="uk-UA"/>
        </w:rPr>
        <w:t>біологічн</w:t>
      </w:r>
      <w:r w:rsidRPr="0006276D">
        <w:rPr>
          <w:rFonts w:ascii="Times New Roman" w:eastAsia="Times New Roman" w:hAnsi="Times New Roman"/>
          <w:sz w:val="28"/>
          <w:szCs w:val="28"/>
          <w:lang w:eastAsia="uk-UA"/>
        </w:rPr>
        <w:t>их</w:t>
      </w:r>
      <w:r w:rsidR="00821B44" w:rsidRPr="0006276D">
        <w:rPr>
          <w:rFonts w:ascii="Times New Roman" w:eastAsia="Times New Roman" w:hAnsi="Times New Roman"/>
          <w:sz w:val="28"/>
          <w:szCs w:val="28"/>
          <w:lang w:eastAsia="uk-UA"/>
        </w:rPr>
        <w:t xml:space="preserve"> актив</w:t>
      </w:r>
      <w:r w:rsidRPr="0006276D">
        <w:rPr>
          <w:rFonts w:ascii="Times New Roman" w:eastAsia="Times New Roman" w:hAnsi="Times New Roman"/>
          <w:sz w:val="28"/>
          <w:szCs w:val="28"/>
          <w:lang w:eastAsia="uk-UA"/>
        </w:rPr>
        <w:t>ів</w:t>
      </w:r>
      <w:r w:rsidR="00821B44" w:rsidRPr="0006276D">
        <w:rPr>
          <w:rFonts w:ascii="Times New Roman" w:eastAsia="Times New Roman" w:hAnsi="Times New Roman"/>
          <w:sz w:val="28"/>
          <w:szCs w:val="28"/>
          <w:lang w:eastAsia="uk-UA"/>
        </w:rPr>
        <w:t xml:space="preserve">, наприклад, </w:t>
      </w:r>
      <w:r w:rsidRPr="0006276D">
        <w:rPr>
          <w:rFonts w:ascii="Times New Roman" w:eastAsia="Times New Roman" w:hAnsi="Times New Roman"/>
          <w:sz w:val="28"/>
          <w:szCs w:val="28"/>
          <w:lang w:eastAsia="uk-UA"/>
        </w:rPr>
        <w:t xml:space="preserve">таких, як </w:t>
      </w:r>
      <w:r w:rsidR="00821B44" w:rsidRPr="0006276D">
        <w:rPr>
          <w:rFonts w:ascii="Times New Roman" w:eastAsia="Times New Roman" w:hAnsi="Times New Roman"/>
          <w:sz w:val="28"/>
          <w:szCs w:val="28"/>
          <w:lang w:eastAsia="uk-UA"/>
        </w:rPr>
        <w:t>багаторічні насадження та плодоносні рослини, деякі тварини тощо</w:t>
      </w:r>
      <w:r w:rsidR="00E27304">
        <w:rPr>
          <w:rFonts w:ascii="Times New Roman" w:eastAsia="Times New Roman" w:hAnsi="Times New Roman"/>
          <w:sz w:val="28"/>
          <w:szCs w:val="28"/>
          <w:lang w:eastAsia="uk-UA"/>
        </w:rPr>
        <w:t>,</w:t>
      </w:r>
      <w:r w:rsidR="00821B44" w:rsidRPr="0006276D">
        <w:rPr>
          <w:rFonts w:ascii="Times New Roman" w:eastAsia="Times New Roman" w:hAnsi="Times New Roman"/>
          <w:sz w:val="28"/>
          <w:szCs w:val="28"/>
          <w:lang w:eastAsia="uk-UA"/>
        </w:rPr>
        <w:t xml:space="preserve"> за своїм економічним змістом належать до основних засобів (див., наприклад, Положення (стандарт) бухгалтерського обліку 7 «Основні засоби», затверджене наказом Міністерства фінансів України від 27.04.2000 </w:t>
      </w:r>
      <w:r w:rsidR="005E5010">
        <w:rPr>
          <w:rFonts w:ascii="Times New Roman" w:eastAsia="Times New Roman" w:hAnsi="Times New Roman"/>
          <w:sz w:val="28"/>
          <w:szCs w:val="28"/>
          <w:lang w:eastAsia="uk-UA"/>
        </w:rPr>
        <w:br/>
      </w:r>
      <w:r w:rsidR="00821B44" w:rsidRPr="0006276D">
        <w:rPr>
          <w:rFonts w:ascii="Times New Roman" w:eastAsia="Times New Roman" w:hAnsi="Times New Roman"/>
          <w:sz w:val="28"/>
          <w:szCs w:val="28"/>
          <w:lang w:eastAsia="uk-UA"/>
        </w:rPr>
        <w:t>№ 92).</w:t>
      </w:r>
      <w:r w:rsidR="00133FFE" w:rsidRPr="0006276D">
        <w:rPr>
          <w:rFonts w:ascii="Times New Roman" w:eastAsia="Times New Roman" w:hAnsi="Times New Roman"/>
          <w:sz w:val="28"/>
          <w:szCs w:val="28"/>
          <w:lang w:eastAsia="uk-UA"/>
        </w:rPr>
        <w:t xml:space="preserve"> </w:t>
      </w:r>
    </w:p>
    <w:p w:rsidR="009B685D" w:rsidRPr="00B72821" w:rsidRDefault="005E5010" w:rsidP="00B72821">
      <w:pPr>
        <w:tabs>
          <w:tab w:val="left" w:pos="993"/>
        </w:tabs>
        <w:spacing w:after="0" w:line="240" w:lineRule="auto"/>
        <w:ind w:firstLine="708"/>
        <w:jc w:val="both"/>
        <w:rPr>
          <w:rFonts w:ascii="Times New Roman" w:eastAsia="Times New Roman" w:hAnsi="Times New Roman"/>
          <w:sz w:val="28"/>
          <w:szCs w:val="28"/>
          <w:lang w:eastAsia="uk-UA"/>
        </w:rPr>
      </w:pPr>
      <w:r>
        <w:rPr>
          <w:rFonts w:ascii="Times New Roman" w:hAnsi="Times New Roman"/>
          <w:sz w:val="28"/>
          <w:szCs w:val="28"/>
        </w:rPr>
        <w:t xml:space="preserve">У цьому ж контексті </w:t>
      </w:r>
      <w:r w:rsidR="0000402D" w:rsidRPr="0006276D">
        <w:rPr>
          <w:rFonts w:ascii="Times New Roman" w:hAnsi="Times New Roman"/>
          <w:sz w:val="28"/>
          <w:szCs w:val="28"/>
        </w:rPr>
        <w:t xml:space="preserve">сумнівною видається і пропозиція </w:t>
      </w:r>
      <w:r w:rsidR="00086B10" w:rsidRPr="0006276D">
        <w:rPr>
          <w:rFonts w:ascii="Times New Roman" w:eastAsia="Times New Roman" w:hAnsi="Times New Roman"/>
          <w:sz w:val="28"/>
          <w:szCs w:val="28"/>
          <w:lang w:eastAsia="uk-UA"/>
        </w:rPr>
        <w:t>оновлен</w:t>
      </w:r>
      <w:r w:rsidR="0000402D" w:rsidRPr="0006276D">
        <w:rPr>
          <w:rFonts w:ascii="Times New Roman" w:eastAsia="Times New Roman" w:hAnsi="Times New Roman"/>
          <w:sz w:val="28"/>
          <w:szCs w:val="28"/>
          <w:lang w:eastAsia="uk-UA"/>
        </w:rPr>
        <w:t>ого</w:t>
      </w:r>
      <w:r w:rsidR="00086B10" w:rsidRPr="0006276D">
        <w:rPr>
          <w:rFonts w:ascii="Times New Roman" w:eastAsia="Times New Roman" w:hAnsi="Times New Roman"/>
          <w:sz w:val="28"/>
          <w:szCs w:val="28"/>
          <w:lang w:eastAsia="uk-UA"/>
        </w:rPr>
        <w:t xml:space="preserve"> п. 189.9 ст. 189 ПК </w:t>
      </w:r>
      <w:r>
        <w:rPr>
          <w:rFonts w:ascii="Times New Roman" w:eastAsia="Times New Roman" w:hAnsi="Times New Roman"/>
          <w:sz w:val="28"/>
          <w:szCs w:val="28"/>
          <w:lang w:eastAsia="uk-UA"/>
        </w:rPr>
        <w:t xml:space="preserve">визначати </w:t>
      </w:r>
      <w:r w:rsidR="00873A6B" w:rsidRPr="0006276D">
        <w:rPr>
          <w:rFonts w:ascii="Times New Roman" w:eastAsia="Times New Roman" w:hAnsi="Times New Roman"/>
          <w:sz w:val="28"/>
          <w:szCs w:val="28"/>
          <w:lang w:eastAsia="uk-UA"/>
        </w:rPr>
        <w:t>базу оподаткування для сільськогосподарських рослин, насаджень, тварин за «цінами придбання товарів/послуг, що придбані з податком на додану вартість та використані для виробництва (вирощування) таких сільськогосподарських рослин, насаджень, тварин, та які не були включені до вартості інших товарів послуг, операції з постачання якої підлягають оподаткуванню»</w:t>
      </w:r>
      <w:r w:rsidR="00133FFE" w:rsidRPr="0006276D">
        <w:rPr>
          <w:rFonts w:ascii="Times New Roman" w:eastAsia="Times New Roman" w:hAnsi="Times New Roman"/>
          <w:sz w:val="28"/>
          <w:szCs w:val="28"/>
          <w:lang w:eastAsia="uk-UA"/>
        </w:rPr>
        <w:t xml:space="preserve">, у </w:t>
      </w:r>
      <w:r w:rsidR="00873A6B" w:rsidRPr="0006276D">
        <w:rPr>
          <w:rFonts w:ascii="Times New Roman" w:eastAsia="Times New Roman" w:hAnsi="Times New Roman"/>
          <w:sz w:val="28"/>
          <w:szCs w:val="28"/>
          <w:lang w:eastAsia="uk-UA"/>
        </w:rPr>
        <w:t xml:space="preserve">той час, як для основних виробничих або невиробничих засобів </w:t>
      </w:r>
      <w:r w:rsidR="00133FFE" w:rsidRPr="0006276D">
        <w:rPr>
          <w:rFonts w:ascii="Times New Roman" w:eastAsia="Times New Roman" w:hAnsi="Times New Roman"/>
          <w:sz w:val="28"/>
          <w:szCs w:val="28"/>
          <w:lang w:eastAsia="uk-UA"/>
        </w:rPr>
        <w:t>–</w:t>
      </w:r>
      <w:r w:rsidR="00873A6B" w:rsidRPr="0006276D">
        <w:rPr>
          <w:rFonts w:ascii="Times New Roman" w:eastAsia="Times New Roman" w:hAnsi="Times New Roman"/>
          <w:sz w:val="28"/>
          <w:szCs w:val="28"/>
          <w:lang w:eastAsia="uk-UA"/>
        </w:rPr>
        <w:t xml:space="preserve"> за звичайними цінами, але не нижче балансової вартості на момент їх ліквідації. </w:t>
      </w:r>
      <w:r w:rsidR="00450A09" w:rsidRPr="0006276D">
        <w:rPr>
          <w:rFonts w:ascii="Times New Roman" w:eastAsia="Times New Roman" w:hAnsi="Times New Roman"/>
          <w:sz w:val="28"/>
          <w:szCs w:val="28"/>
          <w:lang w:eastAsia="uk-UA"/>
        </w:rPr>
        <w:t xml:space="preserve">Зважаючи на </w:t>
      </w:r>
      <w:r w:rsidR="0000402D" w:rsidRPr="0006276D">
        <w:rPr>
          <w:rFonts w:ascii="Times New Roman" w:eastAsia="Times New Roman" w:hAnsi="Times New Roman"/>
          <w:sz w:val="28"/>
          <w:szCs w:val="28"/>
          <w:lang w:eastAsia="uk-UA"/>
        </w:rPr>
        <w:t xml:space="preserve">ту ж обставину, що </w:t>
      </w:r>
      <w:r w:rsidR="009501C7" w:rsidRPr="0006276D">
        <w:rPr>
          <w:rFonts w:ascii="Times New Roman" w:eastAsia="Times New Roman" w:hAnsi="Times New Roman"/>
          <w:sz w:val="28"/>
          <w:szCs w:val="28"/>
          <w:lang w:eastAsia="uk-UA"/>
        </w:rPr>
        <w:t>окремі біологічні активи</w:t>
      </w:r>
      <w:r w:rsidR="0000402D" w:rsidRPr="0006276D">
        <w:rPr>
          <w:rFonts w:ascii="Times New Roman" w:eastAsia="Times New Roman" w:hAnsi="Times New Roman"/>
          <w:sz w:val="28"/>
          <w:szCs w:val="28"/>
          <w:lang w:eastAsia="uk-UA"/>
        </w:rPr>
        <w:t xml:space="preserve"> </w:t>
      </w:r>
      <w:r w:rsidR="009501C7" w:rsidRPr="0006276D">
        <w:rPr>
          <w:rFonts w:ascii="Times New Roman" w:eastAsia="Times New Roman" w:hAnsi="Times New Roman"/>
          <w:sz w:val="28"/>
          <w:szCs w:val="28"/>
          <w:lang w:eastAsia="uk-UA"/>
        </w:rPr>
        <w:t>за своїм економічним змістом належать до основних засобів,  виглядає дискусійним у концептуальному відношенні встановлення для них іншого</w:t>
      </w:r>
      <w:r>
        <w:rPr>
          <w:rFonts w:ascii="Times New Roman" w:eastAsia="Times New Roman" w:hAnsi="Times New Roman"/>
          <w:sz w:val="28"/>
          <w:szCs w:val="28"/>
          <w:lang w:eastAsia="uk-UA"/>
        </w:rPr>
        <w:t xml:space="preserve"> </w:t>
      </w:r>
      <w:r w:rsidR="005167EA" w:rsidRPr="00B72821">
        <w:rPr>
          <w:rFonts w:ascii="Times New Roman" w:eastAsia="Times New Roman" w:hAnsi="Times New Roman"/>
          <w:sz w:val="28"/>
          <w:szCs w:val="28"/>
          <w:lang w:eastAsia="uk-UA"/>
        </w:rPr>
        <w:t xml:space="preserve">методу визначення їх вартості </w:t>
      </w:r>
      <w:r w:rsidR="009501C7" w:rsidRPr="00B72821">
        <w:rPr>
          <w:rFonts w:ascii="Times New Roman" w:eastAsia="Times New Roman" w:hAnsi="Times New Roman"/>
          <w:sz w:val="28"/>
          <w:szCs w:val="28"/>
          <w:lang w:eastAsia="uk-UA"/>
        </w:rPr>
        <w:t>для цілей оподаткування.</w:t>
      </w:r>
    </w:p>
    <w:p w:rsidR="00B72821" w:rsidRDefault="005A6234" w:rsidP="00B72821">
      <w:pPr>
        <w:tabs>
          <w:tab w:val="left" w:pos="993"/>
        </w:tabs>
        <w:spacing w:after="0" w:line="240" w:lineRule="auto"/>
        <w:ind w:firstLine="708"/>
        <w:jc w:val="both"/>
      </w:pPr>
      <w:r w:rsidRPr="00B72821">
        <w:rPr>
          <w:rFonts w:ascii="Times New Roman" w:eastAsia="Times New Roman" w:hAnsi="Times New Roman"/>
          <w:sz w:val="28"/>
          <w:szCs w:val="28"/>
          <w:lang w:eastAsia="uk-UA"/>
        </w:rPr>
        <w:t xml:space="preserve">Принагідно зауважимо, що у супровідних до проекту документах внесена пропозиція жодним чином не </w:t>
      </w:r>
      <w:r w:rsidR="003D1C95" w:rsidRPr="00B72821">
        <w:rPr>
          <w:rFonts w:ascii="Times New Roman" w:eastAsia="Times New Roman" w:hAnsi="Times New Roman"/>
          <w:sz w:val="28"/>
          <w:szCs w:val="28"/>
          <w:lang w:eastAsia="uk-UA"/>
        </w:rPr>
        <w:t>обґрунтовується</w:t>
      </w:r>
      <w:r w:rsidRPr="00B72821">
        <w:rPr>
          <w:rFonts w:ascii="Times New Roman" w:eastAsia="Times New Roman" w:hAnsi="Times New Roman"/>
          <w:sz w:val="28"/>
          <w:szCs w:val="28"/>
          <w:lang w:eastAsia="uk-UA"/>
        </w:rPr>
        <w:t>.</w:t>
      </w:r>
    </w:p>
    <w:p w:rsidR="00E3041E" w:rsidRPr="00B72821" w:rsidRDefault="009B685D" w:rsidP="00B72821">
      <w:pPr>
        <w:pStyle w:val="a7"/>
        <w:numPr>
          <w:ilvl w:val="0"/>
          <w:numId w:val="3"/>
        </w:numPr>
        <w:tabs>
          <w:tab w:val="left" w:pos="993"/>
        </w:tabs>
        <w:spacing w:after="0" w:line="240" w:lineRule="auto"/>
        <w:ind w:left="0" w:firstLine="708"/>
        <w:jc w:val="both"/>
      </w:pPr>
      <w:r w:rsidRPr="00B72821">
        <w:rPr>
          <w:rFonts w:ascii="Times New Roman" w:hAnsi="Times New Roman"/>
          <w:sz w:val="28"/>
          <w:szCs w:val="28"/>
        </w:rPr>
        <w:t xml:space="preserve">Відповідно до оновленого </w:t>
      </w:r>
      <w:proofErr w:type="spellStart"/>
      <w:r w:rsidRPr="00B72821">
        <w:rPr>
          <w:rFonts w:ascii="Times New Roman" w:hAnsi="Times New Roman"/>
          <w:sz w:val="28"/>
          <w:szCs w:val="28"/>
        </w:rPr>
        <w:t>пп</w:t>
      </w:r>
      <w:proofErr w:type="spellEnd"/>
      <w:r w:rsidRPr="00B72821">
        <w:rPr>
          <w:rFonts w:ascii="Times New Roman" w:hAnsi="Times New Roman"/>
          <w:sz w:val="28"/>
          <w:szCs w:val="28"/>
        </w:rPr>
        <w:t xml:space="preserve">. «б» п. 200.4 ст. 204 ПК пропонується </w:t>
      </w:r>
      <w:r w:rsidR="00C64B3A" w:rsidRPr="00B72821">
        <w:rPr>
          <w:rFonts w:ascii="Times New Roman" w:hAnsi="Times New Roman"/>
          <w:sz w:val="28"/>
          <w:szCs w:val="28"/>
        </w:rPr>
        <w:t>зараховувати</w:t>
      </w:r>
      <w:r w:rsidRPr="00B72821">
        <w:rPr>
          <w:rFonts w:ascii="Times New Roman" w:hAnsi="Times New Roman"/>
          <w:sz w:val="28"/>
          <w:szCs w:val="28"/>
        </w:rPr>
        <w:t xml:space="preserve"> від’ємне</w:t>
      </w:r>
      <w:r w:rsidR="00C64B3A" w:rsidRPr="00B72821">
        <w:rPr>
          <w:rFonts w:ascii="Times New Roman" w:hAnsi="Times New Roman"/>
          <w:sz w:val="28"/>
          <w:szCs w:val="28"/>
        </w:rPr>
        <w:t xml:space="preserve"> </w:t>
      </w:r>
      <w:r w:rsidRPr="00B72821">
        <w:rPr>
          <w:rFonts w:ascii="Times New Roman" w:hAnsi="Times New Roman"/>
          <w:sz w:val="28"/>
          <w:szCs w:val="28"/>
        </w:rPr>
        <w:t xml:space="preserve">значення </w:t>
      </w:r>
      <w:r w:rsidR="00C64B3A" w:rsidRPr="00B72821">
        <w:rPr>
          <w:rFonts w:ascii="Times New Roman" w:hAnsi="Times New Roman"/>
          <w:sz w:val="28"/>
          <w:szCs w:val="28"/>
        </w:rPr>
        <w:t>податку на додану вартість у рахунок сплати грошових зобов’язань або погашення податкового боргу платника податку з «</w:t>
      </w:r>
      <w:r w:rsidR="00C64B3A" w:rsidRPr="00B72821">
        <w:rPr>
          <w:rFonts w:ascii="Times New Roman" w:hAnsi="Times New Roman"/>
          <w:i/>
          <w:sz w:val="28"/>
          <w:szCs w:val="28"/>
        </w:rPr>
        <w:t>інших загальнодержавних податків відповідно до положень статті 9 цього Кодексу</w:t>
      </w:r>
      <w:r w:rsidR="00C64B3A" w:rsidRPr="00B72821">
        <w:rPr>
          <w:rFonts w:ascii="Times New Roman" w:hAnsi="Times New Roman"/>
          <w:sz w:val="28"/>
          <w:szCs w:val="28"/>
        </w:rPr>
        <w:t xml:space="preserve">», а не </w:t>
      </w:r>
      <w:r w:rsidR="00E3041E" w:rsidRPr="00B72821">
        <w:rPr>
          <w:rFonts w:ascii="Times New Roman" w:hAnsi="Times New Roman"/>
          <w:sz w:val="28"/>
          <w:szCs w:val="28"/>
        </w:rPr>
        <w:t xml:space="preserve">з </w:t>
      </w:r>
      <w:r w:rsidR="00C64B3A" w:rsidRPr="00B72821">
        <w:rPr>
          <w:rFonts w:ascii="Times New Roman" w:hAnsi="Times New Roman"/>
          <w:sz w:val="28"/>
          <w:szCs w:val="28"/>
        </w:rPr>
        <w:t>«</w:t>
      </w:r>
      <w:r w:rsidR="00C64B3A" w:rsidRPr="00B72821">
        <w:rPr>
          <w:rFonts w:ascii="Times New Roman" w:hAnsi="Times New Roman"/>
          <w:i/>
          <w:sz w:val="28"/>
          <w:szCs w:val="28"/>
        </w:rPr>
        <w:t>інших платежів, що сплачуються до державного бюджету</w:t>
      </w:r>
      <w:r w:rsidR="00C64B3A" w:rsidRPr="00B72821">
        <w:rPr>
          <w:rFonts w:ascii="Times New Roman" w:hAnsi="Times New Roman"/>
          <w:sz w:val="28"/>
          <w:szCs w:val="28"/>
        </w:rPr>
        <w:t>»</w:t>
      </w:r>
      <w:r w:rsidR="00E14078" w:rsidRPr="00B72821">
        <w:rPr>
          <w:rFonts w:ascii="Times New Roman" w:hAnsi="Times New Roman"/>
          <w:sz w:val="28"/>
          <w:szCs w:val="28"/>
        </w:rPr>
        <w:t>,</w:t>
      </w:r>
      <w:r w:rsidR="00C64B3A" w:rsidRPr="00B72821">
        <w:rPr>
          <w:rFonts w:ascii="Times New Roman" w:hAnsi="Times New Roman"/>
          <w:sz w:val="28"/>
          <w:szCs w:val="28"/>
        </w:rPr>
        <w:t xml:space="preserve"> як це передбачено чинною нормою. </w:t>
      </w:r>
      <w:r w:rsidR="0000639D" w:rsidRPr="00B72821">
        <w:rPr>
          <w:rFonts w:ascii="Times New Roman" w:hAnsi="Times New Roman"/>
          <w:sz w:val="28"/>
          <w:szCs w:val="28"/>
        </w:rPr>
        <w:t>Т</w:t>
      </w:r>
      <w:r w:rsidR="00C64B3A" w:rsidRPr="00B72821">
        <w:rPr>
          <w:rFonts w:ascii="Times New Roman" w:hAnsi="Times New Roman"/>
          <w:sz w:val="28"/>
          <w:szCs w:val="28"/>
        </w:rPr>
        <w:t>акий</w:t>
      </w:r>
      <w:r w:rsidR="0000639D" w:rsidRPr="00B72821">
        <w:rPr>
          <w:rFonts w:ascii="Times New Roman" w:hAnsi="Times New Roman"/>
          <w:sz w:val="28"/>
          <w:szCs w:val="28"/>
        </w:rPr>
        <w:t xml:space="preserve"> </w:t>
      </w:r>
      <w:r w:rsidR="00C64B3A" w:rsidRPr="00B72821">
        <w:rPr>
          <w:rFonts w:ascii="Times New Roman" w:hAnsi="Times New Roman"/>
          <w:sz w:val="28"/>
          <w:szCs w:val="28"/>
        </w:rPr>
        <w:t>підхід не повною мірою узгоджу</w:t>
      </w:r>
      <w:r w:rsidR="00E3041E" w:rsidRPr="00B72821">
        <w:rPr>
          <w:rFonts w:ascii="Times New Roman" w:hAnsi="Times New Roman"/>
          <w:sz w:val="28"/>
          <w:szCs w:val="28"/>
        </w:rPr>
        <w:t>є</w:t>
      </w:r>
      <w:r w:rsidR="00C64B3A" w:rsidRPr="00B72821">
        <w:rPr>
          <w:rFonts w:ascii="Times New Roman" w:hAnsi="Times New Roman"/>
          <w:sz w:val="28"/>
          <w:szCs w:val="28"/>
        </w:rPr>
        <w:t>ться із загальним</w:t>
      </w:r>
      <w:r w:rsidR="00E3041E" w:rsidRPr="00B72821">
        <w:rPr>
          <w:rFonts w:ascii="Times New Roman" w:hAnsi="Times New Roman"/>
          <w:sz w:val="28"/>
          <w:szCs w:val="28"/>
        </w:rPr>
        <w:t>и</w:t>
      </w:r>
      <w:r w:rsidR="00C64B3A" w:rsidRPr="00B72821">
        <w:rPr>
          <w:rFonts w:ascii="Times New Roman" w:hAnsi="Times New Roman"/>
          <w:sz w:val="28"/>
          <w:szCs w:val="28"/>
        </w:rPr>
        <w:t xml:space="preserve"> положеннями ПК, якими передбачено </w:t>
      </w:r>
      <w:r w:rsidR="0000639D" w:rsidRPr="00B72821">
        <w:rPr>
          <w:rFonts w:ascii="Times New Roman" w:hAnsi="Times New Roman"/>
          <w:sz w:val="28"/>
          <w:szCs w:val="28"/>
        </w:rPr>
        <w:t>можливість</w:t>
      </w:r>
      <w:r w:rsidR="00C64B3A" w:rsidRPr="00B72821">
        <w:rPr>
          <w:rFonts w:ascii="Times New Roman" w:hAnsi="Times New Roman"/>
          <w:sz w:val="28"/>
          <w:szCs w:val="28"/>
        </w:rPr>
        <w:t xml:space="preserve"> сплат</w:t>
      </w:r>
      <w:r w:rsidR="0000639D" w:rsidRPr="00B72821">
        <w:rPr>
          <w:rFonts w:ascii="Times New Roman" w:hAnsi="Times New Roman"/>
          <w:sz w:val="28"/>
          <w:szCs w:val="28"/>
        </w:rPr>
        <w:t>и</w:t>
      </w:r>
      <w:r w:rsidR="00C64B3A" w:rsidRPr="00B72821">
        <w:rPr>
          <w:rFonts w:ascii="Times New Roman" w:hAnsi="Times New Roman"/>
          <w:sz w:val="28"/>
          <w:szCs w:val="28"/>
        </w:rPr>
        <w:t xml:space="preserve"> грошових зобов’язань або погашення податкового боргу платника податків з відповідного платежу </w:t>
      </w:r>
      <w:r w:rsidR="00E14078" w:rsidRPr="00B72821">
        <w:rPr>
          <w:rFonts w:ascii="Times New Roman" w:hAnsi="Times New Roman"/>
          <w:sz w:val="28"/>
          <w:szCs w:val="28"/>
        </w:rPr>
        <w:t>та</w:t>
      </w:r>
      <w:r w:rsidR="00C64B3A" w:rsidRPr="00B72821">
        <w:rPr>
          <w:rFonts w:ascii="Times New Roman" w:hAnsi="Times New Roman"/>
          <w:sz w:val="28"/>
          <w:szCs w:val="28"/>
        </w:rPr>
        <w:t xml:space="preserve">кож «за рахунок помилково та/або надміру сплачених сум </w:t>
      </w:r>
      <w:r w:rsidR="00C64B3A" w:rsidRPr="00B72821">
        <w:rPr>
          <w:rFonts w:ascii="Times New Roman" w:hAnsi="Times New Roman"/>
          <w:i/>
          <w:sz w:val="28"/>
          <w:szCs w:val="28"/>
        </w:rPr>
        <w:t>з інших платежів</w:t>
      </w:r>
      <w:r w:rsidR="00C64B3A" w:rsidRPr="00B72821">
        <w:rPr>
          <w:rFonts w:ascii="Times New Roman" w:hAnsi="Times New Roman"/>
          <w:sz w:val="28"/>
          <w:szCs w:val="28"/>
        </w:rPr>
        <w:t xml:space="preserve"> (на підставі відповідної заяви пл</w:t>
      </w:r>
      <w:r w:rsidR="00FA51CB" w:rsidRPr="00B72821">
        <w:rPr>
          <w:rFonts w:ascii="Times New Roman" w:hAnsi="Times New Roman"/>
          <w:sz w:val="28"/>
          <w:szCs w:val="28"/>
        </w:rPr>
        <w:t>атника) до відповідних бюджетів</w:t>
      </w:r>
      <w:r w:rsidR="00E14078" w:rsidRPr="00B72821">
        <w:rPr>
          <w:rFonts w:ascii="Times New Roman" w:hAnsi="Times New Roman"/>
          <w:sz w:val="28"/>
          <w:szCs w:val="28"/>
        </w:rPr>
        <w:t xml:space="preserve"> </w:t>
      </w:r>
      <w:r w:rsidR="00C64B3A" w:rsidRPr="00B72821">
        <w:rPr>
          <w:rFonts w:ascii="Times New Roman" w:hAnsi="Times New Roman"/>
          <w:sz w:val="28"/>
          <w:szCs w:val="28"/>
        </w:rPr>
        <w:t>…</w:t>
      </w:r>
      <w:r w:rsidR="00FA51CB" w:rsidRPr="00B72821">
        <w:rPr>
          <w:rFonts w:ascii="Times New Roman" w:hAnsi="Times New Roman"/>
          <w:sz w:val="28"/>
          <w:szCs w:val="28"/>
        </w:rPr>
        <w:t xml:space="preserve">» </w:t>
      </w:r>
      <w:r w:rsidR="0000639D" w:rsidRPr="00B72821">
        <w:rPr>
          <w:rFonts w:ascii="Times New Roman" w:hAnsi="Times New Roman"/>
          <w:sz w:val="28"/>
          <w:szCs w:val="28"/>
        </w:rPr>
        <w:t xml:space="preserve">(п. «б» </w:t>
      </w:r>
      <w:proofErr w:type="spellStart"/>
      <w:r w:rsidR="00E935C1" w:rsidRPr="00B72821">
        <w:rPr>
          <w:rFonts w:ascii="Times New Roman" w:hAnsi="Times New Roman"/>
          <w:sz w:val="28"/>
          <w:szCs w:val="28"/>
        </w:rPr>
        <w:t>абз</w:t>
      </w:r>
      <w:proofErr w:type="spellEnd"/>
      <w:r w:rsidR="00E935C1" w:rsidRPr="00B72821">
        <w:rPr>
          <w:rFonts w:ascii="Times New Roman" w:hAnsi="Times New Roman"/>
          <w:sz w:val="28"/>
          <w:szCs w:val="28"/>
        </w:rPr>
        <w:t xml:space="preserve">. </w:t>
      </w:r>
      <w:proofErr w:type="gramStart"/>
      <w:r w:rsidR="003F50F1" w:rsidRPr="00B72821">
        <w:rPr>
          <w:rFonts w:ascii="Times New Roman" w:hAnsi="Times New Roman"/>
          <w:sz w:val="28"/>
          <w:szCs w:val="28"/>
          <w:lang w:val="en-US"/>
        </w:rPr>
        <w:t>3</w:t>
      </w:r>
      <w:proofErr w:type="gramEnd"/>
      <w:r w:rsidR="00E935C1" w:rsidRPr="00B72821">
        <w:rPr>
          <w:rFonts w:ascii="Times New Roman" w:hAnsi="Times New Roman"/>
          <w:sz w:val="28"/>
          <w:szCs w:val="28"/>
        </w:rPr>
        <w:t xml:space="preserve"> </w:t>
      </w:r>
      <w:r w:rsidR="0000639D" w:rsidRPr="00B72821">
        <w:rPr>
          <w:rFonts w:ascii="Times New Roman" w:hAnsi="Times New Roman"/>
          <w:sz w:val="28"/>
          <w:szCs w:val="28"/>
        </w:rPr>
        <w:t xml:space="preserve">п. 87.1 ст. 87 ПК). </w:t>
      </w:r>
    </w:p>
    <w:p w:rsidR="009501C7" w:rsidRPr="00B72821" w:rsidRDefault="0000639D" w:rsidP="00E3041E">
      <w:pPr>
        <w:tabs>
          <w:tab w:val="left" w:pos="993"/>
        </w:tabs>
        <w:spacing w:after="0" w:line="240" w:lineRule="auto"/>
        <w:ind w:firstLine="708"/>
        <w:jc w:val="both"/>
        <w:rPr>
          <w:rFonts w:ascii="Times New Roman" w:hAnsi="Times New Roman"/>
          <w:sz w:val="28"/>
          <w:szCs w:val="28"/>
        </w:rPr>
      </w:pPr>
      <w:r w:rsidRPr="00E3041E">
        <w:rPr>
          <w:rFonts w:ascii="Times New Roman" w:hAnsi="Times New Roman"/>
          <w:sz w:val="28"/>
          <w:szCs w:val="28"/>
        </w:rPr>
        <w:t>Крім того, доцільність запропонованих обмежень, на наш погляд, потребує додаткового обґрунтування,</w:t>
      </w:r>
      <w:r w:rsidR="00E76383" w:rsidRPr="00E3041E">
        <w:rPr>
          <w:rFonts w:ascii="Times New Roman" w:hAnsi="Times New Roman"/>
          <w:sz w:val="28"/>
          <w:szCs w:val="28"/>
        </w:rPr>
        <w:t xml:space="preserve"> </w:t>
      </w:r>
      <w:r w:rsidRPr="00E3041E">
        <w:rPr>
          <w:rFonts w:ascii="Times New Roman" w:hAnsi="Times New Roman"/>
          <w:sz w:val="28"/>
          <w:szCs w:val="28"/>
        </w:rPr>
        <w:t>адже, по суті,</w:t>
      </w:r>
      <w:r w:rsidR="00E76383" w:rsidRPr="00E3041E">
        <w:rPr>
          <w:rFonts w:ascii="Times New Roman" w:hAnsi="Times New Roman"/>
          <w:sz w:val="28"/>
          <w:szCs w:val="28"/>
        </w:rPr>
        <w:t xml:space="preserve"> згідно </w:t>
      </w:r>
      <w:r w:rsidR="00E76383" w:rsidRPr="00B72821">
        <w:rPr>
          <w:rFonts w:ascii="Times New Roman" w:hAnsi="Times New Roman"/>
          <w:sz w:val="28"/>
          <w:szCs w:val="28"/>
        </w:rPr>
        <w:t>із чинною нормою</w:t>
      </w:r>
      <w:r w:rsidRPr="00B72821">
        <w:rPr>
          <w:rFonts w:ascii="Times New Roman" w:hAnsi="Times New Roman"/>
          <w:sz w:val="28"/>
          <w:szCs w:val="28"/>
        </w:rPr>
        <w:t xml:space="preserve"> йдеться про залік зустрічних однорідних вимог.</w:t>
      </w:r>
    </w:p>
    <w:p w:rsidR="002036D6" w:rsidRPr="00B72821" w:rsidRDefault="00FA51CB" w:rsidP="00E53FC4">
      <w:pPr>
        <w:pStyle w:val="a7"/>
        <w:numPr>
          <w:ilvl w:val="0"/>
          <w:numId w:val="3"/>
        </w:numPr>
        <w:tabs>
          <w:tab w:val="left" w:pos="709"/>
          <w:tab w:val="left" w:pos="993"/>
        </w:tabs>
        <w:spacing w:after="0" w:line="240" w:lineRule="auto"/>
        <w:ind w:left="0" w:firstLine="708"/>
        <w:jc w:val="both"/>
        <w:rPr>
          <w:rFonts w:ascii="Times New Roman" w:hAnsi="Times New Roman"/>
          <w:sz w:val="28"/>
          <w:szCs w:val="28"/>
        </w:rPr>
      </w:pPr>
      <w:r w:rsidRPr="00B72821">
        <w:rPr>
          <w:rFonts w:ascii="Times New Roman" w:hAnsi="Times New Roman"/>
          <w:sz w:val="28"/>
          <w:szCs w:val="28"/>
        </w:rPr>
        <w:t xml:space="preserve">Відповідно до оновленого п. 226.10 ст. 226 ПК пропонується встановити, що не підлягають маркуванню акцизними марками </w:t>
      </w:r>
      <w:r w:rsidR="00DC3714" w:rsidRPr="00B72821">
        <w:rPr>
          <w:rFonts w:ascii="Times New Roman" w:hAnsi="Times New Roman"/>
          <w:sz w:val="28"/>
          <w:szCs w:val="28"/>
        </w:rPr>
        <w:t>«</w:t>
      </w:r>
      <w:r w:rsidRPr="00B72821">
        <w:rPr>
          <w:rFonts w:ascii="Times New Roman" w:hAnsi="Times New Roman"/>
          <w:sz w:val="28"/>
          <w:szCs w:val="28"/>
        </w:rPr>
        <w:t xml:space="preserve">тестові </w:t>
      </w:r>
      <w:r w:rsidRPr="00B72821">
        <w:rPr>
          <w:rFonts w:ascii="Times New Roman" w:hAnsi="Times New Roman"/>
          <w:sz w:val="28"/>
          <w:szCs w:val="28"/>
        </w:rPr>
        <w:lastRenderedPageBreak/>
        <w:t>зразки алкогольних напоїв, які не призначені для продажу вроздріб і ввозяться</w:t>
      </w:r>
      <w:r w:rsidRPr="00102713">
        <w:rPr>
          <w:rFonts w:ascii="Times New Roman" w:hAnsi="Times New Roman"/>
          <w:sz w:val="28"/>
          <w:szCs w:val="28"/>
        </w:rPr>
        <w:t xml:space="preserve"> на митну територію України суб'єктами господарювання, які мають ліцензії на право оптової торгівлі відповідної продукції, для проведення досліджень чи випробувань (калібрування лабораторного обладнання, проведення дегустацій, вивчення фізико-хімічних показників, дизайну), але не більше 3 шт. кожного виробу; звичайні (неігристі) вина, сусло виноградне, </w:t>
      </w:r>
      <w:proofErr w:type="spellStart"/>
      <w:r w:rsidRPr="00102713">
        <w:rPr>
          <w:rFonts w:ascii="Times New Roman" w:hAnsi="Times New Roman"/>
          <w:sz w:val="28"/>
          <w:szCs w:val="28"/>
        </w:rPr>
        <w:t>зброджені</w:t>
      </w:r>
      <w:proofErr w:type="spellEnd"/>
      <w:r w:rsidRPr="00102713">
        <w:rPr>
          <w:rFonts w:ascii="Times New Roman" w:hAnsi="Times New Roman"/>
          <w:sz w:val="28"/>
          <w:szCs w:val="28"/>
        </w:rPr>
        <w:t xml:space="preserve"> напої, фактична міцність яких вища за 1,2% об’ємних одиниць етилового спирту, але не вища </w:t>
      </w:r>
      <w:r w:rsidRPr="00B72821">
        <w:rPr>
          <w:rFonts w:ascii="Times New Roman" w:hAnsi="Times New Roman"/>
          <w:sz w:val="28"/>
          <w:szCs w:val="28"/>
        </w:rPr>
        <w:t>за 15% об’ємних одиниць етилового спирту, за умови що етиловий спирт, який міститься у готовому продукті, має повністю ферментне (ендогенне) походження</w:t>
      </w:r>
      <w:r w:rsidR="00DC3714" w:rsidRPr="00B72821">
        <w:rPr>
          <w:rFonts w:ascii="Times New Roman" w:hAnsi="Times New Roman"/>
          <w:sz w:val="28"/>
          <w:szCs w:val="28"/>
        </w:rPr>
        <w:t>»</w:t>
      </w:r>
      <w:r w:rsidRPr="00B72821">
        <w:rPr>
          <w:rFonts w:ascii="Times New Roman" w:hAnsi="Times New Roman"/>
          <w:sz w:val="28"/>
          <w:szCs w:val="28"/>
        </w:rPr>
        <w:t xml:space="preserve">. </w:t>
      </w:r>
    </w:p>
    <w:p w:rsidR="00323E9C" w:rsidRPr="00B72821" w:rsidRDefault="00FA51CB" w:rsidP="00E53FC4">
      <w:pPr>
        <w:tabs>
          <w:tab w:val="left" w:pos="851"/>
          <w:tab w:val="left" w:pos="993"/>
        </w:tabs>
        <w:spacing w:after="0" w:line="240" w:lineRule="auto"/>
        <w:ind w:firstLine="709"/>
        <w:jc w:val="both"/>
        <w:rPr>
          <w:rFonts w:ascii="Times New Roman" w:hAnsi="Times New Roman"/>
          <w:sz w:val="28"/>
          <w:szCs w:val="28"/>
        </w:rPr>
      </w:pPr>
      <w:r w:rsidRPr="00B72821">
        <w:rPr>
          <w:rFonts w:ascii="Times New Roman" w:hAnsi="Times New Roman"/>
          <w:sz w:val="28"/>
          <w:szCs w:val="28"/>
        </w:rPr>
        <w:t>По-перше, звертаємо увагу</w:t>
      </w:r>
      <w:r w:rsidRPr="00102713">
        <w:rPr>
          <w:rFonts w:ascii="Times New Roman" w:hAnsi="Times New Roman"/>
          <w:sz w:val="28"/>
          <w:szCs w:val="28"/>
        </w:rPr>
        <w:t xml:space="preserve"> на відсутність чіткої визначеності кількості тестових зразків алкогольних напоїв, що не підлягає маркуванню. Зокрема, не повною мірою зрозуміло, про </w:t>
      </w:r>
      <w:r w:rsidRPr="00B72821">
        <w:rPr>
          <w:rFonts w:ascii="Times New Roman" w:hAnsi="Times New Roman"/>
          <w:sz w:val="28"/>
          <w:szCs w:val="28"/>
        </w:rPr>
        <w:t xml:space="preserve">які саме 3 штуки кожного виробу йдеться (пляшки, банки, бочки тощо). </w:t>
      </w:r>
    </w:p>
    <w:p w:rsidR="00FA51CB" w:rsidRPr="00B72821" w:rsidRDefault="00FA51CB" w:rsidP="00E53FC4">
      <w:pPr>
        <w:tabs>
          <w:tab w:val="left" w:pos="851"/>
          <w:tab w:val="left" w:pos="993"/>
        </w:tabs>
        <w:spacing w:after="0" w:line="240" w:lineRule="auto"/>
        <w:ind w:firstLine="709"/>
        <w:jc w:val="both"/>
        <w:rPr>
          <w:rFonts w:ascii="Times New Roman" w:hAnsi="Times New Roman"/>
          <w:sz w:val="28"/>
          <w:szCs w:val="28"/>
        </w:rPr>
      </w:pPr>
      <w:r w:rsidRPr="00B72821">
        <w:rPr>
          <w:rFonts w:ascii="Times New Roman" w:hAnsi="Times New Roman"/>
          <w:sz w:val="28"/>
          <w:szCs w:val="28"/>
        </w:rPr>
        <w:t xml:space="preserve">По-друге, пропоновані зміни, </w:t>
      </w:r>
      <w:r w:rsidR="00323E9C" w:rsidRPr="00B72821">
        <w:rPr>
          <w:rFonts w:ascii="Times New Roman" w:hAnsi="Times New Roman"/>
          <w:sz w:val="28"/>
          <w:szCs w:val="28"/>
        </w:rPr>
        <w:t xml:space="preserve">за </w:t>
      </w:r>
      <w:r w:rsidRPr="00B72821">
        <w:rPr>
          <w:rFonts w:ascii="Times New Roman" w:hAnsi="Times New Roman"/>
          <w:sz w:val="28"/>
          <w:szCs w:val="28"/>
        </w:rPr>
        <w:t xml:space="preserve">якими не підлягають маркуванню акцизними марками звичайні (неігристі) вина, сусло виноградне, </w:t>
      </w:r>
      <w:proofErr w:type="spellStart"/>
      <w:r w:rsidRPr="00B72821">
        <w:rPr>
          <w:rFonts w:ascii="Times New Roman" w:hAnsi="Times New Roman"/>
          <w:sz w:val="28"/>
          <w:szCs w:val="28"/>
        </w:rPr>
        <w:t>зброджені</w:t>
      </w:r>
      <w:proofErr w:type="spellEnd"/>
      <w:r w:rsidRPr="00B72821">
        <w:rPr>
          <w:rFonts w:ascii="Times New Roman" w:hAnsi="Times New Roman"/>
          <w:sz w:val="28"/>
          <w:szCs w:val="28"/>
        </w:rPr>
        <w:t xml:space="preserve"> напої, фактична міцність яких вища за 1,2% об’ємних одиниць етилового спирту, але не вища за 15% об’ємних одиниць етилового спирту,</w:t>
      </w:r>
      <w:r w:rsidR="00DC3714" w:rsidRPr="00B72821">
        <w:rPr>
          <w:rFonts w:ascii="Times New Roman" w:hAnsi="Times New Roman"/>
          <w:sz w:val="28"/>
          <w:szCs w:val="28"/>
        </w:rPr>
        <w:t xml:space="preserve"> за умови, </w:t>
      </w:r>
      <w:r w:rsidRPr="00B72821">
        <w:rPr>
          <w:rFonts w:ascii="Times New Roman" w:hAnsi="Times New Roman"/>
          <w:sz w:val="28"/>
          <w:szCs w:val="28"/>
        </w:rPr>
        <w:t xml:space="preserve">що етиловий спирт, який міститься у готовому продукті, має повністю ферментне (ендогенне) походження, не повною мірою узгоджуються з положеннями </w:t>
      </w:r>
      <w:r w:rsidR="00323E9C" w:rsidRPr="00B72821">
        <w:rPr>
          <w:rFonts w:ascii="Times New Roman" w:hAnsi="Times New Roman"/>
          <w:sz w:val="28"/>
          <w:szCs w:val="28"/>
        </w:rPr>
        <w:br/>
      </w:r>
      <w:r w:rsidRPr="00B72821">
        <w:rPr>
          <w:rFonts w:ascii="Times New Roman" w:hAnsi="Times New Roman"/>
          <w:sz w:val="28"/>
          <w:szCs w:val="28"/>
        </w:rPr>
        <w:t>п. 226.6 цієї ж ст</w:t>
      </w:r>
      <w:r w:rsidR="00DC3714" w:rsidRPr="00B72821">
        <w:rPr>
          <w:rFonts w:ascii="Times New Roman" w:hAnsi="Times New Roman"/>
          <w:sz w:val="28"/>
          <w:szCs w:val="28"/>
        </w:rPr>
        <w:t xml:space="preserve">. </w:t>
      </w:r>
      <w:r w:rsidRPr="00B72821">
        <w:rPr>
          <w:rFonts w:ascii="Times New Roman" w:hAnsi="Times New Roman"/>
          <w:sz w:val="28"/>
          <w:szCs w:val="28"/>
        </w:rPr>
        <w:t xml:space="preserve">226 ПК, </w:t>
      </w:r>
      <w:r w:rsidR="00323E9C" w:rsidRPr="00B72821">
        <w:rPr>
          <w:rFonts w:ascii="Times New Roman" w:hAnsi="Times New Roman"/>
          <w:sz w:val="28"/>
          <w:szCs w:val="28"/>
        </w:rPr>
        <w:t xml:space="preserve">за </w:t>
      </w:r>
      <w:r w:rsidRPr="00B72821">
        <w:rPr>
          <w:rFonts w:ascii="Times New Roman" w:hAnsi="Times New Roman"/>
          <w:sz w:val="28"/>
          <w:szCs w:val="28"/>
        </w:rPr>
        <w:t>якими маркуванню підлягають усі алкогольні напої з вмістом спирту етилового понад 8,5% об'ємних одиниць.</w:t>
      </w:r>
    </w:p>
    <w:p w:rsidR="0000639D" w:rsidRPr="00102713" w:rsidRDefault="00E76383" w:rsidP="00E53FC4">
      <w:pPr>
        <w:pStyle w:val="a7"/>
        <w:numPr>
          <w:ilvl w:val="0"/>
          <w:numId w:val="3"/>
        </w:numPr>
        <w:tabs>
          <w:tab w:val="left" w:pos="709"/>
          <w:tab w:val="left" w:pos="993"/>
        </w:tabs>
        <w:spacing w:after="0" w:line="240" w:lineRule="auto"/>
        <w:ind w:left="0" w:firstLine="708"/>
        <w:jc w:val="both"/>
        <w:rPr>
          <w:rFonts w:ascii="Times New Roman" w:hAnsi="Times New Roman"/>
          <w:sz w:val="28"/>
          <w:szCs w:val="28"/>
        </w:rPr>
      </w:pPr>
      <w:r w:rsidRPr="00B72821">
        <w:rPr>
          <w:rFonts w:ascii="Times New Roman" w:hAnsi="Times New Roman"/>
          <w:sz w:val="28"/>
          <w:szCs w:val="28"/>
        </w:rPr>
        <w:t xml:space="preserve">Згідно з оновленим </w:t>
      </w:r>
      <w:proofErr w:type="spellStart"/>
      <w:r w:rsidRPr="00B72821">
        <w:rPr>
          <w:rFonts w:ascii="Times New Roman" w:hAnsi="Times New Roman"/>
          <w:sz w:val="28"/>
          <w:szCs w:val="28"/>
        </w:rPr>
        <w:t>п</w:t>
      </w:r>
      <w:r w:rsidR="004639B1" w:rsidRPr="00B72821">
        <w:rPr>
          <w:rFonts w:ascii="Times New Roman" w:hAnsi="Times New Roman"/>
          <w:sz w:val="28"/>
          <w:szCs w:val="28"/>
        </w:rPr>
        <w:t>п</w:t>
      </w:r>
      <w:proofErr w:type="spellEnd"/>
      <w:r w:rsidRPr="00B72821">
        <w:rPr>
          <w:rFonts w:ascii="Times New Roman" w:hAnsi="Times New Roman"/>
          <w:sz w:val="28"/>
          <w:szCs w:val="28"/>
        </w:rPr>
        <w:t xml:space="preserve">. «б» </w:t>
      </w:r>
      <w:proofErr w:type="spellStart"/>
      <w:r w:rsidRPr="00B72821">
        <w:rPr>
          <w:rFonts w:ascii="Times New Roman" w:hAnsi="Times New Roman"/>
          <w:sz w:val="28"/>
          <w:szCs w:val="28"/>
        </w:rPr>
        <w:t>п</w:t>
      </w:r>
      <w:r w:rsidR="002B2C61" w:rsidRPr="00B72821">
        <w:rPr>
          <w:rFonts w:ascii="Times New Roman" w:hAnsi="Times New Roman"/>
          <w:sz w:val="28"/>
          <w:szCs w:val="28"/>
        </w:rPr>
        <w:t>п</w:t>
      </w:r>
      <w:proofErr w:type="spellEnd"/>
      <w:r w:rsidRPr="00B72821">
        <w:rPr>
          <w:rFonts w:ascii="Times New Roman" w:hAnsi="Times New Roman"/>
          <w:sz w:val="28"/>
          <w:szCs w:val="28"/>
        </w:rPr>
        <w:t>. 4 п</w:t>
      </w:r>
      <w:r w:rsidR="002B2C61" w:rsidRPr="00B72821">
        <w:rPr>
          <w:rFonts w:ascii="Times New Roman" w:hAnsi="Times New Roman"/>
          <w:sz w:val="28"/>
          <w:szCs w:val="28"/>
        </w:rPr>
        <w:t>. </w:t>
      </w:r>
      <w:r w:rsidRPr="00B72821">
        <w:rPr>
          <w:rFonts w:ascii="Times New Roman" w:hAnsi="Times New Roman"/>
          <w:sz w:val="28"/>
          <w:szCs w:val="28"/>
        </w:rPr>
        <w:t xml:space="preserve"> </w:t>
      </w:r>
      <w:r w:rsidR="002B2C61" w:rsidRPr="00B72821">
        <w:rPr>
          <w:rFonts w:ascii="Times New Roman" w:hAnsi="Times New Roman"/>
          <w:sz w:val="28"/>
          <w:szCs w:val="28"/>
        </w:rPr>
        <w:t>291.</w:t>
      </w:r>
      <w:r w:rsidR="004639B1" w:rsidRPr="00B72821">
        <w:rPr>
          <w:rFonts w:ascii="Times New Roman" w:hAnsi="Times New Roman"/>
          <w:sz w:val="28"/>
          <w:szCs w:val="28"/>
        </w:rPr>
        <w:t>1</w:t>
      </w:r>
      <w:r w:rsidR="002B2C61" w:rsidRPr="00B72821">
        <w:rPr>
          <w:rFonts w:ascii="Times New Roman" w:hAnsi="Times New Roman"/>
          <w:sz w:val="28"/>
          <w:szCs w:val="28"/>
        </w:rPr>
        <w:t xml:space="preserve"> ст. 291 ПК пропонується </w:t>
      </w:r>
      <w:r w:rsidR="006766B8" w:rsidRPr="00B72821">
        <w:rPr>
          <w:rFonts w:ascii="Times New Roman" w:hAnsi="Times New Roman"/>
          <w:sz w:val="28"/>
          <w:szCs w:val="28"/>
        </w:rPr>
        <w:t xml:space="preserve">встановити </w:t>
      </w:r>
      <w:r w:rsidR="00DC3714" w:rsidRPr="00B72821">
        <w:rPr>
          <w:rFonts w:ascii="Times New Roman" w:hAnsi="Times New Roman"/>
          <w:sz w:val="28"/>
          <w:szCs w:val="28"/>
        </w:rPr>
        <w:t xml:space="preserve">виняток </w:t>
      </w:r>
      <w:r w:rsidR="006766B8" w:rsidRPr="00B72821">
        <w:rPr>
          <w:rFonts w:ascii="Times New Roman" w:hAnsi="Times New Roman"/>
          <w:sz w:val="28"/>
          <w:szCs w:val="28"/>
        </w:rPr>
        <w:t>із</w:t>
      </w:r>
      <w:r w:rsidR="002B2C61" w:rsidRPr="00B72821">
        <w:rPr>
          <w:rFonts w:ascii="Times New Roman" w:hAnsi="Times New Roman"/>
          <w:sz w:val="28"/>
          <w:szCs w:val="28"/>
        </w:rPr>
        <w:t xml:space="preserve"> вимог щодо перебування на спрощеній системі оподаткування фізичних осіб - підприємців, які провадять діяльність виключно в межах фермерського господарства, зареєстрованого відповідно до Закону України «Про фермерське господарство</w:t>
      </w:r>
      <w:r w:rsidR="002B2C61" w:rsidRPr="00102713">
        <w:rPr>
          <w:rFonts w:ascii="Times New Roman" w:hAnsi="Times New Roman"/>
          <w:sz w:val="28"/>
          <w:szCs w:val="28"/>
        </w:rPr>
        <w:t>», як</w:t>
      </w:r>
      <w:r w:rsidR="00CE04C9" w:rsidRPr="00102713">
        <w:rPr>
          <w:rFonts w:ascii="Times New Roman" w:hAnsi="Times New Roman"/>
          <w:sz w:val="28"/>
          <w:szCs w:val="28"/>
        </w:rPr>
        <w:t>е</w:t>
      </w:r>
      <w:r w:rsidR="002B2C61" w:rsidRPr="00102713">
        <w:rPr>
          <w:rFonts w:ascii="Times New Roman" w:hAnsi="Times New Roman"/>
          <w:sz w:val="28"/>
          <w:szCs w:val="28"/>
        </w:rPr>
        <w:t xml:space="preserve"> передбачає невикористання праці найманих осіб, </w:t>
      </w:r>
      <w:r w:rsidR="006766B8" w:rsidRPr="00102713">
        <w:rPr>
          <w:rFonts w:ascii="Times New Roman" w:hAnsi="Times New Roman"/>
          <w:sz w:val="28"/>
          <w:szCs w:val="28"/>
        </w:rPr>
        <w:t xml:space="preserve">окрім виключно для виконання сезонних та окремих робіт, які безпосередньо пов’язані з діяльністю господарства і потребують спеціальних знань чи навичок, кількість яких не може одночасно перевищувати 10 осіб (згідно з оновленою ст. 1 Закону України </w:t>
      </w:r>
      <w:r w:rsidR="00CE04C9" w:rsidRPr="00102713">
        <w:rPr>
          <w:rFonts w:ascii="Times New Roman" w:hAnsi="Times New Roman"/>
          <w:sz w:val="28"/>
          <w:szCs w:val="28"/>
        </w:rPr>
        <w:br/>
      </w:r>
      <w:r w:rsidR="006766B8" w:rsidRPr="00102713">
        <w:rPr>
          <w:rFonts w:ascii="Times New Roman" w:hAnsi="Times New Roman"/>
          <w:sz w:val="28"/>
          <w:szCs w:val="28"/>
        </w:rPr>
        <w:t xml:space="preserve">«Про фермерське господарство»). Крім того, зменшується нижня межа площі сільськогосподарських угідь та/або земель водного фонду у власності та/або користуванні членів фермерського господарства з «не менше двох гектарів» до </w:t>
      </w:r>
      <w:r w:rsidR="00753B56" w:rsidRPr="00102713">
        <w:rPr>
          <w:rFonts w:ascii="Times New Roman" w:hAnsi="Times New Roman"/>
          <w:sz w:val="28"/>
          <w:szCs w:val="28"/>
        </w:rPr>
        <w:t>«не менше 1,05 гектара».</w:t>
      </w:r>
    </w:p>
    <w:p w:rsidR="00DC3714" w:rsidRDefault="00100D4D" w:rsidP="00DC3714">
      <w:pPr>
        <w:pStyle w:val="a7"/>
        <w:tabs>
          <w:tab w:val="left" w:pos="851"/>
        </w:tabs>
        <w:spacing w:after="0" w:line="240" w:lineRule="auto"/>
        <w:ind w:left="0" w:firstLine="709"/>
        <w:jc w:val="both"/>
        <w:rPr>
          <w:rFonts w:ascii="Times New Roman" w:hAnsi="Times New Roman"/>
          <w:sz w:val="28"/>
          <w:szCs w:val="28"/>
        </w:rPr>
      </w:pPr>
      <w:r w:rsidRPr="00102713">
        <w:rPr>
          <w:rFonts w:ascii="Times New Roman" w:hAnsi="Times New Roman"/>
          <w:sz w:val="28"/>
          <w:szCs w:val="28"/>
        </w:rPr>
        <w:t>Насамперед, с</w:t>
      </w:r>
      <w:r w:rsidR="00753B56" w:rsidRPr="00102713">
        <w:rPr>
          <w:rFonts w:ascii="Times New Roman" w:hAnsi="Times New Roman"/>
          <w:sz w:val="28"/>
          <w:szCs w:val="28"/>
        </w:rPr>
        <w:t>лід зауважити, що, на наш погляд, вказані норми</w:t>
      </w:r>
      <w:r w:rsidR="00CE04C9" w:rsidRPr="00102713">
        <w:rPr>
          <w:rFonts w:ascii="Times New Roman" w:hAnsi="Times New Roman"/>
          <w:sz w:val="28"/>
          <w:szCs w:val="28"/>
        </w:rPr>
        <w:t>,</w:t>
      </w:r>
      <w:r w:rsidR="00753B56" w:rsidRPr="00102713">
        <w:rPr>
          <w:rFonts w:ascii="Times New Roman" w:hAnsi="Times New Roman"/>
          <w:sz w:val="28"/>
          <w:szCs w:val="28"/>
        </w:rPr>
        <w:t xml:space="preserve"> як </w:t>
      </w:r>
      <w:r w:rsidR="00CE04C9" w:rsidRPr="00102713">
        <w:rPr>
          <w:rFonts w:ascii="Times New Roman" w:hAnsi="Times New Roman"/>
          <w:sz w:val="28"/>
          <w:szCs w:val="28"/>
        </w:rPr>
        <w:t>у</w:t>
      </w:r>
      <w:r w:rsidR="00753B56" w:rsidRPr="00102713">
        <w:rPr>
          <w:rFonts w:ascii="Times New Roman" w:hAnsi="Times New Roman"/>
          <w:sz w:val="28"/>
          <w:szCs w:val="28"/>
        </w:rPr>
        <w:t xml:space="preserve"> чинній, так і в оновленій редакції</w:t>
      </w:r>
      <w:r w:rsidR="00CE04C9" w:rsidRPr="00102713">
        <w:rPr>
          <w:rFonts w:ascii="Times New Roman" w:hAnsi="Times New Roman"/>
          <w:sz w:val="28"/>
          <w:szCs w:val="28"/>
        </w:rPr>
        <w:t>,</w:t>
      </w:r>
      <w:r w:rsidR="00753B56" w:rsidRPr="00102713">
        <w:rPr>
          <w:rFonts w:ascii="Times New Roman" w:hAnsi="Times New Roman"/>
          <w:sz w:val="28"/>
          <w:szCs w:val="28"/>
        </w:rPr>
        <w:t xml:space="preserve"> не відповідають </w:t>
      </w:r>
      <w:r w:rsidR="00CE04C9" w:rsidRPr="00102713">
        <w:rPr>
          <w:rFonts w:ascii="Times New Roman" w:hAnsi="Times New Roman"/>
          <w:sz w:val="28"/>
          <w:szCs w:val="28"/>
        </w:rPr>
        <w:t>у</w:t>
      </w:r>
      <w:r w:rsidR="00753B56" w:rsidRPr="00102713">
        <w:rPr>
          <w:rFonts w:ascii="Times New Roman" w:hAnsi="Times New Roman"/>
          <w:sz w:val="28"/>
          <w:szCs w:val="28"/>
        </w:rPr>
        <w:t xml:space="preserve"> цілому принципу рівності усіх платників перед законом, недопущення будь-яких проявів податкової дискримінації (</w:t>
      </w:r>
      <w:proofErr w:type="spellStart"/>
      <w:r w:rsidR="00753B56" w:rsidRPr="00102713">
        <w:rPr>
          <w:rFonts w:ascii="Times New Roman" w:hAnsi="Times New Roman"/>
          <w:sz w:val="28"/>
          <w:szCs w:val="28"/>
        </w:rPr>
        <w:t>пп</w:t>
      </w:r>
      <w:proofErr w:type="spellEnd"/>
      <w:r w:rsidR="00753B56" w:rsidRPr="00102713">
        <w:rPr>
          <w:rFonts w:ascii="Times New Roman" w:hAnsi="Times New Roman"/>
          <w:sz w:val="28"/>
          <w:szCs w:val="28"/>
        </w:rPr>
        <w:t xml:space="preserve">. 4.1.2 п. 4.1 ст. 4 ПК), адже встановлюють додаткові обмеження для вказаних платників податків порівняно із юридичними особами, які перебувають на цій же системі оподаткування (п. «а» </w:t>
      </w:r>
      <w:proofErr w:type="spellStart"/>
      <w:r w:rsidR="00753B56" w:rsidRPr="00102713">
        <w:rPr>
          <w:rFonts w:ascii="Times New Roman" w:hAnsi="Times New Roman"/>
          <w:sz w:val="28"/>
          <w:szCs w:val="28"/>
        </w:rPr>
        <w:t>пп</w:t>
      </w:r>
      <w:proofErr w:type="spellEnd"/>
      <w:r w:rsidR="00753B56" w:rsidRPr="00102713">
        <w:rPr>
          <w:rFonts w:ascii="Times New Roman" w:hAnsi="Times New Roman"/>
          <w:sz w:val="28"/>
          <w:szCs w:val="28"/>
        </w:rPr>
        <w:t xml:space="preserve">. 4 </w:t>
      </w:r>
      <w:r w:rsidR="00CE04C9" w:rsidRPr="00102713">
        <w:rPr>
          <w:rFonts w:ascii="Times New Roman" w:hAnsi="Times New Roman"/>
          <w:sz w:val="28"/>
          <w:szCs w:val="28"/>
        </w:rPr>
        <w:br/>
      </w:r>
      <w:r w:rsidR="00753B56" w:rsidRPr="00102713">
        <w:rPr>
          <w:rFonts w:ascii="Times New Roman" w:hAnsi="Times New Roman"/>
          <w:sz w:val="28"/>
          <w:szCs w:val="28"/>
        </w:rPr>
        <w:t xml:space="preserve">п. 291.4 ст. 291 ПК). У цьому ж аспекті виглядає дискусійним </w:t>
      </w:r>
      <w:r w:rsidR="006439B5">
        <w:rPr>
          <w:rFonts w:ascii="Times New Roman" w:hAnsi="Times New Roman"/>
          <w:sz w:val="28"/>
          <w:szCs w:val="28"/>
        </w:rPr>
        <w:t xml:space="preserve">також </w:t>
      </w:r>
      <w:r w:rsidR="00753B56" w:rsidRPr="00102713">
        <w:rPr>
          <w:rFonts w:ascii="Times New Roman" w:hAnsi="Times New Roman"/>
          <w:sz w:val="28"/>
          <w:szCs w:val="28"/>
        </w:rPr>
        <w:t xml:space="preserve">обмеження у кількості найманих працівників </w:t>
      </w:r>
      <w:r w:rsidRPr="00102713">
        <w:rPr>
          <w:rFonts w:ascii="Times New Roman" w:hAnsi="Times New Roman"/>
          <w:sz w:val="28"/>
          <w:szCs w:val="28"/>
        </w:rPr>
        <w:t xml:space="preserve">для сімейних фермерських господарств </w:t>
      </w:r>
      <w:r w:rsidR="00753B56" w:rsidRPr="00102713">
        <w:rPr>
          <w:rFonts w:ascii="Times New Roman" w:hAnsi="Times New Roman"/>
          <w:sz w:val="28"/>
          <w:szCs w:val="28"/>
        </w:rPr>
        <w:t xml:space="preserve">(оновлена ст. 1 Закону України «Про фермерське господарство»). </w:t>
      </w:r>
      <w:r w:rsidR="006020BD">
        <w:rPr>
          <w:rFonts w:ascii="Times New Roman" w:hAnsi="Times New Roman"/>
          <w:sz w:val="28"/>
          <w:szCs w:val="28"/>
        </w:rPr>
        <w:t xml:space="preserve">При цьому, </w:t>
      </w:r>
      <w:r w:rsidRPr="00102713">
        <w:rPr>
          <w:rFonts w:ascii="Times New Roman" w:hAnsi="Times New Roman"/>
          <w:sz w:val="28"/>
          <w:szCs w:val="28"/>
        </w:rPr>
        <w:t>за підходу</w:t>
      </w:r>
      <w:r w:rsidR="00CE04C9" w:rsidRPr="00102713">
        <w:rPr>
          <w:rFonts w:ascii="Times New Roman" w:hAnsi="Times New Roman"/>
          <w:sz w:val="28"/>
          <w:szCs w:val="28"/>
        </w:rPr>
        <w:t>,</w:t>
      </w:r>
      <w:r w:rsidRPr="00102713">
        <w:rPr>
          <w:rFonts w:ascii="Times New Roman" w:hAnsi="Times New Roman"/>
          <w:sz w:val="28"/>
          <w:szCs w:val="28"/>
        </w:rPr>
        <w:t xml:space="preserve"> який передбачає застосування відсильної норми</w:t>
      </w:r>
      <w:r w:rsidR="00952C0E" w:rsidRPr="00102713">
        <w:rPr>
          <w:rFonts w:ascii="Times New Roman" w:hAnsi="Times New Roman"/>
          <w:sz w:val="28"/>
          <w:szCs w:val="28"/>
        </w:rPr>
        <w:t xml:space="preserve"> </w:t>
      </w:r>
      <w:r w:rsidRPr="00102713">
        <w:rPr>
          <w:rFonts w:ascii="Times New Roman" w:hAnsi="Times New Roman"/>
          <w:sz w:val="28"/>
          <w:szCs w:val="28"/>
        </w:rPr>
        <w:t xml:space="preserve">до </w:t>
      </w:r>
      <w:r w:rsidRPr="00102713">
        <w:rPr>
          <w:rFonts w:ascii="Times New Roman" w:hAnsi="Times New Roman"/>
          <w:sz w:val="28"/>
          <w:szCs w:val="28"/>
        </w:rPr>
        <w:lastRenderedPageBreak/>
        <w:t xml:space="preserve">Закону України «Про </w:t>
      </w:r>
      <w:bookmarkStart w:id="0" w:name="_GoBack"/>
      <w:bookmarkEnd w:id="0"/>
      <w:r w:rsidRPr="00102713">
        <w:rPr>
          <w:rFonts w:ascii="Times New Roman" w:hAnsi="Times New Roman"/>
          <w:sz w:val="28"/>
          <w:szCs w:val="28"/>
        </w:rPr>
        <w:t>фермерське господарство»</w:t>
      </w:r>
      <w:r w:rsidR="001344A7" w:rsidRPr="00102713">
        <w:rPr>
          <w:rFonts w:ascii="Times New Roman" w:hAnsi="Times New Roman"/>
          <w:sz w:val="28"/>
          <w:szCs w:val="28"/>
        </w:rPr>
        <w:t>,</w:t>
      </w:r>
      <w:r w:rsidRPr="00102713">
        <w:rPr>
          <w:rFonts w:ascii="Times New Roman" w:hAnsi="Times New Roman"/>
          <w:sz w:val="28"/>
          <w:szCs w:val="28"/>
        </w:rPr>
        <w:t xml:space="preserve"> у якому </w:t>
      </w:r>
      <w:r w:rsidR="001344A7" w:rsidRPr="00102713">
        <w:rPr>
          <w:rFonts w:ascii="Times New Roman" w:hAnsi="Times New Roman"/>
          <w:sz w:val="28"/>
          <w:szCs w:val="28"/>
        </w:rPr>
        <w:t xml:space="preserve">міститься </w:t>
      </w:r>
      <w:r w:rsidRPr="00B72821">
        <w:rPr>
          <w:rFonts w:ascii="Times New Roman" w:hAnsi="Times New Roman"/>
          <w:sz w:val="28"/>
          <w:szCs w:val="28"/>
        </w:rPr>
        <w:t>відповідн</w:t>
      </w:r>
      <w:r w:rsidR="00DC3714" w:rsidRPr="00B72821">
        <w:rPr>
          <w:rFonts w:ascii="Times New Roman" w:hAnsi="Times New Roman"/>
          <w:sz w:val="28"/>
          <w:szCs w:val="28"/>
        </w:rPr>
        <w:t>ий</w:t>
      </w:r>
      <w:r w:rsidRPr="00B72821">
        <w:rPr>
          <w:rFonts w:ascii="Times New Roman" w:hAnsi="Times New Roman"/>
          <w:sz w:val="28"/>
          <w:szCs w:val="28"/>
        </w:rPr>
        <w:t xml:space="preserve"> </w:t>
      </w:r>
      <w:r w:rsidR="00DC3714" w:rsidRPr="00B72821">
        <w:rPr>
          <w:rFonts w:ascii="Times New Roman" w:hAnsi="Times New Roman"/>
          <w:sz w:val="28"/>
          <w:szCs w:val="28"/>
        </w:rPr>
        <w:t>виняток</w:t>
      </w:r>
      <w:r w:rsidRPr="00B72821">
        <w:rPr>
          <w:rFonts w:ascii="Times New Roman" w:hAnsi="Times New Roman"/>
          <w:sz w:val="28"/>
          <w:szCs w:val="28"/>
        </w:rPr>
        <w:t xml:space="preserve"> щодо кількості найманих працівників для </w:t>
      </w:r>
      <w:r w:rsidRPr="00B72821">
        <w:rPr>
          <w:rFonts w:ascii="Times New Roman" w:hAnsi="Times New Roman"/>
          <w:i/>
          <w:sz w:val="28"/>
          <w:szCs w:val="28"/>
          <w:u w:val="single"/>
        </w:rPr>
        <w:t>сімейних</w:t>
      </w:r>
      <w:r w:rsidRPr="00B72821">
        <w:rPr>
          <w:rFonts w:ascii="Times New Roman" w:hAnsi="Times New Roman"/>
          <w:i/>
          <w:sz w:val="28"/>
          <w:szCs w:val="28"/>
        </w:rPr>
        <w:t xml:space="preserve"> фермерських господарств</w:t>
      </w:r>
      <w:r w:rsidR="00CE04C9" w:rsidRPr="00102713">
        <w:rPr>
          <w:rFonts w:ascii="Times New Roman" w:hAnsi="Times New Roman"/>
          <w:i/>
          <w:sz w:val="28"/>
          <w:szCs w:val="28"/>
        </w:rPr>
        <w:t>,</w:t>
      </w:r>
      <w:r w:rsidRPr="00102713">
        <w:rPr>
          <w:rFonts w:ascii="Times New Roman" w:hAnsi="Times New Roman"/>
          <w:i/>
          <w:sz w:val="28"/>
          <w:szCs w:val="28"/>
        </w:rPr>
        <w:t xml:space="preserve"> </w:t>
      </w:r>
      <w:r w:rsidRPr="00102713">
        <w:rPr>
          <w:rFonts w:ascii="Times New Roman" w:hAnsi="Times New Roman"/>
          <w:sz w:val="28"/>
          <w:szCs w:val="28"/>
        </w:rPr>
        <w:t>матиме наслідком те, що такі господарства</w:t>
      </w:r>
      <w:r w:rsidR="006020BD">
        <w:rPr>
          <w:rFonts w:ascii="Times New Roman" w:hAnsi="Times New Roman"/>
          <w:sz w:val="28"/>
          <w:szCs w:val="28"/>
        </w:rPr>
        <w:t xml:space="preserve">, на відміну від фермерських господарств, які не мають статусу сімейних, </w:t>
      </w:r>
      <w:r w:rsidRPr="00102713">
        <w:rPr>
          <w:rFonts w:ascii="Times New Roman" w:hAnsi="Times New Roman"/>
          <w:sz w:val="28"/>
          <w:szCs w:val="28"/>
        </w:rPr>
        <w:t>зможуть використовувати працю найманих працівників, перебуваючи на спрощеній системі оподаткування, але обмежуватимуться, на відміну, від чинної норми</w:t>
      </w:r>
      <w:r w:rsidR="007D0CCD" w:rsidRPr="00102713">
        <w:rPr>
          <w:rFonts w:ascii="Times New Roman" w:hAnsi="Times New Roman"/>
          <w:sz w:val="28"/>
          <w:szCs w:val="28"/>
        </w:rPr>
        <w:t xml:space="preserve"> вказаного Закону</w:t>
      </w:r>
      <w:r w:rsidRPr="00102713">
        <w:rPr>
          <w:rFonts w:ascii="Times New Roman" w:hAnsi="Times New Roman"/>
          <w:sz w:val="28"/>
          <w:szCs w:val="28"/>
        </w:rPr>
        <w:t xml:space="preserve">, у кількості </w:t>
      </w:r>
      <w:r w:rsidR="00090E98">
        <w:rPr>
          <w:rFonts w:ascii="Times New Roman" w:hAnsi="Times New Roman"/>
          <w:sz w:val="28"/>
          <w:szCs w:val="28"/>
        </w:rPr>
        <w:t xml:space="preserve">таких </w:t>
      </w:r>
      <w:r w:rsidRPr="00102713">
        <w:rPr>
          <w:rFonts w:ascii="Times New Roman" w:hAnsi="Times New Roman"/>
          <w:sz w:val="28"/>
          <w:szCs w:val="28"/>
        </w:rPr>
        <w:t>найманих працівників</w:t>
      </w:r>
      <w:r w:rsidR="005167EA" w:rsidRPr="00102713">
        <w:rPr>
          <w:rFonts w:ascii="Times New Roman" w:hAnsi="Times New Roman"/>
          <w:sz w:val="28"/>
          <w:szCs w:val="28"/>
        </w:rPr>
        <w:t xml:space="preserve"> (до 10 осіб)</w:t>
      </w:r>
      <w:r w:rsidR="001344A7" w:rsidRPr="00102713">
        <w:rPr>
          <w:rFonts w:ascii="Times New Roman" w:hAnsi="Times New Roman"/>
          <w:sz w:val="28"/>
          <w:szCs w:val="28"/>
        </w:rPr>
        <w:t>.</w:t>
      </w:r>
    </w:p>
    <w:p w:rsidR="00DC3714" w:rsidRPr="00DC3714" w:rsidRDefault="00DC3714" w:rsidP="00DC3714">
      <w:pPr>
        <w:pStyle w:val="a7"/>
        <w:numPr>
          <w:ilvl w:val="0"/>
          <w:numId w:val="3"/>
        </w:numPr>
        <w:tabs>
          <w:tab w:val="left" w:pos="851"/>
        </w:tabs>
        <w:spacing w:after="0" w:line="240" w:lineRule="auto"/>
        <w:ind w:left="0" w:firstLine="709"/>
        <w:jc w:val="both"/>
        <w:rPr>
          <w:rFonts w:ascii="Times New Roman" w:hAnsi="Times New Roman"/>
          <w:sz w:val="28"/>
          <w:szCs w:val="28"/>
        </w:rPr>
      </w:pPr>
      <w:r w:rsidRPr="00DC3714">
        <w:rPr>
          <w:rFonts w:ascii="Times New Roman" w:hAnsi="Times New Roman"/>
          <w:sz w:val="28"/>
          <w:szCs w:val="28"/>
        </w:rPr>
        <w:t xml:space="preserve">Згідно з новим п. 74 підрозділу 2 розділу XX ПК тимчасово, з </w:t>
      </w:r>
      <w:r>
        <w:rPr>
          <w:rFonts w:ascii="Times New Roman" w:hAnsi="Times New Roman"/>
          <w:sz w:val="28"/>
          <w:szCs w:val="28"/>
        </w:rPr>
        <w:br/>
      </w:r>
      <w:r w:rsidRPr="00DC3714">
        <w:rPr>
          <w:rFonts w:ascii="Times New Roman" w:hAnsi="Times New Roman"/>
          <w:sz w:val="28"/>
          <w:szCs w:val="28"/>
        </w:rPr>
        <w:t xml:space="preserve">1 січня 2021 року до 1 січня 2023 року, пропонується встановити знижену ставку податку на додану вартість (7%) для операцій з постачання на митній території України та/або ввезення на митну територію України у митному </w:t>
      </w:r>
      <w:r w:rsidRPr="00B72821">
        <w:rPr>
          <w:rFonts w:ascii="Times New Roman" w:hAnsi="Times New Roman"/>
          <w:sz w:val="28"/>
          <w:szCs w:val="28"/>
        </w:rPr>
        <w:t xml:space="preserve">режимі імпорту певних товарів. З цього приводу зауважимо, що згідно з положеннями Угоди про асоціацію між Україною та Європейським Союзом (далі – ЄС) Україна зобов’язується наблизити своє законодавство до законодавства ЄС, у тому числі, й у частині Директиви Ради ЄС </w:t>
      </w:r>
      <w:r w:rsidRPr="00B72821">
        <w:rPr>
          <w:rFonts w:ascii="Times New Roman" w:hAnsi="Times New Roman"/>
          <w:sz w:val="28"/>
          <w:szCs w:val="28"/>
        </w:rPr>
        <w:br/>
        <w:t xml:space="preserve">від </w:t>
      </w:r>
      <w:r w:rsidR="00B72821" w:rsidRPr="00B72821">
        <w:rPr>
          <w:rFonts w:ascii="Times New Roman" w:hAnsi="Times New Roman"/>
          <w:sz w:val="28"/>
          <w:szCs w:val="28"/>
        </w:rPr>
        <w:t xml:space="preserve">28.11.2006 </w:t>
      </w:r>
      <w:r w:rsidRPr="00B72821">
        <w:rPr>
          <w:rFonts w:ascii="Times New Roman" w:hAnsi="Times New Roman"/>
          <w:sz w:val="28"/>
          <w:szCs w:val="28"/>
        </w:rPr>
        <w:t>№ 2006/112/</w:t>
      </w:r>
      <w:proofErr w:type="spellStart"/>
      <w:r w:rsidRPr="00B72821">
        <w:rPr>
          <w:rFonts w:ascii="Times New Roman" w:hAnsi="Times New Roman"/>
          <w:sz w:val="28"/>
          <w:szCs w:val="28"/>
        </w:rPr>
        <w:t>ЄСпро</w:t>
      </w:r>
      <w:proofErr w:type="spellEnd"/>
      <w:r w:rsidRPr="00B72821">
        <w:rPr>
          <w:rFonts w:ascii="Times New Roman" w:hAnsi="Times New Roman"/>
          <w:sz w:val="28"/>
          <w:szCs w:val="28"/>
        </w:rPr>
        <w:t xml:space="preserve"> спільну систему податку на додану вартість (Додаток XXVIII до</w:t>
      </w:r>
      <w:r w:rsidRPr="00DC3714">
        <w:rPr>
          <w:rFonts w:ascii="Times New Roman" w:hAnsi="Times New Roman"/>
          <w:sz w:val="28"/>
          <w:szCs w:val="28"/>
        </w:rPr>
        <w:t xml:space="preserve"> Глави 4 «Оподаткування» Розділу V «економічне і галузеве співробітництво» Угоди). Водночас згідно із ч. 2 ст. 98 вказаної Директиви «знижені ставки застосовуються лише до поставки товарів або </w:t>
      </w:r>
      <w:r w:rsidRPr="00B72821">
        <w:rPr>
          <w:rFonts w:ascii="Times New Roman" w:hAnsi="Times New Roman"/>
          <w:sz w:val="28"/>
          <w:szCs w:val="28"/>
        </w:rPr>
        <w:t>послуг за категоріями, визначеними в Додатку III», до яких вказані у проекті товарні позиції не належать.</w:t>
      </w:r>
      <w:r w:rsidRPr="00DC3714">
        <w:rPr>
          <w:rFonts w:ascii="Times New Roman" w:hAnsi="Times New Roman"/>
          <w:sz w:val="28"/>
          <w:szCs w:val="28"/>
        </w:rPr>
        <w:t xml:space="preserve"> </w:t>
      </w:r>
    </w:p>
    <w:p w:rsidR="00DC3714" w:rsidRPr="00DC3714" w:rsidRDefault="00DC3714" w:rsidP="00B72821">
      <w:pPr>
        <w:spacing w:after="0" w:line="240" w:lineRule="auto"/>
        <w:ind w:firstLine="708"/>
        <w:jc w:val="both"/>
        <w:rPr>
          <w:rFonts w:ascii="Times New Roman" w:hAnsi="Times New Roman"/>
          <w:sz w:val="28"/>
          <w:szCs w:val="28"/>
        </w:rPr>
      </w:pPr>
      <w:r>
        <w:rPr>
          <w:rFonts w:ascii="Times New Roman" w:hAnsi="Times New Roman"/>
          <w:sz w:val="28"/>
          <w:szCs w:val="28"/>
        </w:rPr>
        <w:t>Зауважимо також, що у супровідних до проекту документах відсутнє належне обґрунтування як пропонованого розміру зниженої ставки податку на додану вартість, так і переліку товарів, щодо операцій з якими встановлюється така ставка.</w:t>
      </w:r>
    </w:p>
    <w:p w:rsidR="00915FB4" w:rsidRPr="00B72821" w:rsidRDefault="0095367E" w:rsidP="00B72821">
      <w:pPr>
        <w:pStyle w:val="a7"/>
        <w:numPr>
          <w:ilvl w:val="0"/>
          <w:numId w:val="3"/>
        </w:numPr>
        <w:tabs>
          <w:tab w:val="left" w:pos="993"/>
        </w:tabs>
        <w:spacing w:after="0" w:line="240" w:lineRule="auto"/>
        <w:ind w:left="0" w:firstLine="708"/>
        <w:jc w:val="both"/>
        <w:rPr>
          <w:rFonts w:ascii="Times New Roman" w:hAnsi="Times New Roman"/>
          <w:sz w:val="28"/>
          <w:szCs w:val="28"/>
        </w:rPr>
      </w:pPr>
      <w:r w:rsidRPr="00B72821">
        <w:rPr>
          <w:rFonts w:ascii="Times New Roman" w:hAnsi="Times New Roman"/>
          <w:sz w:val="28"/>
          <w:szCs w:val="28"/>
        </w:rPr>
        <w:t xml:space="preserve">Відповідно до нових </w:t>
      </w:r>
      <w:proofErr w:type="spellStart"/>
      <w:r w:rsidRPr="00B72821">
        <w:rPr>
          <w:rFonts w:ascii="Times New Roman" w:hAnsi="Times New Roman"/>
          <w:sz w:val="28"/>
          <w:szCs w:val="28"/>
        </w:rPr>
        <w:t>п.п</w:t>
      </w:r>
      <w:proofErr w:type="spellEnd"/>
      <w:r w:rsidRPr="00B72821">
        <w:rPr>
          <w:rFonts w:ascii="Times New Roman" w:hAnsi="Times New Roman"/>
          <w:sz w:val="28"/>
          <w:szCs w:val="28"/>
        </w:rPr>
        <w:t xml:space="preserve">. </w:t>
      </w:r>
      <w:r w:rsidR="00915FB4" w:rsidRPr="00B72821">
        <w:rPr>
          <w:rFonts w:ascii="Times New Roman" w:hAnsi="Times New Roman"/>
          <w:sz w:val="28"/>
          <w:szCs w:val="28"/>
        </w:rPr>
        <w:t>52</w:t>
      </w:r>
      <w:r w:rsidR="00915FB4" w:rsidRPr="00B72821">
        <w:rPr>
          <w:rFonts w:ascii="Times New Roman" w:hAnsi="Times New Roman"/>
          <w:sz w:val="28"/>
          <w:szCs w:val="28"/>
          <w:vertAlign w:val="superscript"/>
        </w:rPr>
        <w:t>9</w:t>
      </w:r>
      <w:r w:rsidR="00915FB4" w:rsidRPr="00B72821">
        <w:rPr>
          <w:rFonts w:ascii="Times New Roman" w:hAnsi="Times New Roman"/>
          <w:sz w:val="28"/>
          <w:szCs w:val="28"/>
        </w:rPr>
        <w:t>, 52</w:t>
      </w:r>
      <w:r w:rsidR="00915FB4" w:rsidRPr="00B72821">
        <w:rPr>
          <w:rFonts w:ascii="Times New Roman" w:hAnsi="Times New Roman"/>
          <w:sz w:val="28"/>
          <w:szCs w:val="28"/>
          <w:vertAlign w:val="superscript"/>
        </w:rPr>
        <w:t>10</w:t>
      </w:r>
      <w:r w:rsidR="00915FB4" w:rsidRPr="00B72821">
        <w:rPr>
          <w:rFonts w:ascii="Times New Roman" w:hAnsi="Times New Roman"/>
          <w:sz w:val="28"/>
          <w:szCs w:val="28"/>
        </w:rPr>
        <w:t xml:space="preserve"> підрозділу 10 розділу XX ПК пропонується встановити деякі пільги із податку на майно. </w:t>
      </w:r>
    </w:p>
    <w:p w:rsidR="00605180" w:rsidRPr="00102713" w:rsidRDefault="00915FB4" w:rsidP="00B72821">
      <w:pPr>
        <w:tabs>
          <w:tab w:val="left" w:pos="851"/>
        </w:tabs>
        <w:spacing w:after="0" w:line="240" w:lineRule="auto"/>
        <w:ind w:firstLine="708"/>
        <w:jc w:val="both"/>
        <w:rPr>
          <w:rFonts w:ascii="Times New Roman" w:hAnsi="Times New Roman"/>
          <w:sz w:val="28"/>
          <w:szCs w:val="28"/>
        </w:rPr>
      </w:pPr>
      <w:r w:rsidRPr="00B72821">
        <w:rPr>
          <w:rFonts w:ascii="Times New Roman" w:hAnsi="Times New Roman"/>
          <w:sz w:val="28"/>
          <w:szCs w:val="28"/>
        </w:rPr>
        <w:t>Насамперед</w:t>
      </w:r>
      <w:r w:rsidR="004639B1" w:rsidRPr="00B72821">
        <w:rPr>
          <w:rFonts w:ascii="Times New Roman" w:hAnsi="Times New Roman"/>
          <w:sz w:val="28"/>
          <w:szCs w:val="28"/>
        </w:rPr>
        <w:t>,</w:t>
      </w:r>
      <w:r w:rsidRPr="00B72821">
        <w:rPr>
          <w:rFonts w:ascii="Times New Roman" w:hAnsi="Times New Roman"/>
          <w:sz w:val="28"/>
          <w:szCs w:val="28"/>
        </w:rPr>
        <w:t xml:space="preserve"> зауважимо, що надання державою вказаних податкових пільг призведе до зменшення надходжень місцевих бюджетів, що передбачатиме надання додаткової дотації на компенсацію втрат їх доходів відповідно до вимог ст</w:t>
      </w:r>
      <w:r w:rsidRPr="00102713">
        <w:rPr>
          <w:rFonts w:ascii="Times New Roman" w:hAnsi="Times New Roman"/>
          <w:sz w:val="28"/>
          <w:szCs w:val="28"/>
        </w:rPr>
        <w:t>. 103 Бюджетного кодексу України</w:t>
      </w:r>
      <w:r w:rsidR="00751725" w:rsidRPr="00102713">
        <w:rPr>
          <w:rFonts w:ascii="Times New Roman" w:hAnsi="Times New Roman"/>
          <w:sz w:val="28"/>
          <w:szCs w:val="28"/>
        </w:rPr>
        <w:t>.</w:t>
      </w:r>
    </w:p>
    <w:p w:rsidR="00915FB4" w:rsidRDefault="00915FB4" w:rsidP="00B72821">
      <w:pPr>
        <w:tabs>
          <w:tab w:val="left" w:pos="851"/>
        </w:tabs>
        <w:spacing w:after="0" w:line="240" w:lineRule="auto"/>
        <w:ind w:firstLine="708"/>
        <w:jc w:val="both"/>
        <w:rPr>
          <w:rFonts w:ascii="Times New Roman" w:hAnsi="Times New Roman"/>
          <w:sz w:val="28"/>
          <w:szCs w:val="28"/>
        </w:rPr>
      </w:pPr>
      <w:r w:rsidRPr="00102713">
        <w:rPr>
          <w:rFonts w:ascii="Times New Roman" w:hAnsi="Times New Roman"/>
          <w:sz w:val="28"/>
          <w:szCs w:val="28"/>
        </w:rPr>
        <w:t xml:space="preserve">Крім того, у супровідних документах відсутнє обґрунтування </w:t>
      </w:r>
      <w:r w:rsidR="00287D56">
        <w:rPr>
          <w:rFonts w:ascii="Times New Roman" w:hAnsi="Times New Roman"/>
          <w:sz w:val="28"/>
          <w:szCs w:val="28"/>
        </w:rPr>
        <w:t xml:space="preserve">видів </w:t>
      </w:r>
      <w:r w:rsidRPr="00102713">
        <w:rPr>
          <w:rFonts w:ascii="Times New Roman" w:hAnsi="Times New Roman"/>
          <w:sz w:val="28"/>
          <w:szCs w:val="28"/>
        </w:rPr>
        <w:t>об’єктів нерухомості</w:t>
      </w:r>
      <w:r w:rsidR="00287D56">
        <w:rPr>
          <w:rFonts w:ascii="Times New Roman" w:hAnsi="Times New Roman"/>
          <w:sz w:val="28"/>
          <w:szCs w:val="28"/>
        </w:rPr>
        <w:t>,</w:t>
      </w:r>
      <w:r w:rsidRPr="00102713">
        <w:rPr>
          <w:rFonts w:ascii="Times New Roman" w:hAnsi="Times New Roman"/>
          <w:sz w:val="28"/>
          <w:szCs w:val="28"/>
        </w:rPr>
        <w:t xml:space="preserve"> щодо яких пропонується встановлення податкової преференції. Насамперед</w:t>
      </w:r>
      <w:r w:rsidR="00751725" w:rsidRPr="00102713">
        <w:rPr>
          <w:rFonts w:ascii="Times New Roman" w:hAnsi="Times New Roman"/>
          <w:sz w:val="28"/>
          <w:szCs w:val="28"/>
        </w:rPr>
        <w:t>,</w:t>
      </w:r>
      <w:r w:rsidRPr="00102713">
        <w:rPr>
          <w:rFonts w:ascii="Times New Roman" w:hAnsi="Times New Roman"/>
          <w:sz w:val="28"/>
          <w:szCs w:val="28"/>
        </w:rPr>
        <w:t xml:space="preserve"> це стосується  земельного податку та орендної плати за земельні ділянки державної та комунальної власності</w:t>
      </w:r>
      <w:r w:rsidR="00751725" w:rsidRPr="00102713">
        <w:rPr>
          <w:rFonts w:ascii="Times New Roman" w:hAnsi="Times New Roman"/>
          <w:sz w:val="28"/>
          <w:szCs w:val="28"/>
        </w:rPr>
        <w:t>.</w:t>
      </w:r>
    </w:p>
    <w:p w:rsidR="00A42598" w:rsidRPr="00B72821" w:rsidRDefault="00287D56" w:rsidP="00B72821">
      <w:pPr>
        <w:tabs>
          <w:tab w:val="left" w:pos="851"/>
        </w:tabs>
        <w:spacing w:after="0" w:line="240" w:lineRule="auto"/>
        <w:ind w:firstLine="708"/>
        <w:jc w:val="both"/>
        <w:rPr>
          <w:rFonts w:ascii="Times New Roman" w:eastAsia="Times New Roman" w:hAnsi="Times New Roman"/>
          <w:sz w:val="28"/>
          <w:szCs w:val="28"/>
          <w:lang w:eastAsia="uk-UA"/>
        </w:rPr>
      </w:pPr>
      <w:r>
        <w:rPr>
          <w:rFonts w:ascii="Times New Roman" w:hAnsi="Times New Roman"/>
          <w:sz w:val="28"/>
          <w:szCs w:val="28"/>
        </w:rPr>
        <w:t xml:space="preserve">Зауважимо також, що в </w:t>
      </w:r>
      <w:proofErr w:type="spellStart"/>
      <w:r>
        <w:rPr>
          <w:rFonts w:ascii="Times New Roman" w:hAnsi="Times New Roman"/>
          <w:sz w:val="28"/>
          <w:szCs w:val="28"/>
        </w:rPr>
        <w:t>абз</w:t>
      </w:r>
      <w:proofErr w:type="spellEnd"/>
      <w:r>
        <w:rPr>
          <w:rFonts w:ascii="Times New Roman" w:hAnsi="Times New Roman"/>
          <w:sz w:val="28"/>
          <w:szCs w:val="28"/>
        </w:rPr>
        <w:t xml:space="preserve">. 2 нового п. </w:t>
      </w:r>
      <w:r w:rsidRPr="00102713">
        <w:rPr>
          <w:rFonts w:ascii="Times New Roman" w:hAnsi="Times New Roman"/>
          <w:sz w:val="28"/>
          <w:szCs w:val="28"/>
        </w:rPr>
        <w:t>52</w:t>
      </w:r>
      <w:r w:rsidRPr="00102713">
        <w:rPr>
          <w:rFonts w:ascii="Times New Roman" w:hAnsi="Times New Roman"/>
          <w:sz w:val="28"/>
          <w:szCs w:val="28"/>
          <w:vertAlign w:val="superscript"/>
        </w:rPr>
        <w:t>10</w:t>
      </w:r>
      <w:r w:rsidRPr="00102713">
        <w:rPr>
          <w:rFonts w:ascii="Times New Roman" w:hAnsi="Times New Roman"/>
          <w:sz w:val="28"/>
          <w:szCs w:val="28"/>
        </w:rPr>
        <w:t xml:space="preserve"> підрозділу 10 розділу XX ПК</w:t>
      </w:r>
      <w:r>
        <w:rPr>
          <w:rFonts w:ascii="Times New Roman" w:hAnsi="Times New Roman"/>
          <w:sz w:val="28"/>
          <w:szCs w:val="28"/>
        </w:rPr>
        <w:t xml:space="preserve"> мова, вочевидь, має йти про </w:t>
      </w:r>
      <w:r w:rsidRPr="009818B8">
        <w:rPr>
          <w:rFonts w:ascii="Times New Roman" w:eastAsia="Times New Roman" w:hAnsi="Times New Roman"/>
          <w:sz w:val="28"/>
          <w:szCs w:val="28"/>
          <w:lang w:eastAsia="uk-UA"/>
        </w:rPr>
        <w:t>відобра</w:t>
      </w:r>
      <w:r>
        <w:rPr>
          <w:rFonts w:ascii="Times New Roman" w:eastAsia="Times New Roman" w:hAnsi="Times New Roman"/>
          <w:sz w:val="28"/>
          <w:szCs w:val="28"/>
          <w:lang w:eastAsia="uk-UA"/>
        </w:rPr>
        <w:t xml:space="preserve">ження </w:t>
      </w:r>
      <w:r w:rsidRPr="009818B8">
        <w:rPr>
          <w:rFonts w:ascii="Times New Roman" w:eastAsia="Times New Roman" w:hAnsi="Times New Roman"/>
          <w:sz w:val="28"/>
          <w:szCs w:val="28"/>
          <w:lang w:eastAsia="uk-UA"/>
        </w:rPr>
        <w:t xml:space="preserve">зміни податкового зобов’язання </w:t>
      </w:r>
      <w:r w:rsidR="004639B1" w:rsidRPr="00B72821">
        <w:rPr>
          <w:rFonts w:ascii="Times New Roman" w:eastAsia="Times New Roman" w:hAnsi="Times New Roman"/>
          <w:sz w:val="28"/>
          <w:szCs w:val="28"/>
          <w:lang w:eastAsia="uk-UA"/>
        </w:rPr>
        <w:t>зі</w:t>
      </w:r>
      <w:r w:rsidRPr="00B72821">
        <w:rPr>
          <w:rFonts w:ascii="Times New Roman" w:eastAsia="Times New Roman" w:hAnsi="Times New Roman"/>
          <w:sz w:val="28"/>
          <w:szCs w:val="28"/>
          <w:lang w:eastAsia="uk-UA"/>
        </w:rPr>
        <w:t xml:space="preserve"> сплати податку на нерухоме майно, відмінне від земельної ділянки, </w:t>
      </w:r>
      <w:r w:rsidR="00A42598" w:rsidRPr="00B72821">
        <w:rPr>
          <w:rFonts w:ascii="Times New Roman" w:eastAsia="Times New Roman" w:hAnsi="Times New Roman"/>
          <w:sz w:val="28"/>
          <w:szCs w:val="28"/>
          <w:lang w:eastAsia="uk-UA"/>
        </w:rPr>
        <w:t xml:space="preserve">за відповідні місяці, а не </w:t>
      </w:r>
      <w:r w:rsidRPr="00B72821">
        <w:rPr>
          <w:rFonts w:ascii="Times New Roman" w:eastAsia="Times New Roman" w:hAnsi="Times New Roman"/>
          <w:sz w:val="28"/>
          <w:szCs w:val="28"/>
          <w:lang w:eastAsia="uk-UA"/>
        </w:rPr>
        <w:t>плати за землю</w:t>
      </w:r>
      <w:r w:rsidR="00A42598" w:rsidRPr="00B72821">
        <w:rPr>
          <w:rFonts w:ascii="Times New Roman" w:eastAsia="Times New Roman" w:hAnsi="Times New Roman"/>
          <w:sz w:val="28"/>
          <w:szCs w:val="28"/>
          <w:lang w:eastAsia="uk-UA"/>
        </w:rPr>
        <w:t>, оскільки предмет даного пункту стосується саме податку на нерухоме майно, відмінне від земельної ділянки.</w:t>
      </w:r>
    </w:p>
    <w:p w:rsidR="00DE32BB" w:rsidRPr="00B72821" w:rsidRDefault="00DE32BB" w:rsidP="00B72821">
      <w:pPr>
        <w:pStyle w:val="a7"/>
        <w:numPr>
          <w:ilvl w:val="0"/>
          <w:numId w:val="3"/>
        </w:numPr>
        <w:spacing w:line="252" w:lineRule="auto"/>
        <w:ind w:left="0" w:firstLine="708"/>
        <w:jc w:val="both"/>
        <w:rPr>
          <w:rFonts w:ascii="Times New Roman" w:hAnsi="Times New Roman"/>
          <w:sz w:val="28"/>
          <w:szCs w:val="28"/>
        </w:rPr>
      </w:pPr>
      <w:r w:rsidRPr="00B72821">
        <w:rPr>
          <w:rFonts w:ascii="Times New Roman" w:hAnsi="Times New Roman"/>
          <w:sz w:val="28"/>
          <w:szCs w:val="28"/>
        </w:rPr>
        <w:t xml:space="preserve">З приводу пропонованих змін до Закону України «Про державне регулювання виробництва і обігу спирту етилового, коньячного і плодового, алкогольних напоїв та тютюнових виробів та пального», які відповідно до п. 1 розділу ІІ проекту набирають чинності 01.01.2021, зауважимо, що до низки </w:t>
      </w:r>
      <w:r w:rsidRPr="00B72821">
        <w:rPr>
          <w:rFonts w:ascii="Times New Roman" w:hAnsi="Times New Roman"/>
          <w:sz w:val="28"/>
          <w:szCs w:val="28"/>
        </w:rPr>
        <w:lastRenderedPageBreak/>
        <w:t xml:space="preserve">положень даного Закону, у тому числі, тих, до яких пропонуються зміни проектом, вже внесені відповідні зміни Законом України «Про внесення змін до деяких законів України щодо вдосконалення адміністрування податків, усунення технічних та логічних неузгодженостей у податковому законодавстві» від </w:t>
      </w:r>
      <w:r w:rsidRPr="00B72821">
        <w:rPr>
          <w:rStyle w:val="rvts44"/>
          <w:rFonts w:ascii="Times New Roman" w:hAnsi="Times New Roman"/>
          <w:sz w:val="28"/>
          <w:szCs w:val="28"/>
        </w:rPr>
        <w:t xml:space="preserve">16.01.2020 № 465-ІХ, які також </w:t>
      </w:r>
      <w:r w:rsidRPr="00B72821">
        <w:rPr>
          <w:rFonts w:ascii="Times New Roman" w:hAnsi="Times New Roman"/>
          <w:sz w:val="28"/>
          <w:szCs w:val="28"/>
        </w:rPr>
        <w:t xml:space="preserve">набирають чинності 01.01.2021. </w:t>
      </w:r>
    </w:p>
    <w:p w:rsidR="00065C45" w:rsidRPr="00B72821" w:rsidRDefault="00605180" w:rsidP="00B72821">
      <w:pPr>
        <w:pStyle w:val="a7"/>
        <w:numPr>
          <w:ilvl w:val="0"/>
          <w:numId w:val="3"/>
        </w:numPr>
        <w:tabs>
          <w:tab w:val="left" w:pos="993"/>
        </w:tabs>
        <w:spacing w:after="0" w:line="240" w:lineRule="auto"/>
        <w:ind w:left="0" w:firstLine="708"/>
        <w:jc w:val="both"/>
        <w:rPr>
          <w:rFonts w:ascii="Times New Roman" w:hAnsi="Times New Roman"/>
          <w:sz w:val="28"/>
          <w:szCs w:val="28"/>
        </w:rPr>
      </w:pPr>
      <w:r w:rsidRPr="00B72821">
        <w:rPr>
          <w:rFonts w:ascii="Times New Roman" w:hAnsi="Times New Roman"/>
          <w:sz w:val="28"/>
          <w:szCs w:val="28"/>
        </w:rPr>
        <w:t>Пр</w:t>
      </w:r>
      <w:r w:rsidRPr="00102713">
        <w:rPr>
          <w:rFonts w:ascii="Times New Roman" w:hAnsi="Times New Roman"/>
          <w:sz w:val="28"/>
          <w:szCs w:val="28"/>
        </w:rPr>
        <w:t xml:space="preserve">ийняття проекту може призвести до зменшення </w:t>
      </w:r>
      <w:r w:rsidR="00E53FC4">
        <w:rPr>
          <w:rFonts w:ascii="Times New Roman" w:hAnsi="Times New Roman"/>
          <w:sz w:val="28"/>
          <w:szCs w:val="28"/>
        </w:rPr>
        <w:t xml:space="preserve">бюджетних </w:t>
      </w:r>
      <w:r w:rsidRPr="00102713">
        <w:rPr>
          <w:rFonts w:ascii="Times New Roman" w:hAnsi="Times New Roman"/>
          <w:sz w:val="28"/>
          <w:szCs w:val="28"/>
        </w:rPr>
        <w:t>надходжень</w:t>
      </w:r>
      <w:r w:rsidR="00E53FC4">
        <w:rPr>
          <w:rFonts w:ascii="Times New Roman" w:hAnsi="Times New Roman"/>
          <w:sz w:val="28"/>
          <w:szCs w:val="28"/>
        </w:rPr>
        <w:t>. Водночас д</w:t>
      </w:r>
      <w:r w:rsidRPr="00102713">
        <w:rPr>
          <w:rFonts w:ascii="Times New Roman" w:hAnsi="Times New Roman"/>
          <w:sz w:val="28"/>
          <w:szCs w:val="28"/>
        </w:rPr>
        <w:t>о проекту не надано фінансово-економічне обґрунтування (включаючи відповідні розрахунки) та пропозиції щодо скорочення витрат бюджету та/або джерел додаткових надходжень бюджету для досягнення його збалансовано</w:t>
      </w:r>
      <w:r w:rsidR="005167EA" w:rsidRPr="00102713">
        <w:rPr>
          <w:rFonts w:ascii="Times New Roman" w:hAnsi="Times New Roman"/>
          <w:sz w:val="28"/>
          <w:szCs w:val="28"/>
        </w:rPr>
        <w:t>сті, що зумовлено вимогами ч. 1</w:t>
      </w:r>
      <w:r w:rsidRPr="00102713">
        <w:rPr>
          <w:rFonts w:ascii="Times New Roman" w:hAnsi="Times New Roman"/>
          <w:sz w:val="28"/>
          <w:szCs w:val="28"/>
        </w:rPr>
        <w:t xml:space="preserve"> ст. 27 Бюджетного кодексу Ук</w:t>
      </w:r>
      <w:r w:rsidRPr="00B72821">
        <w:rPr>
          <w:rFonts w:ascii="Times New Roman" w:hAnsi="Times New Roman"/>
          <w:sz w:val="28"/>
          <w:szCs w:val="28"/>
        </w:rPr>
        <w:t>раїни, ч. 3 ст. 91 Регламенту Верховної Ради України.</w:t>
      </w:r>
    </w:p>
    <w:p w:rsidR="0095367E" w:rsidRPr="00102713" w:rsidRDefault="0095367E" w:rsidP="00E53FC4">
      <w:pPr>
        <w:pStyle w:val="a7"/>
        <w:numPr>
          <w:ilvl w:val="0"/>
          <w:numId w:val="3"/>
        </w:numPr>
        <w:tabs>
          <w:tab w:val="left" w:pos="993"/>
        </w:tabs>
        <w:spacing w:after="0" w:line="240" w:lineRule="auto"/>
        <w:ind w:left="0" w:firstLine="709"/>
        <w:jc w:val="both"/>
        <w:rPr>
          <w:rFonts w:ascii="Times New Roman" w:hAnsi="Times New Roman"/>
          <w:sz w:val="28"/>
          <w:szCs w:val="28"/>
        </w:rPr>
      </w:pPr>
      <w:r w:rsidRPr="00B72821">
        <w:rPr>
          <w:rFonts w:ascii="Times New Roman" w:hAnsi="Times New Roman"/>
          <w:sz w:val="28"/>
          <w:szCs w:val="28"/>
        </w:rPr>
        <w:t xml:space="preserve">Оскільки згідно </w:t>
      </w:r>
      <w:r w:rsidR="004639B1" w:rsidRPr="00B72821">
        <w:rPr>
          <w:rFonts w:ascii="Times New Roman" w:hAnsi="Times New Roman"/>
          <w:sz w:val="28"/>
          <w:szCs w:val="28"/>
        </w:rPr>
        <w:t xml:space="preserve">зі </w:t>
      </w:r>
      <w:r w:rsidRPr="00B72821">
        <w:rPr>
          <w:rFonts w:ascii="Times New Roman" w:hAnsi="Times New Roman"/>
          <w:sz w:val="28"/>
          <w:szCs w:val="28"/>
        </w:rPr>
        <w:t>ст. 116 Конституції України Кабінет Міністрів України забезпечує проведення фінансової та податкової політики, для прийняття виваженого рішення</w:t>
      </w:r>
      <w:r w:rsidRPr="00102713">
        <w:rPr>
          <w:rFonts w:ascii="Times New Roman" w:hAnsi="Times New Roman"/>
          <w:sz w:val="28"/>
          <w:szCs w:val="28"/>
        </w:rPr>
        <w:t xml:space="preserve"> щодо внесеного законопроекту доцільно отримати висновок Уряду. </w:t>
      </w:r>
    </w:p>
    <w:p w:rsidR="0019717C" w:rsidRPr="00102713" w:rsidRDefault="0019717C" w:rsidP="00E53FC4">
      <w:pPr>
        <w:spacing w:after="0" w:line="240" w:lineRule="auto"/>
        <w:ind w:firstLine="709"/>
        <w:jc w:val="both"/>
        <w:rPr>
          <w:rFonts w:ascii="Times New Roman" w:eastAsia="Times New Roman" w:hAnsi="Times New Roman"/>
          <w:sz w:val="28"/>
          <w:szCs w:val="28"/>
          <w:lang w:eastAsia="uk-UA"/>
        </w:rPr>
      </w:pPr>
    </w:p>
    <w:p w:rsidR="005167EA" w:rsidRPr="00102713" w:rsidRDefault="005167EA" w:rsidP="00E53FC4">
      <w:pPr>
        <w:spacing w:after="0" w:line="240" w:lineRule="auto"/>
        <w:ind w:firstLine="709"/>
        <w:jc w:val="both"/>
        <w:rPr>
          <w:rFonts w:ascii="Times New Roman" w:eastAsia="Times New Roman" w:hAnsi="Times New Roman"/>
          <w:sz w:val="28"/>
          <w:szCs w:val="28"/>
          <w:lang w:eastAsia="uk-UA"/>
        </w:rPr>
      </w:pPr>
    </w:p>
    <w:p w:rsidR="00B57E3D" w:rsidRPr="00102713" w:rsidRDefault="00B57E3D" w:rsidP="00E53FC4">
      <w:pPr>
        <w:spacing w:after="0" w:line="240" w:lineRule="auto"/>
        <w:ind w:firstLine="709"/>
        <w:jc w:val="both"/>
        <w:rPr>
          <w:rFonts w:ascii="Times New Roman" w:eastAsia="Times New Roman" w:hAnsi="Times New Roman"/>
          <w:sz w:val="28"/>
          <w:szCs w:val="28"/>
          <w:lang w:eastAsia="uk-UA"/>
        </w:rPr>
      </w:pPr>
      <w:r w:rsidRPr="00102713">
        <w:rPr>
          <w:rFonts w:ascii="Times New Roman" w:eastAsia="Times New Roman" w:hAnsi="Times New Roman"/>
          <w:sz w:val="28"/>
          <w:szCs w:val="28"/>
          <w:lang w:eastAsia="uk-UA"/>
        </w:rPr>
        <w:t xml:space="preserve">Керівник Головного управління                                            </w:t>
      </w:r>
      <w:r w:rsidR="00F26091" w:rsidRPr="00102713">
        <w:rPr>
          <w:rFonts w:ascii="Times New Roman" w:eastAsia="Times New Roman" w:hAnsi="Times New Roman"/>
          <w:sz w:val="28"/>
          <w:szCs w:val="28"/>
          <w:lang w:eastAsia="uk-UA"/>
        </w:rPr>
        <w:t>С.</w:t>
      </w:r>
      <w:r w:rsidR="00320819" w:rsidRPr="00102713">
        <w:rPr>
          <w:rFonts w:ascii="Times New Roman" w:eastAsia="Times New Roman" w:hAnsi="Times New Roman"/>
          <w:sz w:val="28"/>
          <w:szCs w:val="28"/>
          <w:lang w:eastAsia="uk-UA"/>
        </w:rPr>
        <w:t xml:space="preserve"> Тихонюк</w:t>
      </w:r>
      <w:r w:rsidRPr="00102713">
        <w:rPr>
          <w:rFonts w:ascii="Times New Roman" w:eastAsia="Times New Roman" w:hAnsi="Times New Roman"/>
          <w:sz w:val="28"/>
          <w:szCs w:val="28"/>
          <w:lang w:eastAsia="uk-UA"/>
        </w:rPr>
        <w:t xml:space="preserve"> </w:t>
      </w:r>
      <w:r w:rsidR="00002B5A" w:rsidRPr="00102713">
        <w:rPr>
          <w:rFonts w:ascii="Times New Roman" w:eastAsia="Times New Roman" w:hAnsi="Times New Roman"/>
          <w:sz w:val="28"/>
          <w:szCs w:val="28"/>
          <w:lang w:eastAsia="uk-UA"/>
        </w:rPr>
        <w:t xml:space="preserve"> </w:t>
      </w:r>
    </w:p>
    <w:p w:rsidR="00B57E3D" w:rsidRPr="00102713" w:rsidRDefault="00B57E3D" w:rsidP="00E53FC4">
      <w:pPr>
        <w:spacing w:after="0" w:line="240" w:lineRule="auto"/>
        <w:ind w:firstLine="708"/>
        <w:jc w:val="both"/>
        <w:rPr>
          <w:rFonts w:ascii="Times New Roman" w:eastAsia="Times New Roman" w:hAnsi="Times New Roman"/>
          <w:sz w:val="28"/>
          <w:szCs w:val="28"/>
          <w:lang w:eastAsia="uk-UA"/>
        </w:rPr>
      </w:pPr>
    </w:p>
    <w:p w:rsidR="0019717C" w:rsidRPr="00102713" w:rsidRDefault="0019717C" w:rsidP="00E53FC4">
      <w:pPr>
        <w:spacing w:after="0" w:line="240" w:lineRule="auto"/>
        <w:ind w:firstLine="708"/>
        <w:jc w:val="both"/>
        <w:rPr>
          <w:rFonts w:ascii="Times New Roman" w:eastAsia="Times New Roman" w:hAnsi="Times New Roman"/>
          <w:sz w:val="28"/>
          <w:szCs w:val="28"/>
          <w:lang w:eastAsia="uk-UA"/>
        </w:rPr>
      </w:pPr>
    </w:p>
    <w:p w:rsidR="00405931" w:rsidRPr="00102713" w:rsidRDefault="00F26091" w:rsidP="00E53FC4">
      <w:pPr>
        <w:spacing w:after="0" w:line="240" w:lineRule="auto"/>
        <w:ind w:firstLine="708"/>
        <w:jc w:val="both"/>
        <w:rPr>
          <w:rFonts w:ascii="Times New Roman" w:eastAsia="Times New Roman" w:hAnsi="Times New Roman"/>
          <w:sz w:val="20"/>
          <w:szCs w:val="20"/>
          <w:lang w:eastAsia="uk-UA"/>
        </w:rPr>
      </w:pPr>
      <w:proofErr w:type="spellStart"/>
      <w:r w:rsidRPr="00102713">
        <w:rPr>
          <w:rFonts w:ascii="Times New Roman" w:eastAsia="Times New Roman" w:hAnsi="Times New Roman"/>
          <w:sz w:val="20"/>
          <w:szCs w:val="20"/>
          <w:lang w:eastAsia="uk-UA"/>
        </w:rPr>
        <w:t>Вик</w:t>
      </w:r>
      <w:proofErr w:type="spellEnd"/>
      <w:r w:rsidRPr="00102713">
        <w:rPr>
          <w:rFonts w:ascii="Times New Roman" w:eastAsia="Times New Roman" w:hAnsi="Times New Roman"/>
          <w:sz w:val="20"/>
          <w:szCs w:val="20"/>
          <w:lang w:eastAsia="uk-UA"/>
        </w:rPr>
        <w:t>.: Є.</w:t>
      </w:r>
      <w:r w:rsidR="00B57E3D" w:rsidRPr="00102713">
        <w:rPr>
          <w:rFonts w:ascii="Times New Roman" w:eastAsia="Times New Roman" w:hAnsi="Times New Roman"/>
          <w:sz w:val="20"/>
          <w:szCs w:val="20"/>
          <w:lang w:eastAsia="uk-UA"/>
        </w:rPr>
        <w:t xml:space="preserve"> Гришко</w:t>
      </w:r>
      <w:r w:rsidR="00405931" w:rsidRPr="00102713">
        <w:rPr>
          <w:rFonts w:ascii="Times New Roman" w:eastAsia="Times New Roman" w:hAnsi="Times New Roman"/>
          <w:sz w:val="20"/>
          <w:szCs w:val="20"/>
          <w:lang w:eastAsia="uk-UA"/>
        </w:rPr>
        <w:t>, І. Крегул</w:t>
      </w:r>
      <w:r w:rsidR="005167EA" w:rsidRPr="00102713">
        <w:rPr>
          <w:rFonts w:ascii="Times New Roman" w:eastAsia="Times New Roman" w:hAnsi="Times New Roman"/>
          <w:sz w:val="20"/>
          <w:szCs w:val="20"/>
          <w:lang w:eastAsia="uk-UA"/>
        </w:rPr>
        <w:t>, О. Олещенко</w:t>
      </w:r>
    </w:p>
    <w:p w:rsidR="00AE4204" w:rsidRPr="00102713" w:rsidRDefault="00AE4204" w:rsidP="00E53FC4">
      <w:pPr>
        <w:spacing w:after="0" w:line="240" w:lineRule="auto"/>
      </w:pPr>
    </w:p>
    <w:sectPr w:rsidR="00AE4204" w:rsidRPr="00102713" w:rsidSect="000F3F8E">
      <w:headerReference w:type="default" r:id="rId8"/>
      <w:headerReference w:type="firs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C0F" w:rsidRDefault="00236C0F" w:rsidP="00B57E3D">
      <w:pPr>
        <w:spacing w:after="0" w:line="240" w:lineRule="auto"/>
      </w:pPr>
      <w:r>
        <w:separator/>
      </w:r>
    </w:p>
  </w:endnote>
  <w:endnote w:type="continuationSeparator" w:id="0">
    <w:p w:rsidR="00236C0F" w:rsidRDefault="00236C0F" w:rsidP="00B5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C0F" w:rsidRDefault="00236C0F" w:rsidP="00B57E3D">
      <w:pPr>
        <w:spacing w:after="0" w:line="240" w:lineRule="auto"/>
      </w:pPr>
      <w:r>
        <w:separator/>
      </w:r>
    </w:p>
  </w:footnote>
  <w:footnote w:type="continuationSeparator" w:id="0">
    <w:p w:rsidR="00236C0F" w:rsidRDefault="00236C0F" w:rsidP="00B5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04" w:rsidRDefault="00CE7652">
    <w:pPr>
      <w:pStyle w:val="a3"/>
      <w:jc w:val="right"/>
    </w:pPr>
    <w:r>
      <w:fldChar w:fldCharType="begin"/>
    </w:r>
    <w:r>
      <w:instrText>PAGE   \* MERGEFORMAT</w:instrText>
    </w:r>
    <w:r>
      <w:fldChar w:fldCharType="separate"/>
    </w:r>
    <w:r w:rsidR="002A4591">
      <w:rPr>
        <w:noProof/>
      </w:rPr>
      <w:t>5</w:t>
    </w:r>
    <w:r>
      <w:rPr>
        <w:noProof/>
      </w:rPr>
      <w:fldChar w:fldCharType="end"/>
    </w:r>
  </w:p>
  <w:p w:rsidR="00AE4204" w:rsidRDefault="00AE42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04" w:rsidRPr="003A4076" w:rsidRDefault="000274FE" w:rsidP="00465F08">
    <w:pPr>
      <w:spacing w:after="0" w:line="240" w:lineRule="auto"/>
      <w:jc w:val="right"/>
      <w:rPr>
        <w:rFonts w:ascii="Times New Roman" w:hAnsi="Times New Roman"/>
        <w:sz w:val="20"/>
        <w:szCs w:val="20"/>
      </w:rPr>
    </w:pPr>
    <w:r>
      <w:rPr>
        <w:lang w:eastAsia="ru-RU"/>
      </w:rPr>
      <w:tab/>
    </w:r>
    <w:r w:rsidRPr="003A4076">
      <w:rPr>
        <w:rFonts w:ascii="Times New Roman" w:hAnsi="Times New Roman"/>
        <w:sz w:val="20"/>
        <w:szCs w:val="20"/>
      </w:rPr>
      <w:t>До</w:t>
    </w:r>
    <w:r w:rsidR="00F26091" w:rsidRPr="003A4076">
      <w:rPr>
        <w:rFonts w:ascii="Times New Roman" w:hAnsi="Times New Roman"/>
        <w:sz w:val="20"/>
        <w:szCs w:val="20"/>
      </w:rPr>
      <w:t xml:space="preserve"> реєстр.</w:t>
    </w:r>
    <w:r w:rsidRPr="003A4076">
      <w:rPr>
        <w:rFonts w:ascii="Times New Roman" w:hAnsi="Times New Roman"/>
        <w:sz w:val="20"/>
        <w:szCs w:val="20"/>
      </w:rPr>
      <w:t xml:space="preserve"> № </w:t>
    </w:r>
    <w:r w:rsidR="00465F08" w:rsidRPr="003A4076">
      <w:rPr>
        <w:rFonts w:ascii="Times New Roman" w:hAnsi="Times New Roman"/>
        <w:sz w:val="20"/>
        <w:szCs w:val="20"/>
      </w:rPr>
      <w:t>3848 від 15.07.2020</w:t>
    </w:r>
  </w:p>
  <w:p w:rsidR="00AE4204" w:rsidRPr="003A4076" w:rsidRDefault="00E60F91" w:rsidP="00465F08">
    <w:pPr>
      <w:spacing w:after="0" w:line="240" w:lineRule="auto"/>
      <w:jc w:val="right"/>
      <w:rPr>
        <w:rFonts w:ascii="Times New Roman" w:hAnsi="Times New Roman"/>
        <w:sz w:val="20"/>
        <w:szCs w:val="20"/>
      </w:rPr>
    </w:pPr>
    <w:r w:rsidRPr="003A4076">
      <w:rPr>
        <w:rFonts w:ascii="Times New Roman" w:hAnsi="Times New Roman"/>
        <w:sz w:val="20"/>
        <w:szCs w:val="20"/>
      </w:rPr>
      <w:t>Народні депутати України</w:t>
    </w:r>
  </w:p>
  <w:p w:rsidR="00E60F91" w:rsidRPr="003A4076" w:rsidRDefault="00E60F91" w:rsidP="00465F08">
    <w:pPr>
      <w:spacing w:after="0" w:line="240" w:lineRule="auto"/>
      <w:jc w:val="right"/>
      <w:rPr>
        <w:rFonts w:ascii="Times New Roman" w:hAnsi="Times New Roman"/>
        <w:sz w:val="20"/>
        <w:szCs w:val="20"/>
      </w:rPr>
    </w:pPr>
    <w:r w:rsidRPr="003A4076">
      <w:rPr>
        <w:rFonts w:ascii="Times New Roman" w:hAnsi="Times New Roman"/>
        <w:sz w:val="20"/>
        <w:szCs w:val="20"/>
      </w:rPr>
      <w:t xml:space="preserve"> </w:t>
    </w:r>
    <w:r w:rsidR="00465F08" w:rsidRPr="003A4076">
      <w:rPr>
        <w:rFonts w:ascii="Times New Roman" w:hAnsi="Times New Roman"/>
        <w:sz w:val="20"/>
        <w:szCs w:val="20"/>
      </w:rPr>
      <w:t>Д. </w:t>
    </w:r>
    <w:proofErr w:type="spellStart"/>
    <w:r w:rsidR="00465F08" w:rsidRPr="003A4076">
      <w:rPr>
        <w:rFonts w:ascii="Times New Roman" w:hAnsi="Times New Roman"/>
        <w:sz w:val="20"/>
        <w:szCs w:val="20"/>
      </w:rPr>
      <w:t>Гетманцев</w:t>
    </w:r>
    <w:proofErr w:type="spellEnd"/>
    <w:r w:rsidR="00465F08" w:rsidRPr="003A4076">
      <w:rPr>
        <w:rFonts w:ascii="Times New Roman" w:hAnsi="Times New Roman"/>
        <w:sz w:val="20"/>
        <w:szCs w:val="20"/>
      </w:rPr>
      <w:t xml:space="preserve"> та інші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CCB"/>
    <w:multiLevelType w:val="hybridMultilevel"/>
    <w:tmpl w:val="09045D54"/>
    <w:lvl w:ilvl="0" w:tplc="D7A4432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A213815"/>
    <w:multiLevelType w:val="hybridMultilevel"/>
    <w:tmpl w:val="6520171E"/>
    <w:lvl w:ilvl="0" w:tplc="4D8EA1E6">
      <w:start w:val="1"/>
      <w:numFmt w:val="decimal"/>
      <w:lvlText w:val="%1."/>
      <w:lvlJc w:val="left"/>
      <w:pPr>
        <w:ind w:left="2062" w:hanging="360"/>
      </w:pPr>
      <w:rPr>
        <w:rFonts w:ascii="Times New Roman" w:hAnsi="Times New Roman" w:cs="Times New Roman" w:hint="default"/>
        <w:b/>
        <w:sz w:val="28"/>
        <w:szCs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0D8B50D7"/>
    <w:multiLevelType w:val="hybridMultilevel"/>
    <w:tmpl w:val="070A4C20"/>
    <w:lvl w:ilvl="0" w:tplc="AA84FB3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6C0548B7"/>
    <w:multiLevelType w:val="hybridMultilevel"/>
    <w:tmpl w:val="0E7AA0E2"/>
    <w:lvl w:ilvl="0" w:tplc="16040688">
      <w:start w:val="7"/>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74"/>
    <w:rsid w:val="00002B5A"/>
    <w:rsid w:val="00002C14"/>
    <w:rsid w:val="0000402D"/>
    <w:rsid w:val="0000639D"/>
    <w:rsid w:val="000274FE"/>
    <w:rsid w:val="0006276D"/>
    <w:rsid w:val="00065C45"/>
    <w:rsid w:val="0008239F"/>
    <w:rsid w:val="00086B10"/>
    <w:rsid w:val="00090E98"/>
    <w:rsid w:val="000F3F8E"/>
    <w:rsid w:val="00100D4D"/>
    <w:rsid w:val="00102713"/>
    <w:rsid w:val="0011551F"/>
    <w:rsid w:val="00133FFE"/>
    <w:rsid w:val="001344A7"/>
    <w:rsid w:val="0014059F"/>
    <w:rsid w:val="00166FF0"/>
    <w:rsid w:val="0019717C"/>
    <w:rsid w:val="001B167B"/>
    <w:rsid w:val="001C5C8F"/>
    <w:rsid w:val="001C77D0"/>
    <w:rsid w:val="001C7E99"/>
    <w:rsid w:val="002036D6"/>
    <w:rsid w:val="00220FA5"/>
    <w:rsid w:val="00236C0F"/>
    <w:rsid w:val="00267A00"/>
    <w:rsid w:val="002735C0"/>
    <w:rsid w:val="0027432B"/>
    <w:rsid w:val="00285D80"/>
    <w:rsid w:val="00287D56"/>
    <w:rsid w:val="002930FA"/>
    <w:rsid w:val="002A4591"/>
    <w:rsid w:val="002A4D45"/>
    <w:rsid w:val="002B2C61"/>
    <w:rsid w:val="002D56D7"/>
    <w:rsid w:val="00320819"/>
    <w:rsid w:val="00323E9C"/>
    <w:rsid w:val="00327619"/>
    <w:rsid w:val="00330D63"/>
    <w:rsid w:val="00347057"/>
    <w:rsid w:val="0037114C"/>
    <w:rsid w:val="00375268"/>
    <w:rsid w:val="00392B83"/>
    <w:rsid w:val="003A4076"/>
    <w:rsid w:val="003B47FC"/>
    <w:rsid w:val="003D1C95"/>
    <w:rsid w:val="003E0EF4"/>
    <w:rsid w:val="003E43FB"/>
    <w:rsid w:val="003F50F1"/>
    <w:rsid w:val="004051A1"/>
    <w:rsid w:val="00405931"/>
    <w:rsid w:val="00405CF4"/>
    <w:rsid w:val="00420EE8"/>
    <w:rsid w:val="004467F0"/>
    <w:rsid w:val="00450A09"/>
    <w:rsid w:val="00452D1A"/>
    <w:rsid w:val="00456E8D"/>
    <w:rsid w:val="004630E4"/>
    <w:rsid w:val="004639B1"/>
    <w:rsid w:val="00465F08"/>
    <w:rsid w:val="004836FE"/>
    <w:rsid w:val="0048539A"/>
    <w:rsid w:val="004F2981"/>
    <w:rsid w:val="004F738B"/>
    <w:rsid w:val="005167EA"/>
    <w:rsid w:val="00536D20"/>
    <w:rsid w:val="00555980"/>
    <w:rsid w:val="005A29DA"/>
    <w:rsid w:val="005A6234"/>
    <w:rsid w:val="005E5010"/>
    <w:rsid w:val="006020BD"/>
    <w:rsid w:val="00605180"/>
    <w:rsid w:val="00606DAE"/>
    <w:rsid w:val="00611C8E"/>
    <w:rsid w:val="0062324E"/>
    <w:rsid w:val="006439B5"/>
    <w:rsid w:val="00653811"/>
    <w:rsid w:val="00672059"/>
    <w:rsid w:val="006766B8"/>
    <w:rsid w:val="006839EB"/>
    <w:rsid w:val="00690D63"/>
    <w:rsid w:val="007274BC"/>
    <w:rsid w:val="00743E75"/>
    <w:rsid w:val="00751725"/>
    <w:rsid w:val="00753B56"/>
    <w:rsid w:val="007A6237"/>
    <w:rsid w:val="007B079A"/>
    <w:rsid w:val="007B1C4F"/>
    <w:rsid w:val="007C3735"/>
    <w:rsid w:val="007D0CCD"/>
    <w:rsid w:val="007D7929"/>
    <w:rsid w:val="007E6EDC"/>
    <w:rsid w:val="007F108C"/>
    <w:rsid w:val="008067B6"/>
    <w:rsid w:val="00821B44"/>
    <w:rsid w:val="008305C4"/>
    <w:rsid w:val="00840E9C"/>
    <w:rsid w:val="008520A4"/>
    <w:rsid w:val="00855343"/>
    <w:rsid w:val="00860715"/>
    <w:rsid w:val="00873A6B"/>
    <w:rsid w:val="00877470"/>
    <w:rsid w:val="008873E9"/>
    <w:rsid w:val="008A3B37"/>
    <w:rsid w:val="008A6852"/>
    <w:rsid w:val="008C442A"/>
    <w:rsid w:val="008C4ECE"/>
    <w:rsid w:val="008D013C"/>
    <w:rsid w:val="008E7209"/>
    <w:rsid w:val="0090241E"/>
    <w:rsid w:val="00905C50"/>
    <w:rsid w:val="00915FB4"/>
    <w:rsid w:val="00947C74"/>
    <w:rsid w:val="009501C7"/>
    <w:rsid w:val="00952C0E"/>
    <w:rsid w:val="0095367E"/>
    <w:rsid w:val="00965B74"/>
    <w:rsid w:val="00974251"/>
    <w:rsid w:val="009B685D"/>
    <w:rsid w:val="009E2782"/>
    <w:rsid w:val="00A124DB"/>
    <w:rsid w:val="00A42598"/>
    <w:rsid w:val="00A87332"/>
    <w:rsid w:val="00A905E9"/>
    <w:rsid w:val="00AA65F0"/>
    <w:rsid w:val="00AC3054"/>
    <w:rsid w:val="00AD6C46"/>
    <w:rsid w:val="00AD79F6"/>
    <w:rsid w:val="00AE4204"/>
    <w:rsid w:val="00B054FE"/>
    <w:rsid w:val="00B31538"/>
    <w:rsid w:val="00B409E3"/>
    <w:rsid w:val="00B57E3D"/>
    <w:rsid w:val="00B72821"/>
    <w:rsid w:val="00B8263F"/>
    <w:rsid w:val="00B85B34"/>
    <w:rsid w:val="00B969C5"/>
    <w:rsid w:val="00C17F41"/>
    <w:rsid w:val="00C33CFC"/>
    <w:rsid w:val="00C3493F"/>
    <w:rsid w:val="00C64B3A"/>
    <w:rsid w:val="00C66512"/>
    <w:rsid w:val="00CB366B"/>
    <w:rsid w:val="00CE04C9"/>
    <w:rsid w:val="00CE38BE"/>
    <w:rsid w:val="00CE7652"/>
    <w:rsid w:val="00D2740C"/>
    <w:rsid w:val="00D4420F"/>
    <w:rsid w:val="00D5672B"/>
    <w:rsid w:val="00D7070E"/>
    <w:rsid w:val="00D86324"/>
    <w:rsid w:val="00DA7916"/>
    <w:rsid w:val="00DC030B"/>
    <w:rsid w:val="00DC3714"/>
    <w:rsid w:val="00DC4444"/>
    <w:rsid w:val="00DD3EB8"/>
    <w:rsid w:val="00DE32BB"/>
    <w:rsid w:val="00DF5BD1"/>
    <w:rsid w:val="00E02C86"/>
    <w:rsid w:val="00E14078"/>
    <w:rsid w:val="00E14A31"/>
    <w:rsid w:val="00E23F94"/>
    <w:rsid w:val="00E27304"/>
    <w:rsid w:val="00E3041E"/>
    <w:rsid w:val="00E37A25"/>
    <w:rsid w:val="00E53FC4"/>
    <w:rsid w:val="00E60F91"/>
    <w:rsid w:val="00E64674"/>
    <w:rsid w:val="00E76383"/>
    <w:rsid w:val="00E935C1"/>
    <w:rsid w:val="00F17915"/>
    <w:rsid w:val="00F206B0"/>
    <w:rsid w:val="00F26091"/>
    <w:rsid w:val="00F3692D"/>
    <w:rsid w:val="00F50F07"/>
    <w:rsid w:val="00F81482"/>
    <w:rsid w:val="00FA51CB"/>
    <w:rsid w:val="00FB57BD"/>
    <w:rsid w:val="00FD2EC7"/>
    <w:rsid w:val="00FD387F"/>
    <w:rsid w:val="00FF04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E3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E3D"/>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rsid w:val="00B57E3D"/>
    <w:rPr>
      <w:rFonts w:ascii="Calibri" w:eastAsia="Calibri" w:hAnsi="Calibri" w:cs="Times New Roman"/>
    </w:rPr>
  </w:style>
  <w:style w:type="paragraph" w:styleId="a5">
    <w:name w:val="footer"/>
    <w:basedOn w:val="a"/>
    <w:link w:val="a6"/>
    <w:uiPriority w:val="99"/>
    <w:unhideWhenUsed/>
    <w:rsid w:val="00B57E3D"/>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rsid w:val="00B57E3D"/>
    <w:rPr>
      <w:rFonts w:ascii="Calibri" w:eastAsia="Calibri" w:hAnsi="Calibri" w:cs="Times New Roman"/>
    </w:rPr>
  </w:style>
  <w:style w:type="paragraph" w:styleId="a7">
    <w:name w:val="List Paragraph"/>
    <w:basedOn w:val="a"/>
    <w:uiPriority w:val="34"/>
    <w:qFormat/>
    <w:rsid w:val="008C4ECE"/>
    <w:pPr>
      <w:ind w:left="720"/>
      <w:contextualSpacing/>
    </w:pPr>
  </w:style>
  <w:style w:type="character" w:customStyle="1" w:styleId="rvts0">
    <w:name w:val="rvts0"/>
    <w:rsid w:val="0014059F"/>
  </w:style>
  <w:style w:type="paragraph" w:styleId="a8">
    <w:name w:val="Balloon Text"/>
    <w:basedOn w:val="a"/>
    <w:link w:val="a9"/>
    <w:uiPriority w:val="99"/>
    <w:semiHidden/>
    <w:unhideWhenUsed/>
    <w:rsid w:val="004F2981"/>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4F2981"/>
    <w:rPr>
      <w:rFonts w:ascii="Segoe UI" w:hAnsi="Segoe UI" w:cs="Segoe UI"/>
      <w:sz w:val="18"/>
      <w:szCs w:val="18"/>
      <w:lang w:eastAsia="en-US"/>
    </w:rPr>
  </w:style>
  <w:style w:type="paragraph" w:styleId="HTML">
    <w:name w:val="HTML Preformatted"/>
    <w:basedOn w:val="a"/>
    <w:link w:val="HTML0"/>
    <w:uiPriority w:val="99"/>
    <w:semiHidden/>
    <w:unhideWhenUsed/>
    <w:rsid w:val="00821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821B44"/>
    <w:rPr>
      <w:rFonts w:ascii="Courier New" w:eastAsia="Times New Roman" w:hAnsi="Courier New" w:cs="Courier New"/>
    </w:rPr>
  </w:style>
  <w:style w:type="character" w:customStyle="1" w:styleId="rvts44">
    <w:name w:val="rvts44"/>
    <w:basedOn w:val="a0"/>
    <w:rsid w:val="00DE3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13296">
      <w:bodyDiv w:val="1"/>
      <w:marLeft w:val="0"/>
      <w:marRight w:val="0"/>
      <w:marTop w:val="0"/>
      <w:marBottom w:val="0"/>
      <w:divBdr>
        <w:top w:val="none" w:sz="0" w:space="0" w:color="auto"/>
        <w:left w:val="none" w:sz="0" w:space="0" w:color="auto"/>
        <w:bottom w:val="none" w:sz="0" w:space="0" w:color="auto"/>
        <w:right w:val="none" w:sz="0" w:space="0" w:color="auto"/>
      </w:divBdr>
    </w:div>
    <w:div w:id="1159729726">
      <w:bodyDiv w:val="1"/>
      <w:marLeft w:val="0"/>
      <w:marRight w:val="0"/>
      <w:marTop w:val="0"/>
      <w:marBottom w:val="0"/>
      <w:divBdr>
        <w:top w:val="none" w:sz="0" w:space="0" w:color="auto"/>
        <w:left w:val="none" w:sz="0" w:space="0" w:color="auto"/>
        <w:bottom w:val="none" w:sz="0" w:space="0" w:color="auto"/>
        <w:right w:val="none" w:sz="0" w:space="0" w:color="auto"/>
      </w:divBdr>
      <w:divsChild>
        <w:div w:id="732197055">
          <w:marLeft w:val="0"/>
          <w:marRight w:val="0"/>
          <w:marTop w:val="0"/>
          <w:marBottom w:val="0"/>
          <w:divBdr>
            <w:top w:val="none" w:sz="0" w:space="0" w:color="auto"/>
            <w:left w:val="none" w:sz="0" w:space="0" w:color="auto"/>
            <w:bottom w:val="none" w:sz="0" w:space="0" w:color="auto"/>
            <w:right w:val="none" w:sz="0" w:space="0" w:color="auto"/>
          </w:divBdr>
        </w:div>
        <w:div w:id="1791781276">
          <w:marLeft w:val="0"/>
          <w:marRight w:val="0"/>
          <w:marTop w:val="0"/>
          <w:marBottom w:val="0"/>
          <w:divBdr>
            <w:top w:val="none" w:sz="0" w:space="0" w:color="auto"/>
            <w:left w:val="none" w:sz="0" w:space="0" w:color="auto"/>
            <w:bottom w:val="none" w:sz="0" w:space="0" w:color="auto"/>
            <w:right w:val="none" w:sz="0" w:space="0" w:color="auto"/>
          </w:divBdr>
        </w:div>
        <w:div w:id="511575342">
          <w:marLeft w:val="0"/>
          <w:marRight w:val="0"/>
          <w:marTop w:val="0"/>
          <w:marBottom w:val="0"/>
          <w:divBdr>
            <w:top w:val="none" w:sz="0" w:space="0" w:color="auto"/>
            <w:left w:val="none" w:sz="0" w:space="0" w:color="auto"/>
            <w:bottom w:val="none" w:sz="0" w:space="0" w:color="auto"/>
            <w:right w:val="none" w:sz="0" w:space="0" w:color="auto"/>
          </w:divBdr>
        </w:div>
        <w:div w:id="943419241">
          <w:marLeft w:val="0"/>
          <w:marRight w:val="0"/>
          <w:marTop w:val="0"/>
          <w:marBottom w:val="0"/>
          <w:divBdr>
            <w:top w:val="none" w:sz="0" w:space="0" w:color="auto"/>
            <w:left w:val="none" w:sz="0" w:space="0" w:color="auto"/>
            <w:bottom w:val="none" w:sz="0" w:space="0" w:color="auto"/>
            <w:right w:val="none" w:sz="0" w:space="0" w:color="auto"/>
          </w:divBdr>
        </w:div>
      </w:divsChild>
    </w:div>
    <w:div w:id="1540704814">
      <w:bodyDiv w:val="1"/>
      <w:marLeft w:val="0"/>
      <w:marRight w:val="0"/>
      <w:marTop w:val="0"/>
      <w:marBottom w:val="0"/>
      <w:divBdr>
        <w:top w:val="none" w:sz="0" w:space="0" w:color="auto"/>
        <w:left w:val="none" w:sz="0" w:space="0" w:color="auto"/>
        <w:bottom w:val="none" w:sz="0" w:space="0" w:color="auto"/>
        <w:right w:val="none" w:sz="0" w:space="0" w:color="auto"/>
      </w:divBdr>
    </w:div>
    <w:div w:id="180383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7B3C-32CF-4785-AEBC-9B626DC1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7864</Words>
  <Characters>4483</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2020-09-01T14:46:00Z</dcterms:created>
  <dcterms:modified xsi:type="dcterms:W3CDTF">2020-09-01T14:46:00Z</dcterms:modified>
</cp:coreProperties>
</file>