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6D" w:rsidRPr="009A37D5" w:rsidRDefault="003C6E6D" w:rsidP="008A1172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3C6E6D" w:rsidRPr="009A37D5" w:rsidRDefault="003C6E6D" w:rsidP="008A1172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3C6E6D" w:rsidRPr="009A37D5" w:rsidRDefault="003C6E6D" w:rsidP="008A1172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3C6E6D" w:rsidRPr="009A37D5" w:rsidRDefault="003C6E6D" w:rsidP="008A1172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3C6E6D" w:rsidRPr="009A37D5" w:rsidRDefault="003C6E6D" w:rsidP="008A1172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3C6E6D" w:rsidRPr="009A37D5" w:rsidRDefault="003C6E6D" w:rsidP="008A1172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3C6E6D" w:rsidRPr="009A37D5" w:rsidRDefault="003C6E6D" w:rsidP="008A1172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3C6E6D" w:rsidRPr="008A1172" w:rsidRDefault="003C6E6D" w:rsidP="008A1172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3C6E6D" w:rsidRPr="008A1172" w:rsidRDefault="003C6E6D" w:rsidP="008A1172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6E6D" w:rsidRPr="008A1172" w:rsidRDefault="003C6E6D" w:rsidP="00DC57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172">
        <w:rPr>
          <w:rFonts w:ascii="Times New Roman" w:eastAsia="Times New Roman" w:hAnsi="Times New Roman"/>
          <w:b/>
          <w:sz w:val="28"/>
          <w:szCs w:val="28"/>
          <w:lang w:eastAsia="ru-RU"/>
        </w:rPr>
        <w:t>ВИСНОВОК</w:t>
      </w:r>
    </w:p>
    <w:p w:rsidR="00DC5739" w:rsidRDefault="003C6E6D" w:rsidP="00DC5739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A1172">
        <w:rPr>
          <w:sz w:val="28"/>
          <w:szCs w:val="28"/>
          <w:lang w:val="uk-UA" w:eastAsia="ru-RU"/>
        </w:rPr>
        <w:t>на проект Закону України «</w:t>
      </w:r>
      <w:r w:rsidRPr="008A1172">
        <w:rPr>
          <w:sz w:val="28"/>
          <w:szCs w:val="28"/>
          <w:lang w:val="uk-UA"/>
        </w:rPr>
        <w:t xml:space="preserve">Про </w:t>
      </w:r>
      <w:r w:rsidRPr="008A1172">
        <w:rPr>
          <w:sz w:val="28"/>
          <w:szCs w:val="28"/>
        </w:rPr>
        <w:t xml:space="preserve">внесення змін до Податкового кодексу України та деяких інших законодавчих актів України щодо запровадження щорічного підвищення граничних обсягів </w:t>
      </w:r>
    </w:p>
    <w:p w:rsidR="00DC5739" w:rsidRDefault="003C6E6D" w:rsidP="00DC5739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A1172">
        <w:rPr>
          <w:sz w:val="28"/>
          <w:szCs w:val="28"/>
        </w:rPr>
        <w:t xml:space="preserve">доходів для застосування спрощеної системи оподаткування, відновлення права платників єдиного податку не </w:t>
      </w:r>
    </w:p>
    <w:p w:rsidR="00DC5739" w:rsidRDefault="003C6E6D" w:rsidP="00DC5739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A1172">
        <w:rPr>
          <w:sz w:val="28"/>
          <w:szCs w:val="28"/>
        </w:rPr>
        <w:t xml:space="preserve">застосовувати реєстратори розрахункових операцій, </w:t>
      </w:r>
    </w:p>
    <w:p w:rsidR="003C6E6D" w:rsidRDefault="003C6E6D" w:rsidP="00DC5739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A1172">
        <w:rPr>
          <w:sz w:val="28"/>
          <w:szCs w:val="28"/>
        </w:rPr>
        <w:t>а також скасування корупційного механізму кеш-бек</w:t>
      </w:r>
      <w:r w:rsidR="006F6047" w:rsidRPr="008A1172">
        <w:rPr>
          <w:sz w:val="28"/>
          <w:szCs w:val="28"/>
          <w:lang w:val="uk-UA"/>
        </w:rPr>
        <w:t>»</w:t>
      </w:r>
    </w:p>
    <w:p w:rsidR="008A1172" w:rsidRPr="008A1172" w:rsidRDefault="008A1172" w:rsidP="008A1172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6E4C96" w:rsidRPr="00357F68" w:rsidRDefault="003C6E6D" w:rsidP="008A117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172">
        <w:rPr>
          <w:rFonts w:ascii="Times New Roman" w:eastAsia="Times New Roman" w:hAnsi="Times New Roman"/>
          <w:sz w:val="28"/>
          <w:szCs w:val="28"/>
          <w:lang w:eastAsia="ru-RU"/>
        </w:rPr>
        <w:t xml:space="preserve">У законопроекті </w:t>
      </w:r>
      <w:r w:rsidR="006F6047" w:rsidRPr="00357F68">
        <w:rPr>
          <w:rFonts w:ascii="Times New Roman" w:eastAsia="Times New Roman" w:hAnsi="Times New Roman"/>
          <w:sz w:val="28"/>
          <w:szCs w:val="28"/>
          <w:lang w:eastAsia="ru-RU"/>
        </w:rPr>
        <w:t xml:space="preserve">шляхом внесення змін </w:t>
      </w:r>
      <w:r w:rsidR="000220A5" w:rsidRPr="00357F6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F6047" w:rsidRPr="00357F68">
        <w:rPr>
          <w:rFonts w:ascii="Times New Roman" w:eastAsia="Times New Roman" w:hAnsi="Times New Roman"/>
          <w:sz w:val="28"/>
          <w:szCs w:val="28"/>
          <w:lang w:eastAsia="ru-RU"/>
        </w:rPr>
        <w:t>о Податкового кодексу України</w:t>
      </w:r>
      <w:r w:rsidR="000220A5" w:rsidRPr="00357F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0A5" w:rsidRPr="00357F68">
        <w:rPr>
          <w:rFonts w:ascii="Times New Roman" w:hAnsi="Times New Roman"/>
          <w:sz w:val="28"/>
          <w:szCs w:val="28"/>
        </w:rPr>
        <w:t>(далі – ПК)</w:t>
      </w:r>
      <w:r w:rsidR="006E4C96" w:rsidRPr="00357F68">
        <w:rPr>
          <w:rFonts w:ascii="Times New Roman" w:hAnsi="Times New Roman"/>
          <w:sz w:val="28"/>
          <w:szCs w:val="28"/>
        </w:rPr>
        <w:t xml:space="preserve">, законів України </w:t>
      </w:r>
      <w:r w:rsidR="00F2599D" w:rsidRPr="00357F68">
        <w:rPr>
          <w:rFonts w:ascii="Times New Roman" w:hAnsi="Times New Roman"/>
          <w:sz w:val="28"/>
          <w:szCs w:val="28"/>
        </w:rPr>
        <w:t xml:space="preserve">«Про застосування реєстраторів розрахункових операцій у сфері торгівлі, громадського харчування та послуг», </w:t>
      </w:r>
      <w:r w:rsidR="006E4C96" w:rsidRPr="00357F68">
        <w:rPr>
          <w:rFonts w:ascii="Times New Roman" w:hAnsi="Times New Roman"/>
          <w:sz w:val="28"/>
          <w:szCs w:val="28"/>
        </w:rPr>
        <w:t>«Про внесення змін до Податкового кодексу України щодо детінізації розрахунків у сфері торгівлі і послуг», «Про захист прав споживачів»</w:t>
      </w:r>
      <w:r w:rsidR="00CA20D8" w:rsidRPr="00357F68">
        <w:rPr>
          <w:rFonts w:ascii="Times New Roman" w:hAnsi="Times New Roman"/>
          <w:sz w:val="28"/>
          <w:szCs w:val="28"/>
        </w:rPr>
        <w:t>, зокрема,</w:t>
      </w:r>
      <w:r w:rsidR="00435514" w:rsidRPr="00357F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пропонується</w:t>
      </w:r>
      <w:r w:rsidR="006E4C96" w:rsidRPr="00357F6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35514" w:rsidRPr="00357F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2F71" w:rsidRPr="00987052" w:rsidRDefault="003A2F71" w:rsidP="003A2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F68">
        <w:rPr>
          <w:rFonts w:ascii="Times New Roman" w:eastAsia="Times New Roman" w:hAnsi="Times New Roman"/>
          <w:sz w:val="28"/>
          <w:szCs w:val="28"/>
          <w:lang w:eastAsia="ru-RU"/>
        </w:rPr>
        <w:t>визначати граничний обсяг доходу для перебування на спрощеній системі оподаткування, обліку та звітності у прив’язці не до гривні, як це передбачено чинними нормами, а до мінімальної заробітної плати, встановленої законом на 1 січня податкового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 xml:space="preserve"> (звітного) року (далі – МЗП)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зокрема, д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>ля 1 групи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платників єдиного податку – на рівні 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>245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>2 групи – 1230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 xml:space="preserve">3 групи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>1720 розмірів МЗП;</w:t>
      </w:r>
    </w:p>
    <w:p w:rsidR="003A2F71" w:rsidRDefault="003A2F71" w:rsidP="003A2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встановити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граничний 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 xml:space="preserve">обсяг доходу, при перевищенні якого платники єдиного податку (2-4 груп) застосовують реєстратори розрахункових операцій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>(далі – РРО)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– 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>820 розмірів МЗП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86BEE" w:rsidRDefault="006E4C96" w:rsidP="003A2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скасувати </w:t>
      </w:r>
      <w:r w:rsidR="00486BEE">
        <w:rPr>
          <w:rFonts w:ascii="Times New Roman" w:hAnsi="Times New Roman"/>
          <w:sz w:val="28"/>
          <w:szCs w:val="28"/>
        </w:rPr>
        <w:t>вимоги щодо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3A2F71">
        <w:rPr>
          <w:rFonts w:ascii="Times New Roman" w:hAnsi="Times New Roman"/>
          <w:sz w:val="28"/>
          <w:szCs w:val="28"/>
        </w:rPr>
        <w:t xml:space="preserve">особливостей </w:t>
      </w:r>
      <w:r w:rsidR="00486BEE">
        <w:rPr>
          <w:rFonts w:ascii="Times New Roman" w:hAnsi="Times New Roman"/>
          <w:sz w:val="28"/>
          <w:szCs w:val="28"/>
        </w:rPr>
        <w:t xml:space="preserve">застосування РРО для </w:t>
      </w:r>
      <w:r w:rsidR="00486BEE" w:rsidRPr="00486BEE">
        <w:rPr>
          <w:rFonts w:ascii="Times New Roman" w:hAnsi="Times New Roman"/>
          <w:sz w:val="28"/>
          <w:szCs w:val="28"/>
        </w:rPr>
        <w:t>суб’єктів господарювання</w:t>
      </w:r>
      <w:r w:rsidR="00486BEE">
        <w:rPr>
          <w:rFonts w:ascii="Times New Roman" w:hAnsi="Times New Roman"/>
          <w:sz w:val="28"/>
          <w:szCs w:val="28"/>
        </w:rPr>
        <w:t xml:space="preserve">, </w:t>
      </w:r>
      <w:r w:rsidR="00486BEE" w:rsidRPr="00486BEE">
        <w:rPr>
          <w:rFonts w:ascii="Times New Roman" w:hAnsi="Times New Roman"/>
          <w:sz w:val="28"/>
          <w:szCs w:val="28"/>
        </w:rPr>
        <w:t>які здійснюють реалізацію технічно складних побутових товарів, що підлягають гарантійному ремонту, а також лікарських засобів та виробів медичного призначення</w:t>
      </w:r>
      <w:r w:rsidR="003A2F71">
        <w:rPr>
          <w:rFonts w:ascii="Times New Roman" w:hAnsi="Times New Roman"/>
          <w:sz w:val="28"/>
          <w:szCs w:val="28"/>
        </w:rPr>
        <w:t>,</w:t>
      </w:r>
      <w:r w:rsidR="00435514">
        <w:rPr>
          <w:rFonts w:ascii="Times New Roman" w:hAnsi="Times New Roman"/>
          <w:sz w:val="28"/>
          <w:szCs w:val="28"/>
        </w:rPr>
        <w:t xml:space="preserve"> та, у зв’язку із </w:t>
      </w:r>
      <w:r>
        <w:rPr>
          <w:rFonts w:ascii="Times New Roman" w:hAnsi="Times New Roman"/>
          <w:sz w:val="28"/>
          <w:szCs w:val="28"/>
        </w:rPr>
        <w:t xml:space="preserve">цим, виключити відповідну термінологію у тексті </w:t>
      </w:r>
      <w:r w:rsidR="00435514" w:rsidRPr="00435514">
        <w:rPr>
          <w:rFonts w:ascii="Times New Roman" w:hAnsi="Times New Roman"/>
          <w:sz w:val="28"/>
          <w:szCs w:val="28"/>
        </w:rPr>
        <w:t xml:space="preserve"> </w:t>
      </w:r>
      <w:r w:rsidRPr="006E4C96">
        <w:rPr>
          <w:rFonts w:ascii="Times New Roman" w:hAnsi="Times New Roman"/>
          <w:sz w:val="28"/>
          <w:szCs w:val="28"/>
        </w:rPr>
        <w:t>Закон</w:t>
      </w:r>
      <w:r w:rsidR="006E526C">
        <w:rPr>
          <w:rFonts w:ascii="Times New Roman" w:hAnsi="Times New Roman"/>
          <w:sz w:val="28"/>
          <w:szCs w:val="28"/>
        </w:rPr>
        <w:t>у</w:t>
      </w:r>
      <w:r w:rsidRPr="006E4C96">
        <w:rPr>
          <w:rFonts w:ascii="Times New Roman" w:hAnsi="Times New Roman"/>
          <w:sz w:val="28"/>
          <w:szCs w:val="28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>«</w:t>
      </w:r>
      <w:r w:rsidRPr="006E4C96">
        <w:rPr>
          <w:rFonts w:ascii="Times New Roman" w:hAnsi="Times New Roman"/>
          <w:sz w:val="28"/>
          <w:szCs w:val="28"/>
        </w:rPr>
        <w:t>Про захист прав споживачів</w:t>
      </w:r>
      <w:r>
        <w:rPr>
          <w:rFonts w:ascii="Times New Roman" w:hAnsi="Times New Roman"/>
          <w:sz w:val="28"/>
          <w:szCs w:val="28"/>
        </w:rPr>
        <w:t>»</w:t>
      </w:r>
      <w:r w:rsidR="003A2F71">
        <w:rPr>
          <w:rFonts w:ascii="Times New Roman" w:hAnsi="Times New Roman"/>
          <w:sz w:val="28"/>
          <w:szCs w:val="28"/>
        </w:rPr>
        <w:t>;</w:t>
      </w:r>
    </w:p>
    <w:p w:rsidR="00435514" w:rsidRDefault="006E4C96" w:rsidP="008A117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35514">
        <w:rPr>
          <w:rFonts w:ascii="Times New Roman" w:hAnsi="Times New Roman"/>
          <w:sz w:val="28"/>
          <w:szCs w:val="28"/>
        </w:rPr>
        <w:t>иключ</w:t>
      </w:r>
      <w:r>
        <w:rPr>
          <w:rFonts w:ascii="Times New Roman" w:hAnsi="Times New Roman"/>
          <w:sz w:val="28"/>
          <w:szCs w:val="28"/>
        </w:rPr>
        <w:t xml:space="preserve">ити </w:t>
      </w:r>
      <w:r w:rsidR="00435514">
        <w:rPr>
          <w:rFonts w:ascii="Times New Roman" w:hAnsi="Times New Roman"/>
          <w:sz w:val="28"/>
          <w:szCs w:val="28"/>
        </w:rPr>
        <w:t xml:space="preserve">положення щодо </w:t>
      </w:r>
      <w:r w:rsidR="00435514" w:rsidRPr="00435514">
        <w:rPr>
          <w:rFonts w:ascii="Times New Roman" w:hAnsi="Times New Roman"/>
          <w:sz w:val="28"/>
          <w:szCs w:val="28"/>
        </w:rPr>
        <w:t>компенсаці</w:t>
      </w:r>
      <w:r w:rsidR="00435514">
        <w:rPr>
          <w:rFonts w:ascii="Times New Roman" w:hAnsi="Times New Roman"/>
          <w:sz w:val="28"/>
          <w:szCs w:val="28"/>
        </w:rPr>
        <w:t>ї</w:t>
      </w:r>
      <w:r w:rsidR="00435514" w:rsidRPr="00435514">
        <w:rPr>
          <w:rFonts w:ascii="Times New Roman" w:hAnsi="Times New Roman"/>
          <w:sz w:val="28"/>
          <w:szCs w:val="28"/>
        </w:rPr>
        <w:t xml:space="preserve"> частини суми штрафних (фінансових) санкцій покупцям (споживачам) за результатами проведеної </w:t>
      </w:r>
      <w:r w:rsidR="00435514">
        <w:rPr>
          <w:rFonts w:ascii="Times New Roman" w:hAnsi="Times New Roman"/>
          <w:sz w:val="28"/>
          <w:szCs w:val="28"/>
        </w:rPr>
        <w:t xml:space="preserve">за їх скаргою </w:t>
      </w:r>
      <w:r w:rsidR="00435514" w:rsidRPr="00435514">
        <w:rPr>
          <w:rFonts w:ascii="Times New Roman" w:hAnsi="Times New Roman"/>
          <w:sz w:val="28"/>
          <w:szCs w:val="28"/>
        </w:rPr>
        <w:t xml:space="preserve">перевірки про порушення </w:t>
      </w:r>
      <w:r w:rsidR="00435514">
        <w:rPr>
          <w:rFonts w:ascii="Times New Roman" w:hAnsi="Times New Roman"/>
          <w:sz w:val="28"/>
          <w:szCs w:val="28"/>
        </w:rPr>
        <w:t>суб’єктом господарювання</w:t>
      </w:r>
      <w:r w:rsidR="00435514" w:rsidRPr="00435514">
        <w:rPr>
          <w:rFonts w:ascii="Times New Roman" w:hAnsi="Times New Roman"/>
          <w:sz w:val="28"/>
          <w:szCs w:val="28"/>
        </w:rPr>
        <w:t xml:space="preserve"> порядку проведення розрахункових операцій</w:t>
      </w:r>
      <w:r w:rsidR="00CA20D8">
        <w:rPr>
          <w:rFonts w:ascii="Times New Roman" w:hAnsi="Times New Roman"/>
          <w:sz w:val="28"/>
          <w:szCs w:val="28"/>
        </w:rPr>
        <w:t>.</w:t>
      </w:r>
      <w:r w:rsidR="00DD5309">
        <w:rPr>
          <w:rFonts w:ascii="Times New Roman" w:hAnsi="Times New Roman"/>
          <w:sz w:val="28"/>
          <w:szCs w:val="28"/>
        </w:rPr>
        <w:t xml:space="preserve"> </w:t>
      </w:r>
    </w:p>
    <w:p w:rsidR="003C6E6D" w:rsidRPr="008A1172" w:rsidRDefault="000220A5" w:rsidP="008A1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17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C6E6D" w:rsidRPr="008A1172">
        <w:rPr>
          <w:rFonts w:ascii="Times New Roman" w:eastAsia="Times New Roman" w:hAnsi="Times New Roman"/>
          <w:sz w:val="28"/>
          <w:szCs w:val="28"/>
          <w:lang w:eastAsia="ru-RU"/>
        </w:rPr>
        <w:t xml:space="preserve">гідно із пояснювальною запискою </w:t>
      </w:r>
      <w:r w:rsidRPr="008A1172"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Pr="008A1172">
        <w:rPr>
          <w:rFonts w:ascii="Times New Roman" w:hAnsi="Times New Roman"/>
          <w:sz w:val="28"/>
          <w:szCs w:val="28"/>
        </w:rPr>
        <w:t xml:space="preserve">рийняття законопроекту сприятиме спрощенню ведення малого бізнесу та податкового адміністрування, зменшенню податкового тиску на суб’єктів господарювання </w:t>
      </w:r>
      <w:r w:rsidRPr="008A1172">
        <w:rPr>
          <w:rFonts w:ascii="Times New Roman" w:hAnsi="Times New Roman"/>
          <w:sz w:val="28"/>
          <w:szCs w:val="28"/>
        </w:rPr>
        <w:lastRenderedPageBreak/>
        <w:t>з боку контролюючих органів, створенню умов для детінізації малого бізнесу в Україні та стимулів до нарощування підприємницької активності, бізнес-ініціатив та свобод підприємницької діяльності незалежно від політичної та економічної ситуації, що в цілому забезпечить оздоровлення та посилення конкурентоспроможності економіки України</w:t>
      </w:r>
      <w:r w:rsidR="003C6E6D" w:rsidRPr="008A1172">
        <w:rPr>
          <w:rFonts w:ascii="Times New Roman" w:eastAsia="Times New Roman" w:hAnsi="Times New Roman"/>
          <w:sz w:val="28"/>
          <w:szCs w:val="28"/>
          <w:lang w:eastAsia="ru-RU"/>
        </w:rPr>
        <w:t>» (п. </w:t>
      </w:r>
      <w:r w:rsidRPr="008A117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C6E6D" w:rsidRPr="008A117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C6E6D" w:rsidRPr="008A1172" w:rsidRDefault="003C6E6D" w:rsidP="008A117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172">
        <w:rPr>
          <w:rFonts w:ascii="Times New Roman" w:eastAsia="Times New Roman" w:hAnsi="Times New Roman"/>
          <w:sz w:val="28"/>
          <w:szCs w:val="28"/>
          <w:lang w:eastAsia="ru-RU"/>
        </w:rPr>
        <w:t>Головне управління, розглянувши проект, вважає за доцільне зауважити наступне.</w:t>
      </w:r>
    </w:p>
    <w:p w:rsidR="007D2FF8" w:rsidRPr="00987052" w:rsidRDefault="007D2FF8" w:rsidP="007D2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052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>оновлено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 xml:space="preserve"> п. 291.4 ст. 291 ПК пропонується  встановити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граничний 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>обсяг доходу для перебування на спрощеній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 xml:space="preserve"> оподаткування, обліку та звітності для 1 групи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платників єдиного податку – 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 xml:space="preserve">245,  2 групи – 1230, 3 групи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 xml:space="preserve"> 1720 </w:t>
      </w:r>
      <w:r w:rsidRPr="00357F68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розмірів МЗП, що складатиме у 2020 році відповідно 1 157 135, </w:t>
      </w:r>
      <w:r w:rsidRPr="00357F68">
        <w:rPr>
          <w:rFonts w:ascii="Times New Roman" w:eastAsia="Times New Roman" w:hAnsi="Times New Roman"/>
          <w:sz w:val="28"/>
          <w:szCs w:val="28"/>
          <w:lang w:eastAsia="ru-RU"/>
        </w:rPr>
        <w:br/>
        <w:t>5 809 290 та 8 123 560 грн. (виходячи із розміру МЗП на 1 січня 2020 року), а не 1, 5 та 7 млн. грн. відповідно, як це передбачено чинною нормою.</w:t>
      </w:r>
      <w:r w:rsidR="0086352C" w:rsidRPr="00357F68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 w:rsidR="00083433" w:rsidRPr="00357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352C" w:rsidRPr="00357F68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році, виходячи із розміру МЗП на 1 січня 2021 року, який пропонується у проекті Закону України «Про Державний бюджет України на 2021 рік» (реєстр. № 4000 від 14.09.2020), такі обсяги у розрізі груп платників єдиного податку складатимуть вже 1,47, 7,38 та 10,32 млн. грн. відповідно. </w:t>
      </w:r>
      <w:r w:rsidRPr="00357F68">
        <w:rPr>
          <w:rFonts w:ascii="Times New Roman" w:eastAsia="Times New Roman" w:hAnsi="Times New Roman"/>
          <w:sz w:val="28"/>
          <w:szCs w:val="28"/>
          <w:lang w:eastAsia="ru-RU"/>
        </w:rPr>
        <w:t>У цілому погоджуючись із необхідністю прив’язки вказаного граничного обсягу доходу до МЗП, що забезпечуватиме його щорічний автоматичний перегляд, що є актуальним на сьогодні, разом із тим</w:t>
      </w:r>
      <w:r w:rsidR="00083433" w:rsidRPr="00357F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57F68">
        <w:rPr>
          <w:rFonts w:ascii="Times New Roman" w:eastAsia="Times New Roman" w:hAnsi="Times New Roman"/>
          <w:sz w:val="28"/>
          <w:szCs w:val="28"/>
          <w:lang w:eastAsia="ru-RU"/>
        </w:rPr>
        <w:t xml:space="preserve"> зауважимо, що</w:t>
      </w:r>
      <w:r w:rsidR="0086352C" w:rsidRPr="00357F68">
        <w:rPr>
          <w:rFonts w:ascii="Times New Roman" w:eastAsia="Times New Roman" w:hAnsi="Times New Roman"/>
          <w:sz w:val="28"/>
          <w:szCs w:val="28"/>
          <w:lang w:eastAsia="ru-RU"/>
        </w:rPr>
        <w:t xml:space="preserve"> це м</w:t>
      </w:r>
      <w:r w:rsidRPr="00357F68">
        <w:rPr>
          <w:rFonts w:ascii="Times New Roman" w:eastAsia="Times New Roman" w:hAnsi="Times New Roman"/>
          <w:sz w:val="28"/>
          <w:szCs w:val="28"/>
          <w:lang w:eastAsia="ru-RU"/>
        </w:rPr>
        <w:t>оже негативно вплинути на показники бюджету поточного та наступного за ним (враховуючи, що Державний бюджет України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рік сформовано на основі чинного ПК)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>. При цьому, до проекту, всупереч вимогам 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>27 Бюджетного кодексу України, 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>91 Регламенту Верховної Ради України, не надано належного фінансово-економічного обґрунтування (з відповідними розрахунками).</w:t>
      </w:r>
    </w:p>
    <w:p w:rsidR="007D2FF8" w:rsidRPr="00FF23FB" w:rsidRDefault="007D2FF8" w:rsidP="007D2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7052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Пропоновані у проекті зміни до п. 296.10 ст. 296 ПК вно</w:t>
      </w:r>
      <w:r w:rsidRPr="004106FC">
        <w:rPr>
          <w:rFonts w:ascii="Times New Roman" w:eastAsia="Times New Roman" w:hAnsi="Times New Roman"/>
          <w:sz w:val="28"/>
          <w:szCs w:val="28"/>
          <w:lang w:eastAsia="ru-RU"/>
        </w:rPr>
        <w:t>сяться до нечинної редакції цього пункту. Звертаємо увагу, що редакція зазначеного пункту була змінена Законом України «</w:t>
      </w:r>
      <w:r w:rsidRPr="004106FC">
        <w:rPr>
          <w:rStyle w:val="rvts23"/>
          <w:rFonts w:ascii="Times New Roman" w:hAnsi="Times New Roman"/>
          <w:sz w:val="28"/>
          <w:szCs w:val="28"/>
        </w:rPr>
        <w:t xml:space="preserve">Про внесення змін до Податкового кодексу України щодо детінізації розрахунків у сфері торгівлі і послуг» від </w:t>
      </w:r>
      <w:r w:rsidRPr="004106FC">
        <w:rPr>
          <w:rStyle w:val="rvts44"/>
          <w:rFonts w:ascii="Times New Roman" w:hAnsi="Times New Roman"/>
          <w:sz w:val="28"/>
          <w:szCs w:val="28"/>
        </w:rPr>
        <w:t>20.09.2019 № 129-IX</w:t>
      </w:r>
      <w:r>
        <w:rPr>
          <w:rStyle w:val="rvts44"/>
          <w:rFonts w:ascii="Times New Roman" w:hAnsi="Times New Roman"/>
          <w:sz w:val="28"/>
          <w:szCs w:val="28"/>
        </w:rPr>
        <w:t>.</w:t>
      </w:r>
    </w:p>
    <w:p w:rsidR="007D2FF8" w:rsidRPr="00357F68" w:rsidRDefault="007D2FF8" w:rsidP="007D2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Крім того, цим же Законом № 129-ІХ підрозділ 10 розділу ХХ ПК доповнено новим п. 61, яки</w:t>
      </w:r>
      <w:r w:rsidR="00030418">
        <w:rPr>
          <w:rFonts w:ascii="Times New Roman" w:eastAsia="Times New Roman" w:hAnsi="Times New Roman"/>
          <w:sz w:val="28"/>
          <w:szCs w:val="28"/>
          <w:lang w:eastAsia="ru-RU"/>
        </w:rPr>
        <w:t>й набрав чинності з 1 серпня 2020 року і яким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встановлений перехідний період для застосування РРО деякими платниками єдиного податку </w:t>
      </w:r>
      <w:r w:rsidR="00906580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якому визначається інший, ніж у проекті, розмір граничного обсягу доходу для застосування РРО. </w:t>
      </w:r>
      <w:r w:rsidR="00030418">
        <w:rPr>
          <w:rFonts w:ascii="Times New Roman" w:eastAsia="Times New Roman" w:hAnsi="Times New Roman"/>
          <w:sz w:val="28"/>
          <w:szCs w:val="28"/>
          <w:lang w:eastAsia="ru-RU"/>
        </w:rPr>
        <w:t>При цьому, зміни до зазначеного пункту у проекті та порівняльній таблиці до нього викладені як до такого, положення якого ще не набрали чинності</w:t>
      </w:r>
      <w:r w:rsidR="000A23F9">
        <w:rPr>
          <w:rFonts w:ascii="Times New Roman" w:eastAsia="Times New Roman" w:hAnsi="Times New Roman"/>
          <w:sz w:val="28"/>
          <w:szCs w:val="28"/>
          <w:lang w:eastAsia="ru-RU"/>
        </w:rPr>
        <w:t xml:space="preserve">, та містяться у </w:t>
      </w:r>
      <w:r w:rsidR="000A23F9">
        <w:rPr>
          <w:rFonts w:ascii="Times New Roman" w:eastAsia="Times New Roman" w:hAnsi="Times New Roman"/>
          <w:sz w:val="28"/>
          <w:szCs w:val="28"/>
          <w:lang w:eastAsia="ru-RU"/>
        </w:rPr>
        <w:br/>
        <w:t>Законі № 129-ІХ.</w:t>
      </w:r>
      <w:r w:rsidR="00AF584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Насправді ж, відповідні положення вже містяться в </w:t>
      </w:r>
      <w:r w:rsidR="00AF5841" w:rsidRPr="00357F68">
        <w:rPr>
          <w:rFonts w:ascii="Times New Roman" w:eastAsia="Times New Roman" w:hAnsi="Times New Roman"/>
          <w:sz w:val="28"/>
          <w:szCs w:val="28"/>
          <w:lang w:eastAsia="ru-RU"/>
        </w:rPr>
        <w:t>основному тексті ПК, до яких і мають, у разі необхідності, вноситися зміни.</w:t>
      </w:r>
    </w:p>
    <w:p w:rsidR="009D005D" w:rsidRDefault="00EF6498" w:rsidP="00193AE6">
      <w:pPr>
        <w:spacing w:after="0" w:line="240" w:lineRule="auto"/>
        <w:ind w:firstLine="709"/>
        <w:jc w:val="both"/>
        <w:rPr>
          <w:rFonts w:ascii="Times New Roman" w:eastAsia="font275" w:hAnsi="Times New Roman"/>
          <w:sz w:val="28"/>
          <w:szCs w:val="28"/>
        </w:rPr>
      </w:pPr>
      <w:r w:rsidRPr="00357F68">
        <w:rPr>
          <w:rFonts w:ascii="Times New Roman" w:eastAsia="Times New Roman" w:hAnsi="Times New Roman"/>
          <w:sz w:val="28"/>
          <w:szCs w:val="28"/>
          <w:lang w:eastAsia="ru-RU"/>
        </w:rPr>
        <w:t>Зауважимо також, що, у</w:t>
      </w:r>
      <w:r w:rsidR="00D21BCD" w:rsidRPr="00357F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518" w:rsidRPr="00357F68">
        <w:rPr>
          <w:rFonts w:ascii="Times New Roman" w:eastAsia="font275" w:hAnsi="Times New Roman"/>
          <w:sz w:val="28"/>
          <w:szCs w:val="28"/>
        </w:rPr>
        <w:t xml:space="preserve">цілому не заперечуючи щодо необхідності удосконалення відповідних вимог щодо застосування РРО, </w:t>
      </w:r>
      <w:r w:rsidR="00D21BCD" w:rsidRPr="00357F68">
        <w:rPr>
          <w:rFonts w:ascii="Times New Roman" w:eastAsia="font275" w:hAnsi="Times New Roman"/>
          <w:sz w:val="28"/>
          <w:szCs w:val="28"/>
        </w:rPr>
        <w:t>у</w:t>
      </w:r>
      <w:r w:rsidR="00530688" w:rsidRPr="00357F68">
        <w:rPr>
          <w:rFonts w:ascii="Times New Roman" w:eastAsia="font275" w:hAnsi="Times New Roman"/>
          <w:sz w:val="28"/>
          <w:szCs w:val="28"/>
        </w:rPr>
        <w:t xml:space="preserve"> тому числі, </w:t>
      </w:r>
      <w:r w:rsidR="00D21BCD" w:rsidRPr="00357F68">
        <w:rPr>
          <w:rFonts w:ascii="Times New Roman" w:eastAsia="font275" w:hAnsi="Times New Roman"/>
          <w:sz w:val="28"/>
          <w:szCs w:val="28"/>
        </w:rPr>
        <w:t>у</w:t>
      </w:r>
      <w:r w:rsidR="00530688" w:rsidRPr="00357F68">
        <w:rPr>
          <w:rFonts w:ascii="Times New Roman" w:eastAsia="font275" w:hAnsi="Times New Roman"/>
          <w:sz w:val="28"/>
          <w:szCs w:val="28"/>
        </w:rPr>
        <w:t xml:space="preserve"> частині доцільності поширення вимог на всіх платників єдиного податку </w:t>
      </w:r>
      <w:r w:rsidR="00083433" w:rsidRPr="00357F68">
        <w:rPr>
          <w:rFonts w:ascii="Times New Roman" w:eastAsia="font275" w:hAnsi="Times New Roman"/>
          <w:sz w:val="28"/>
          <w:szCs w:val="28"/>
        </w:rPr>
        <w:br/>
      </w:r>
      <w:r w:rsidR="00530688" w:rsidRPr="00357F68">
        <w:rPr>
          <w:rFonts w:ascii="Times New Roman" w:eastAsia="font275" w:hAnsi="Times New Roman"/>
          <w:sz w:val="28"/>
          <w:szCs w:val="28"/>
        </w:rPr>
        <w:t>2-</w:t>
      </w:r>
      <w:r w:rsidR="00B12308" w:rsidRPr="00357F68">
        <w:rPr>
          <w:rFonts w:ascii="Times New Roman" w:eastAsia="font275" w:hAnsi="Times New Roman"/>
          <w:sz w:val="28"/>
          <w:szCs w:val="28"/>
        </w:rPr>
        <w:t>4</w:t>
      </w:r>
      <w:r w:rsidR="00530688" w:rsidRPr="00357F68">
        <w:rPr>
          <w:rFonts w:ascii="Times New Roman" w:eastAsia="font275" w:hAnsi="Times New Roman"/>
          <w:sz w:val="28"/>
          <w:szCs w:val="28"/>
        </w:rPr>
        <w:t xml:space="preserve"> груп,</w:t>
      </w:r>
      <w:r w:rsidR="00193AE6" w:rsidRPr="00357F68">
        <w:rPr>
          <w:rFonts w:ascii="Times New Roman" w:eastAsia="font275" w:hAnsi="Times New Roman"/>
          <w:sz w:val="28"/>
          <w:szCs w:val="28"/>
        </w:rPr>
        <w:t xml:space="preserve"> разом із</w:t>
      </w:r>
      <w:r w:rsidR="00193AE6">
        <w:rPr>
          <w:rFonts w:ascii="Times New Roman" w:eastAsia="font275" w:hAnsi="Times New Roman"/>
          <w:sz w:val="28"/>
          <w:szCs w:val="28"/>
        </w:rPr>
        <w:t xml:space="preserve"> тим, </w:t>
      </w:r>
      <w:r w:rsidR="00530688">
        <w:rPr>
          <w:rFonts w:ascii="Times New Roman" w:eastAsia="font275" w:hAnsi="Times New Roman"/>
          <w:sz w:val="28"/>
          <w:szCs w:val="28"/>
        </w:rPr>
        <w:t xml:space="preserve">на наш погляд, </w:t>
      </w:r>
      <w:r w:rsidR="00E51518">
        <w:rPr>
          <w:rFonts w:ascii="Times New Roman" w:eastAsia="font275" w:hAnsi="Times New Roman"/>
          <w:sz w:val="28"/>
          <w:szCs w:val="28"/>
        </w:rPr>
        <w:t xml:space="preserve">встановлення граничного обсягу </w:t>
      </w:r>
      <w:r w:rsidR="00D21BCD">
        <w:rPr>
          <w:rFonts w:ascii="Times New Roman" w:eastAsia="font275" w:hAnsi="Times New Roman"/>
          <w:sz w:val="28"/>
          <w:szCs w:val="28"/>
        </w:rPr>
        <w:t xml:space="preserve">доходу </w:t>
      </w:r>
      <w:r w:rsidR="00E51518">
        <w:rPr>
          <w:rFonts w:ascii="Times New Roman" w:eastAsia="font275" w:hAnsi="Times New Roman"/>
          <w:sz w:val="28"/>
          <w:szCs w:val="28"/>
        </w:rPr>
        <w:lastRenderedPageBreak/>
        <w:t>на пропонованому у проекті рівні</w:t>
      </w:r>
      <w:r w:rsidR="00530688">
        <w:rPr>
          <w:rFonts w:ascii="Times New Roman" w:eastAsia="font275" w:hAnsi="Times New Roman"/>
          <w:sz w:val="28"/>
          <w:szCs w:val="28"/>
        </w:rPr>
        <w:t>, без запровадження інших альтернативних механізмі</w:t>
      </w:r>
      <w:r w:rsidR="00B12308">
        <w:rPr>
          <w:rFonts w:ascii="Times New Roman" w:eastAsia="font275" w:hAnsi="Times New Roman"/>
          <w:sz w:val="28"/>
          <w:szCs w:val="28"/>
        </w:rPr>
        <w:t>в</w:t>
      </w:r>
      <w:r w:rsidR="00530688">
        <w:rPr>
          <w:rFonts w:ascii="Times New Roman" w:eastAsia="font275" w:hAnsi="Times New Roman"/>
          <w:sz w:val="28"/>
          <w:szCs w:val="28"/>
        </w:rPr>
        <w:t>,</w:t>
      </w:r>
      <w:r w:rsidR="00E51518">
        <w:rPr>
          <w:rFonts w:ascii="Times New Roman" w:eastAsia="font275" w:hAnsi="Times New Roman"/>
          <w:sz w:val="28"/>
          <w:szCs w:val="28"/>
        </w:rPr>
        <w:t xml:space="preserve"> </w:t>
      </w:r>
      <w:r>
        <w:rPr>
          <w:rFonts w:ascii="Times New Roman" w:eastAsia="font275" w:hAnsi="Times New Roman"/>
          <w:sz w:val="28"/>
          <w:szCs w:val="28"/>
        </w:rPr>
        <w:t xml:space="preserve">не </w:t>
      </w:r>
      <w:r w:rsidR="00E51518">
        <w:rPr>
          <w:rFonts w:ascii="Times New Roman" w:eastAsia="font275" w:hAnsi="Times New Roman"/>
          <w:sz w:val="28"/>
          <w:szCs w:val="28"/>
        </w:rPr>
        <w:t>сприятиме детінізації розрахунків у сфері торгівлі та послуг</w:t>
      </w:r>
      <w:r w:rsidR="0065785C">
        <w:rPr>
          <w:rFonts w:ascii="Times New Roman" w:eastAsia="font275" w:hAnsi="Times New Roman"/>
          <w:sz w:val="28"/>
          <w:szCs w:val="28"/>
        </w:rPr>
        <w:t xml:space="preserve">, </w:t>
      </w:r>
      <w:r w:rsidR="00530688">
        <w:rPr>
          <w:rFonts w:ascii="Times New Roman" w:eastAsia="font275" w:hAnsi="Times New Roman"/>
          <w:sz w:val="28"/>
          <w:szCs w:val="28"/>
        </w:rPr>
        <w:t xml:space="preserve">яка використовується, </w:t>
      </w:r>
      <w:r w:rsidR="00D21BCD">
        <w:rPr>
          <w:rFonts w:ascii="Times New Roman" w:eastAsia="font275" w:hAnsi="Times New Roman"/>
          <w:sz w:val="28"/>
          <w:szCs w:val="28"/>
        </w:rPr>
        <w:t>у</w:t>
      </w:r>
      <w:r w:rsidR="00530688">
        <w:rPr>
          <w:rFonts w:ascii="Times New Roman" w:eastAsia="font275" w:hAnsi="Times New Roman"/>
          <w:sz w:val="28"/>
          <w:szCs w:val="28"/>
        </w:rPr>
        <w:t xml:space="preserve"> тому числі, для </w:t>
      </w:r>
      <w:r w:rsidR="0065785C">
        <w:rPr>
          <w:rFonts w:ascii="Times New Roman" w:eastAsia="font275" w:hAnsi="Times New Roman"/>
          <w:sz w:val="28"/>
          <w:szCs w:val="28"/>
        </w:rPr>
        <w:t>«мінімізації» податків.</w:t>
      </w:r>
    </w:p>
    <w:p w:rsidR="00E30B54" w:rsidRPr="00E30B54" w:rsidRDefault="00E30B54" w:rsidP="00E30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C1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цілому 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>зауважимо, що питання застосування РРО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>належить до предмету регулювання Закону України «Про застосування реєстраторів розрахункових операцій у сфері торгівлі, громадського харчування та послуг»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87052">
        <w:rPr>
          <w:rFonts w:ascii="Times New Roman" w:eastAsia="Times New Roman" w:hAnsi="Times New Roman"/>
          <w:sz w:val="28"/>
          <w:szCs w:val="28"/>
          <w:lang w:eastAsia="ru-RU"/>
        </w:rPr>
        <w:t xml:space="preserve"> як спеціального акту, а тому відповідні положення, з точки зору систематизації нормативних положень, на наш погляд, юридично коректніше викладати саме у </w:t>
      </w:r>
      <w:r w:rsidRPr="00E30B54">
        <w:rPr>
          <w:rFonts w:ascii="Times New Roman" w:eastAsia="Times New Roman" w:hAnsi="Times New Roman"/>
          <w:sz w:val="28"/>
          <w:szCs w:val="28"/>
          <w:lang w:eastAsia="ru-RU"/>
        </w:rPr>
        <w:t>вказаному Законі, а не у ПК.</w:t>
      </w:r>
    </w:p>
    <w:p w:rsidR="00E30B54" w:rsidRPr="00357F68" w:rsidRDefault="00530688" w:rsidP="00943C19">
      <w:pPr>
        <w:pStyle w:val="a4"/>
        <w:spacing w:after="0"/>
        <w:ind w:firstLine="709"/>
        <w:jc w:val="both"/>
        <w:rPr>
          <w:rStyle w:val="rvts44"/>
          <w:rFonts w:ascii="Times New Roman" w:hAnsi="Times New Roman" w:cs="Times New Roman"/>
          <w:sz w:val="28"/>
          <w:szCs w:val="28"/>
          <w:lang w:val="uk-UA"/>
        </w:rPr>
      </w:pPr>
      <w:r w:rsidRPr="00E30B54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E30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807" w:rsidRPr="00E30B5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30B54" w:rsidRPr="00E30B54">
        <w:rPr>
          <w:rFonts w:ascii="Times New Roman" w:hAnsi="Times New Roman" w:cs="Times New Roman"/>
          <w:sz w:val="28"/>
          <w:szCs w:val="28"/>
          <w:lang w:val="uk-UA"/>
        </w:rPr>
        <w:t xml:space="preserve">проекті та </w:t>
      </w:r>
      <w:r w:rsidR="00564807" w:rsidRPr="00E30B5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43C19" w:rsidRPr="00E30B54">
        <w:rPr>
          <w:rFonts w:ascii="Times New Roman" w:hAnsi="Times New Roman" w:cs="Times New Roman"/>
          <w:sz w:val="28"/>
          <w:szCs w:val="28"/>
          <w:lang w:val="uk-UA"/>
        </w:rPr>
        <w:t>орівняльн</w:t>
      </w:r>
      <w:r w:rsidR="00564807" w:rsidRPr="00E30B5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43C19" w:rsidRPr="00E30B54">
        <w:rPr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 w:rsidR="00564807" w:rsidRPr="00E30B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3C19" w:rsidRPr="00E30B5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E30B54" w:rsidRPr="00E30B54">
        <w:rPr>
          <w:rFonts w:ascii="Times New Roman" w:hAnsi="Times New Roman" w:cs="Times New Roman"/>
          <w:sz w:val="28"/>
          <w:szCs w:val="28"/>
          <w:lang w:val="uk-UA"/>
        </w:rPr>
        <w:t xml:space="preserve">нього зміни до ст. 9 </w:t>
      </w:r>
      <w:r w:rsidR="00E30B54" w:rsidRPr="00E30B54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Закону України «Про застосування реєстраторів розрахункових операцій у сфері </w:t>
      </w:r>
      <w:r w:rsidR="00E30B54" w:rsidRPr="00357F68">
        <w:rPr>
          <w:rFonts w:ascii="Times New Roman" w:hAnsi="Times New Roman" w:cs="Times New Roman"/>
          <w:sz w:val="28"/>
          <w:szCs w:val="28"/>
          <w:lang w:val="uk-UA"/>
        </w:rPr>
        <w:t xml:space="preserve">торгівлі, громадського харчування та послуг» вносяться до положень, які не відповідають їх чинній редакції, оскільки були змінені Законом України </w:t>
      </w:r>
      <w:r w:rsidR="00E30B54" w:rsidRPr="00357F68">
        <w:rPr>
          <w:rFonts w:ascii="Times New Roman" w:hAnsi="Times New Roman" w:cs="Times New Roman"/>
          <w:sz w:val="28"/>
          <w:szCs w:val="28"/>
          <w:lang w:val="uk-UA"/>
        </w:rPr>
        <w:br/>
        <w:t>«</w:t>
      </w:r>
      <w:r w:rsidR="00E30B54" w:rsidRPr="00357F68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Закону України </w:t>
      </w:r>
      <w:r w:rsidR="00DE426D" w:rsidRPr="00357F68">
        <w:rPr>
          <w:rStyle w:val="rvts23"/>
          <w:rFonts w:ascii="Times New Roman" w:hAnsi="Times New Roman" w:cs="Times New Roman"/>
          <w:sz w:val="28"/>
          <w:szCs w:val="28"/>
          <w:lang w:val="uk-UA"/>
        </w:rPr>
        <w:t>«</w:t>
      </w:r>
      <w:r w:rsidR="00E30B54" w:rsidRPr="00357F68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застосування реєстраторів розрахункових операцій у сфері торгівлі, громадського харчування та послуг</w:t>
      </w:r>
      <w:r w:rsidR="00DE426D" w:rsidRPr="00357F68">
        <w:rPr>
          <w:rStyle w:val="rvts23"/>
          <w:rFonts w:ascii="Times New Roman" w:hAnsi="Times New Roman" w:cs="Times New Roman"/>
          <w:sz w:val="28"/>
          <w:szCs w:val="28"/>
          <w:lang w:val="uk-UA"/>
        </w:rPr>
        <w:t>»</w:t>
      </w:r>
      <w:r w:rsidR="00E30B54" w:rsidRPr="00357F68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та інших законів України щодо детінізації розрахунків у сфері торгівлі та послуг» від </w:t>
      </w:r>
      <w:r w:rsidR="00E30B54" w:rsidRPr="00357F68">
        <w:rPr>
          <w:rStyle w:val="rvts44"/>
          <w:rFonts w:ascii="Times New Roman" w:hAnsi="Times New Roman" w:cs="Times New Roman"/>
          <w:sz w:val="28"/>
          <w:szCs w:val="28"/>
          <w:lang w:val="uk-UA"/>
        </w:rPr>
        <w:t>20</w:t>
      </w:r>
      <w:r w:rsidR="00083433" w:rsidRPr="00357F68">
        <w:rPr>
          <w:rStyle w:val="rvts44"/>
          <w:rFonts w:ascii="Times New Roman" w:hAnsi="Times New Roman" w:cs="Times New Roman"/>
          <w:sz w:val="28"/>
          <w:szCs w:val="28"/>
          <w:lang w:val="uk-UA"/>
        </w:rPr>
        <w:t>.09.</w:t>
      </w:r>
      <w:r w:rsidR="00E30B54" w:rsidRPr="00357F68">
        <w:rPr>
          <w:rStyle w:val="rvts44"/>
          <w:rFonts w:ascii="Times New Roman" w:hAnsi="Times New Roman" w:cs="Times New Roman"/>
          <w:sz w:val="28"/>
          <w:szCs w:val="28"/>
          <w:lang w:val="uk-UA"/>
        </w:rPr>
        <w:t>2019 № 128-</w:t>
      </w:r>
      <w:r w:rsidR="00E30B54" w:rsidRPr="00357F68">
        <w:rPr>
          <w:rStyle w:val="rvts44"/>
          <w:rFonts w:ascii="Times New Roman" w:hAnsi="Times New Roman" w:cs="Times New Roman"/>
          <w:sz w:val="28"/>
          <w:szCs w:val="28"/>
        </w:rPr>
        <w:t>IX</w:t>
      </w:r>
      <w:r w:rsidR="00E30B54" w:rsidRPr="00357F68">
        <w:rPr>
          <w:rStyle w:val="rvts44"/>
          <w:rFonts w:ascii="Times New Roman" w:hAnsi="Times New Roman" w:cs="Times New Roman"/>
          <w:sz w:val="28"/>
          <w:szCs w:val="28"/>
          <w:lang w:val="uk-UA"/>
        </w:rPr>
        <w:t>.</w:t>
      </w:r>
    </w:p>
    <w:p w:rsidR="00A227A3" w:rsidRDefault="00DE426D" w:rsidP="00943C1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68">
        <w:rPr>
          <w:rStyle w:val="rvts44"/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357F68">
        <w:rPr>
          <w:rStyle w:val="rvts44"/>
          <w:rFonts w:ascii="Times New Roman" w:hAnsi="Times New Roman" w:cs="Times New Roman"/>
          <w:sz w:val="28"/>
          <w:szCs w:val="28"/>
          <w:lang w:val="uk-UA"/>
        </w:rPr>
        <w:t xml:space="preserve"> З приводу змін до положень </w:t>
      </w:r>
      <w:r w:rsidRPr="00357F68">
        <w:rPr>
          <w:rFonts w:ascii="Times New Roman" w:eastAsia="Times New Roman" w:hAnsi="Times New Roman"/>
          <w:sz w:val="28"/>
          <w:szCs w:val="28"/>
          <w:lang w:val="uk-UA"/>
        </w:rPr>
        <w:t>Закону України «</w:t>
      </w:r>
      <w:r w:rsidRPr="00357F68">
        <w:rPr>
          <w:rStyle w:val="rvts23"/>
          <w:rFonts w:ascii="Times New Roman" w:hAnsi="Times New Roman"/>
          <w:sz w:val="28"/>
          <w:szCs w:val="28"/>
          <w:lang w:val="uk-UA"/>
        </w:rPr>
        <w:t xml:space="preserve">Про внесення змін до Податкового кодексу України щодо детінізації розрахунків у сфері торгівлі і послуг» від </w:t>
      </w:r>
      <w:r w:rsidRPr="00357F68">
        <w:rPr>
          <w:rStyle w:val="rvts44"/>
          <w:rFonts w:ascii="Times New Roman" w:hAnsi="Times New Roman"/>
          <w:sz w:val="28"/>
          <w:szCs w:val="28"/>
          <w:lang w:val="uk-UA"/>
        </w:rPr>
        <w:t>20.09.2019 № 129-</w:t>
      </w:r>
      <w:r w:rsidRPr="00357F68">
        <w:rPr>
          <w:rStyle w:val="rvts44"/>
          <w:rFonts w:ascii="Times New Roman" w:hAnsi="Times New Roman"/>
          <w:sz w:val="28"/>
          <w:szCs w:val="28"/>
        </w:rPr>
        <w:t>IX</w:t>
      </w:r>
      <w:r w:rsidRPr="00357F68">
        <w:rPr>
          <w:rStyle w:val="rvts44"/>
          <w:rFonts w:ascii="Times New Roman" w:hAnsi="Times New Roman"/>
          <w:sz w:val="28"/>
          <w:szCs w:val="28"/>
          <w:lang w:val="uk-UA"/>
        </w:rPr>
        <w:t>, які ще не набрали чинності, звертаємо увагу</w:t>
      </w:r>
      <w:r w:rsidR="00083433" w:rsidRPr="00357F68">
        <w:rPr>
          <w:rStyle w:val="rvts44"/>
          <w:rFonts w:ascii="Times New Roman" w:hAnsi="Times New Roman"/>
          <w:sz w:val="28"/>
          <w:szCs w:val="28"/>
          <w:lang w:val="uk-UA"/>
        </w:rPr>
        <w:t xml:space="preserve"> на те</w:t>
      </w:r>
      <w:r w:rsidRPr="00357F68">
        <w:rPr>
          <w:rStyle w:val="rvts44"/>
          <w:rFonts w:ascii="Times New Roman" w:hAnsi="Times New Roman"/>
          <w:sz w:val="28"/>
          <w:szCs w:val="28"/>
          <w:lang w:val="uk-UA"/>
        </w:rPr>
        <w:t xml:space="preserve">, що відповідно до </w:t>
      </w:r>
      <w:r w:rsidR="00943C19" w:rsidRPr="00357F68">
        <w:rPr>
          <w:rFonts w:ascii="Times New Roman" w:hAnsi="Times New Roman" w:cs="Times New Roman"/>
          <w:sz w:val="28"/>
          <w:szCs w:val="28"/>
          <w:lang w:val="uk-UA"/>
        </w:rPr>
        <w:t xml:space="preserve">вимог ч. 6 ст. 91 Регламенту Верховної Ради України </w:t>
      </w:r>
      <w:r w:rsidR="00A227A3" w:rsidRPr="00357F68">
        <w:rPr>
          <w:rFonts w:ascii="Times New Roman" w:hAnsi="Times New Roman" w:cs="Times New Roman"/>
          <w:sz w:val="28"/>
          <w:szCs w:val="28"/>
          <w:lang w:val="uk-UA"/>
        </w:rPr>
        <w:t>«д</w:t>
      </w:r>
      <w:r w:rsidR="00A227A3" w:rsidRPr="00357F68">
        <w:rPr>
          <w:rStyle w:val="rvts0"/>
          <w:rFonts w:ascii="Times New Roman" w:hAnsi="Times New Roman" w:cs="Times New Roman"/>
          <w:sz w:val="28"/>
          <w:szCs w:val="28"/>
          <w:lang w:val="uk-UA"/>
        </w:rPr>
        <w:t>о законопроекту про внесення змін до законів додається порівняльна таблиця, яка містить</w:t>
      </w:r>
      <w:r w:rsidR="00A227A3" w:rsidRPr="00A227A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редакцію відповідних положень (статей, частин, пунктів, абзаців тощо) </w:t>
      </w:r>
      <w:r w:rsidR="00A227A3" w:rsidRPr="00A227A3">
        <w:rPr>
          <w:rStyle w:val="rvts0"/>
          <w:rFonts w:ascii="Times New Roman" w:hAnsi="Times New Roman" w:cs="Times New Roman"/>
          <w:i/>
          <w:sz w:val="28"/>
          <w:szCs w:val="28"/>
          <w:u w:val="single"/>
          <w:lang w:val="uk-UA"/>
        </w:rPr>
        <w:t>чинного</w:t>
      </w:r>
      <w:r w:rsidR="00A227A3" w:rsidRPr="00A227A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закону та нову його редакцію з урахуванням запропонованих змін».</w:t>
      </w:r>
    </w:p>
    <w:p w:rsidR="00943C19" w:rsidRPr="00943C19" w:rsidRDefault="00FF72EE" w:rsidP="008A1172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02BA1" w:rsidRPr="00B02B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02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E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43C19">
        <w:rPr>
          <w:rFonts w:ascii="Times New Roman" w:hAnsi="Times New Roman" w:cs="Times New Roman"/>
          <w:sz w:val="28"/>
          <w:szCs w:val="28"/>
          <w:lang w:val="uk-UA"/>
        </w:rPr>
        <w:t>иглядає некоректним застосування словосполучення «</w:t>
      </w:r>
      <w:r w:rsidR="00943C19" w:rsidRPr="00943C19">
        <w:rPr>
          <w:rFonts w:ascii="Times New Roman" w:hAnsi="Times New Roman" w:cs="Times New Roman"/>
          <w:sz w:val="28"/>
          <w:szCs w:val="28"/>
          <w:lang w:val="uk-UA"/>
        </w:rPr>
        <w:t>скасування корупційного механізму кеш-бек»</w:t>
      </w:r>
      <w:r w:rsidR="0094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43C19">
        <w:rPr>
          <w:rFonts w:ascii="Times New Roman" w:hAnsi="Times New Roman" w:cs="Times New Roman"/>
          <w:sz w:val="28"/>
          <w:szCs w:val="28"/>
          <w:lang w:val="uk-UA"/>
        </w:rPr>
        <w:t xml:space="preserve"> назві проекту, </w:t>
      </w:r>
      <w:r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943C19">
        <w:rPr>
          <w:rFonts w:ascii="Times New Roman" w:hAnsi="Times New Roman" w:cs="Times New Roman"/>
          <w:sz w:val="28"/>
          <w:szCs w:val="28"/>
          <w:lang w:val="uk-UA"/>
        </w:rPr>
        <w:t>, по-перше, поняття «кеш-бек», зокрема, стосовно сфери РРО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3C19">
        <w:rPr>
          <w:rFonts w:ascii="Times New Roman" w:hAnsi="Times New Roman" w:cs="Times New Roman"/>
          <w:sz w:val="28"/>
          <w:szCs w:val="28"/>
          <w:lang w:val="uk-UA"/>
        </w:rPr>
        <w:t xml:space="preserve"> є законодавчо невизначеним, а, по-друге, формулювання «корупційний механізм», на наш погляд, </w:t>
      </w:r>
      <w:r w:rsidR="00530688">
        <w:rPr>
          <w:rFonts w:ascii="Times New Roman" w:hAnsi="Times New Roman" w:cs="Times New Roman"/>
          <w:sz w:val="28"/>
          <w:szCs w:val="28"/>
          <w:lang w:val="uk-UA"/>
        </w:rPr>
        <w:t>надає правову оцінку відповідному механізму</w:t>
      </w:r>
      <w:r w:rsidR="00377E66">
        <w:rPr>
          <w:rFonts w:ascii="Times New Roman" w:hAnsi="Times New Roman" w:cs="Times New Roman"/>
          <w:sz w:val="28"/>
          <w:szCs w:val="28"/>
          <w:lang w:val="uk-UA"/>
        </w:rPr>
        <w:t xml:space="preserve"> без належних для того підстав на законодавчому рівні</w:t>
      </w:r>
      <w:r w:rsidR="005306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E6D" w:rsidRPr="00A55934" w:rsidRDefault="00FF72EE" w:rsidP="008A1172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377E66" w:rsidRPr="00377E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77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51494844"/>
      <w:r w:rsidR="003C6E6D" w:rsidRPr="00A5593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те, що за змістом відповідних положень Конституції України (ст. 116) та Закону України «Про Кабінет Міністрів України» забезпечення проведення фінансової, цінової, податкової політики належить до повноважень Кабінету Міністрів України, </w:t>
      </w:r>
      <w:r w:rsidR="003C6E6D" w:rsidRPr="00A5593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прийняття виваженого рішення щодо пропозицій проекту доцільно отримати висновок Уряду.</w:t>
      </w:r>
      <w:bookmarkEnd w:id="1"/>
    </w:p>
    <w:p w:rsidR="003C6E6D" w:rsidRPr="00A55934" w:rsidRDefault="003C6E6D" w:rsidP="008A1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BEE" w:rsidRPr="00A55934" w:rsidRDefault="00486BEE" w:rsidP="008A1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E6D" w:rsidRPr="00A55934" w:rsidRDefault="003C6E6D" w:rsidP="008A1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5934">
        <w:rPr>
          <w:rFonts w:ascii="Times New Roman" w:eastAsia="Times New Roman" w:hAnsi="Times New Roman"/>
          <w:sz w:val="28"/>
          <w:szCs w:val="28"/>
          <w:lang w:eastAsia="uk-UA"/>
        </w:rPr>
        <w:t xml:space="preserve">Керівник Головного управління                                        С. </w:t>
      </w:r>
      <w:proofErr w:type="spellStart"/>
      <w:r w:rsidRPr="00A55934">
        <w:rPr>
          <w:rFonts w:ascii="Times New Roman" w:eastAsia="Times New Roman" w:hAnsi="Times New Roman"/>
          <w:sz w:val="28"/>
          <w:szCs w:val="28"/>
          <w:lang w:eastAsia="uk-UA"/>
        </w:rPr>
        <w:t>Тихонюк</w:t>
      </w:r>
      <w:proofErr w:type="spellEnd"/>
    </w:p>
    <w:p w:rsidR="003C6E6D" w:rsidRPr="00A55934" w:rsidRDefault="003C6E6D" w:rsidP="008A1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C6E6D" w:rsidRPr="009A37D5" w:rsidRDefault="003C6E6D" w:rsidP="008A1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7453D" w:rsidRDefault="003C6E6D" w:rsidP="00A64660">
      <w:pPr>
        <w:spacing w:after="0" w:line="240" w:lineRule="auto"/>
        <w:ind w:firstLine="709"/>
        <w:jc w:val="both"/>
      </w:pPr>
      <w:proofErr w:type="spellStart"/>
      <w:r w:rsidRPr="009A37D5">
        <w:rPr>
          <w:rFonts w:ascii="Times New Roman" w:eastAsia="Times New Roman" w:hAnsi="Times New Roman"/>
          <w:sz w:val="20"/>
          <w:szCs w:val="20"/>
          <w:lang w:eastAsia="uk-UA"/>
        </w:rPr>
        <w:t>Вик</w:t>
      </w:r>
      <w:proofErr w:type="spellEnd"/>
      <w:r w:rsidRPr="009A37D5">
        <w:rPr>
          <w:rFonts w:ascii="Times New Roman" w:eastAsia="Times New Roman" w:hAnsi="Times New Roman"/>
          <w:sz w:val="20"/>
          <w:szCs w:val="20"/>
          <w:lang w:eastAsia="uk-UA"/>
        </w:rPr>
        <w:t>.: І. Крегул</w:t>
      </w:r>
      <w:r w:rsidR="00943C19">
        <w:rPr>
          <w:rFonts w:ascii="Times New Roman" w:eastAsia="Times New Roman" w:hAnsi="Times New Roman"/>
          <w:sz w:val="20"/>
          <w:szCs w:val="20"/>
          <w:lang w:val="ru-RU" w:eastAsia="uk-UA"/>
        </w:rPr>
        <w:t xml:space="preserve">, </w:t>
      </w:r>
      <w:r w:rsidR="00943C19" w:rsidRPr="00943C19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="00943C19" w:rsidRPr="009A37D5">
        <w:rPr>
          <w:rFonts w:ascii="Times New Roman" w:eastAsia="Times New Roman" w:hAnsi="Times New Roman"/>
          <w:sz w:val="20"/>
          <w:szCs w:val="20"/>
          <w:lang w:eastAsia="uk-UA"/>
        </w:rPr>
        <w:t>Є. Гришко</w:t>
      </w:r>
    </w:p>
    <w:sectPr w:rsidR="0067453D" w:rsidSect="00F043E0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85" w:rsidRDefault="007C4185" w:rsidP="003C6E6D">
      <w:pPr>
        <w:spacing w:after="0" w:line="240" w:lineRule="auto"/>
      </w:pPr>
      <w:r>
        <w:separator/>
      </w:r>
    </w:p>
  </w:endnote>
  <w:endnote w:type="continuationSeparator" w:id="0">
    <w:p w:rsidR="007C4185" w:rsidRDefault="007C4185" w:rsidP="003C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5">
    <w:charset w:val="AC"/>
    <w:family w:val="auto"/>
    <w:pitch w:val="variable"/>
    <w:sig w:usb0="00001000" w:usb1="00000004" w:usb2="00000004" w:usb3="00002000" w:csb0="00001000" w:csb1="01401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85" w:rsidRDefault="007C4185" w:rsidP="003C6E6D">
      <w:pPr>
        <w:spacing w:after="0" w:line="240" w:lineRule="auto"/>
      </w:pPr>
      <w:r>
        <w:separator/>
      </w:r>
    </w:p>
  </w:footnote>
  <w:footnote w:type="continuationSeparator" w:id="0">
    <w:p w:rsidR="007C4185" w:rsidRDefault="007C4185" w:rsidP="003C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E0" w:rsidRDefault="00BD037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E32E3">
      <w:rPr>
        <w:noProof/>
      </w:rPr>
      <w:t>3</w:t>
    </w:r>
    <w:r>
      <w:rPr>
        <w:noProof/>
      </w:rPr>
      <w:fldChar w:fldCharType="end"/>
    </w:r>
  </w:p>
  <w:p w:rsidR="00F043E0" w:rsidRDefault="007C41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E0" w:rsidRPr="00C02DF5" w:rsidRDefault="00BD037D" w:rsidP="00F043E0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/>
        <w:sz w:val="20"/>
        <w:szCs w:val="20"/>
        <w:lang w:val="ru-RU" w:eastAsia="ru-RU"/>
      </w:rPr>
    </w:pPr>
    <w:r w:rsidRPr="00DD0CC2">
      <w:rPr>
        <w:rFonts w:ascii="Times New Roman" w:eastAsia="Times New Roman" w:hAnsi="Times New Roman"/>
        <w:sz w:val="20"/>
        <w:szCs w:val="20"/>
        <w:lang w:eastAsia="ru-RU"/>
      </w:rPr>
      <w:t xml:space="preserve">До 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реєстр. </w:t>
    </w:r>
    <w:r w:rsidRPr="00DD0CC2">
      <w:rPr>
        <w:rFonts w:ascii="Times New Roman" w:eastAsia="Times New Roman" w:hAnsi="Times New Roman"/>
        <w:sz w:val="20"/>
        <w:szCs w:val="20"/>
        <w:lang w:eastAsia="ru-RU"/>
      </w:rPr>
      <w:t xml:space="preserve">№ </w:t>
    </w:r>
    <w:r w:rsidRPr="00C02DF5">
      <w:rPr>
        <w:rFonts w:ascii="Times New Roman" w:eastAsia="Times New Roman" w:hAnsi="Times New Roman"/>
        <w:sz w:val="20"/>
        <w:szCs w:val="20"/>
        <w:lang w:val="ru-RU" w:eastAsia="ru-RU"/>
      </w:rPr>
      <w:t>3</w:t>
    </w:r>
    <w:r w:rsidR="003C6E6D">
      <w:rPr>
        <w:rFonts w:ascii="Times New Roman" w:eastAsia="Times New Roman" w:hAnsi="Times New Roman"/>
        <w:sz w:val="20"/>
        <w:szCs w:val="20"/>
        <w:lang w:val="ru-RU" w:eastAsia="ru-RU"/>
      </w:rPr>
      <w:t>853-1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 від </w:t>
    </w:r>
    <w:r w:rsidR="003C6E6D">
      <w:rPr>
        <w:rFonts w:ascii="Times New Roman" w:eastAsia="Times New Roman" w:hAnsi="Times New Roman"/>
        <w:sz w:val="20"/>
        <w:szCs w:val="20"/>
        <w:lang w:eastAsia="ru-RU"/>
      </w:rPr>
      <w:t>17</w:t>
    </w:r>
    <w:r w:rsidRPr="00C57B4C">
      <w:rPr>
        <w:rFonts w:ascii="Times New Roman" w:eastAsia="Times New Roman" w:hAnsi="Times New Roman"/>
        <w:sz w:val="20"/>
        <w:szCs w:val="20"/>
        <w:lang w:eastAsia="ru-RU"/>
      </w:rPr>
      <w:t>.</w:t>
    </w:r>
    <w:r w:rsidRPr="00C02DF5">
      <w:rPr>
        <w:rFonts w:ascii="Times New Roman" w:eastAsia="Times New Roman" w:hAnsi="Times New Roman"/>
        <w:sz w:val="20"/>
        <w:szCs w:val="20"/>
        <w:lang w:val="ru-RU" w:eastAsia="ru-RU"/>
      </w:rPr>
      <w:t>0</w:t>
    </w:r>
    <w:r w:rsidR="003C6E6D">
      <w:rPr>
        <w:rFonts w:ascii="Times New Roman" w:eastAsia="Times New Roman" w:hAnsi="Times New Roman"/>
        <w:sz w:val="20"/>
        <w:szCs w:val="20"/>
        <w:lang w:val="ru-RU" w:eastAsia="ru-RU"/>
      </w:rPr>
      <w:t>7</w:t>
    </w:r>
    <w:r w:rsidRPr="00C57B4C">
      <w:rPr>
        <w:rFonts w:ascii="Times New Roman" w:eastAsia="Times New Roman" w:hAnsi="Times New Roman"/>
        <w:sz w:val="20"/>
        <w:szCs w:val="20"/>
        <w:lang w:eastAsia="ru-RU"/>
      </w:rPr>
      <w:t>.20</w:t>
    </w:r>
    <w:r w:rsidRPr="00C02DF5">
      <w:rPr>
        <w:rFonts w:ascii="Times New Roman" w:eastAsia="Times New Roman" w:hAnsi="Times New Roman"/>
        <w:sz w:val="20"/>
        <w:szCs w:val="20"/>
        <w:lang w:val="ru-RU" w:eastAsia="ru-RU"/>
      </w:rPr>
      <w:t>20</w:t>
    </w:r>
  </w:p>
  <w:p w:rsidR="00F043E0" w:rsidRDefault="00BD037D" w:rsidP="00F043E0">
    <w:pPr>
      <w:keepNext/>
      <w:tabs>
        <w:tab w:val="left" w:pos="5670"/>
        <w:tab w:val="right" w:pos="9354"/>
      </w:tabs>
      <w:spacing w:after="0" w:line="240" w:lineRule="auto"/>
      <w:ind w:left="5670" w:hanging="992"/>
      <w:jc w:val="right"/>
      <w:outlineLvl w:val="5"/>
      <w:rPr>
        <w:rFonts w:ascii="Times New Roman" w:eastAsia="Times New Roman" w:hAnsi="Times New Roman"/>
        <w:sz w:val="20"/>
        <w:szCs w:val="20"/>
        <w:lang w:eastAsia="ru-RU"/>
      </w:rPr>
    </w:pPr>
    <w:r>
      <w:rPr>
        <w:rFonts w:ascii="Times New Roman" w:eastAsia="Times New Roman" w:hAnsi="Times New Roman"/>
        <w:sz w:val="20"/>
        <w:szCs w:val="20"/>
        <w:lang w:eastAsia="ru-RU"/>
      </w:rPr>
      <w:t>Народні депутати України</w:t>
    </w:r>
  </w:p>
  <w:p w:rsidR="00F043E0" w:rsidRDefault="003C6E6D" w:rsidP="00F043E0">
    <w:pPr>
      <w:keepNext/>
      <w:tabs>
        <w:tab w:val="left" w:pos="5670"/>
        <w:tab w:val="right" w:pos="9354"/>
      </w:tabs>
      <w:spacing w:after="0" w:line="240" w:lineRule="auto"/>
      <w:ind w:left="5670" w:hanging="992"/>
      <w:jc w:val="right"/>
      <w:outlineLvl w:val="5"/>
    </w:pPr>
    <w:r>
      <w:rPr>
        <w:rFonts w:ascii="Times New Roman" w:eastAsia="Times New Roman" w:hAnsi="Times New Roman"/>
        <w:sz w:val="20"/>
        <w:szCs w:val="20"/>
        <w:lang w:eastAsia="ru-RU"/>
      </w:rPr>
      <w:t>Н</w:t>
    </w:r>
    <w:r w:rsidR="00BD037D">
      <w:rPr>
        <w:rFonts w:ascii="Times New Roman" w:eastAsia="Times New Roman" w:hAnsi="Times New Roman"/>
        <w:sz w:val="20"/>
        <w:szCs w:val="20"/>
        <w:lang w:eastAsia="ru-RU"/>
      </w:rPr>
      <w:t xml:space="preserve">. </w:t>
    </w:r>
    <w:proofErr w:type="spellStart"/>
    <w:r>
      <w:rPr>
        <w:rFonts w:ascii="Times New Roman" w:eastAsia="Times New Roman" w:hAnsi="Times New Roman"/>
        <w:sz w:val="20"/>
        <w:szCs w:val="20"/>
        <w:lang w:eastAsia="ru-RU"/>
      </w:rPr>
      <w:t>Южаніна</w:t>
    </w:r>
    <w:proofErr w:type="spellEnd"/>
    <w:r w:rsidR="00BD037D">
      <w:rPr>
        <w:rFonts w:ascii="Times New Roman" w:eastAsia="Times New Roman" w:hAnsi="Times New Roman"/>
        <w:sz w:val="20"/>
        <w:szCs w:val="20"/>
        <w:lang w:eastAsia="ru-RU"/>
      </w:rPr>
      <w:t xml:space="preserve">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0DEE"/>
    <w:multiLevelType w:val="hybridMultilevel"/>
    <w:tmpl w:val="25BE72D8"/>
    <w:lvl w:ilvl="0" w:tplc="A75E75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D"/>
    <w:rsid w:val="000220A5"/>
    <w:rsid w:val="00030118"/>
    <w:rsid w:val="00030418"/>
    <w:rsid w:val="00056BFB"/>
    <w:rsid w:val="00083433"/>
    <w:rsid w:val="000A23F9"/>
    <w:rsid w:val="000E6957"/>
    <w:rsid w:val="00111A25"/>
    <w:rsid w:val="00135F3E"/>
    <w:rsid w:val="00172822"/>
    <w:rsid w:val="00193AE6"/>
    <w:rsid w:val="001A41B0"/>
    <w:rsid w:val="002002E0"/>
    <w:rsid w:val="00237934"/>
    <w:rsid w:val="002C3A1F"/>
    <w:rsid w:val="002D2D64"/>
    <w:rsid w:val="002D64F5"/>
    <w:rsid w:val="00321FC6"/>
    <w:rsid w:val="00357F68"/>
    <w:rsid w:val="00377E66"/>
    <w:rsid w:val="003A2F71"/>
    <w:rsid w:val="003A49E7"/>
    <w:rsid w:val="003C6E6D"/>
    <w:rsid w:val="003D23C2"/>
    <w:rsid w:val="00435514"/>
    <w:rsid w:val="00486BEE"/>
    <w:rsid w:val="004B19F8"/>
    <w:rsid w:val="004D6585"/>
    <w:rsid w:val="004F6BD0"/>
    <w:rsid w:val="00530688"/>
    <w:rsid w:val="005336D3"/>
    <w:rsid w:val="00564807"/>
    <w:rsid w:val="005A0047"/>
    <w:rsid w:val="005E6C61"/>
    <w:rsid w:val="0065785C"/>
    <w:rsid w:val="006A0159"/>
    <w:rsid w:val="006A7AC5"/>
    <w:rsid w:val="006E4C96"/>
    <w:rsid w:val="006E526C"/>
    <w:rsid w:val="006F6047"/>
    <w:rsid w:val="00741402"/>
    <w:rsid w:val="007B383D"/>
    <w:rsid w:val="007C4185"/>
    <w:rsid w:val="007C4533"/>
    <w:rsid w:val="007D2FF8"/>
    <w:rsid w:val="0086352C"/>
    <w:rsid w:val="00890876"/>
    <w:rsid w:val="008A1172"/>
    <w:rsid w:val="008A5C4C"/>
    <w:rsid w:val="008A62EF"/>
    <w:rsid w:val="00906580"/>
    <w:rsid w:val="00943C19"/>
    <w:rsid w:val="00987CDA"/>
    <w:rsid w:val="00990211"/>
    <w:rsid w:val="009A1482"/>
    <w:rsid w:val="009D005D"/>
    <w:rsid w:val="009E32E3"/>
    <w:rsid w:val="00A227A3"/>
    <w:rsid w:val="00A24FDA"/>
    <w:rsid w:val="00A55934"/>
    <w:rsid w:val="00A64660"/>
    <w:rsid w:val="00A76D31"/>
    <w:rsid w:val="00AF5841"/>
    <w:rsid w:val="00B02BA1"/>
    <w:rsid w:val="00B12308"/>
    <w:rsid w:val="00B145E7"/>
    <w:rsid w:val="00BD037D"/>
    <w:rsid w:val="00BD1FCC"/>
    <w:rsid w:val="00BD2066"/>
    <w:rsid w:val="00C82211"/>
    <w:rsid w:val="00C910D9"/>
    <w:rsid w:val="00CA20D8"/>
    <w:rsid w:val="00CC1987"/>
    <w:rsid w:val="00D21BCD"/>
    <w:rsid w:val="00D41CA4"/>
    <w:rsid w:val="00D60D94"/>
    <w:rsid w:val="00DC5739"/>
    <w:rsid w:val="00DD5309"/>
    <w:rsid w:val="00DE426D"/>
    <w:rsid w:val="00E30B54"/>
    <w:rsid w:val="00E41CC6"/>
    <w:rsid w:val="00E51518"/>
    <w:rsid w:val="00EF6498"/>
    <w:rsid w:val="00F03414"/>
    <w:rsid w:val="00F05278"/>
    <w:rsid w:val="00F2599D"/>
    <w:rsid w:val="00F4437B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1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6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E6D"/>
    <w:rPr>
      <w:rFonts w:ascii="Times New Roman" w:eastAsia="Times New Roman" w:hAnsi="Times New Roman" w:cs="Times New Roman"/>
      <w:b/>
      <w:bCs/>
      <w:sz w:val="27"/>
      <w:szCs w:val="27"/>
      <w:lang w:val="x-none" w:eastAsia="uk-UA"/>
    </w:rPr>
  </w:style>
  <w:style w:type="character" w:customStyle="1" w:styleId="a3">
    <w:name w:val="Основний текст Знак"/>
    <w:link w:val="a4"/>
    <w:locked/>
    <w:rsid w:val="003C6E6D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3C6E6D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ru-RU" w:eastAsia="ru-RU"/>
    </w:rPr>
  </w:style>
  <w:style w:type="character" w:customStyle="1" w:styleId="11">
    <w:name w:val="Основний текст Знак1"/>
    <w:basedOn w:val="a0"/>
    <w:uiPriority w:val="99"/>
    <w:semiHidden/>
    <w:rsid w:val="003C6E6D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C6E6D"/>
    <w:pPr>
      <w:tabs>
        <w:tab w:val="center" w:pos="4819"/>
        <w:tab w:val="right" w:pos="9639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Верхній колонтитул Знак"/>
    <w:basedOn w:val="a0"/>
    <w:link w:val="a5"/>
    <w:uiPriority w:val="99"/>
    <w:rsid w:val="003C6E6D"/>
    <w:rPr>
      <w:rFonts w:ascii="Calibri" w:eastAsia="Calibri" w:hAnsi="Calibri" w:cs="Times New Roman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3C6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C6E6D"/>
    <w:rPr>
      <w:rFonts w:ascii="Calibri" w:eastAsia="Calibri" w:hAnsi="Calibri" w:cs="Times New Roman"/>
    </w:rPr>
  </w:style>
  <w:style w:type="character" w:customStyle="1" w:styleId="rvts0">
    <w:name w:val="rvts0"/>
    <w:rsid w:val="00A55934"/>
  </w:style>
  <w:style w:type="paragraph" w:styleId="a9">
    <w:name w:val="List Paragraph"/>
    <w:basedOn w:val="a"/>
    <w:uiPriority w:val="34"/>
    <w:qFormat/>
    <w:rsid w:val="00A55934"/>
    <w:pPr>
      <w:ind w:left="720"/>
      <w:contextualSpacing/>
    </w:pPr>
  </w:style>
  <w:style w:type="character" w:customStyle="1" w:styleId="st42">
    <w:name w:val="st42"/>
    <w:uiPriority w:val="99"/>
    <w:rsid w:val="00B02BA1"/>
    <w:rPr>
      <w:rFonts w:ascii="Times New Roman" w:hAnsi="Times New Roman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41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vts23">
    <w:name w:val="rvts23"/>
    <w:basedOn w:val="a0"/>
    <w:rsid w:val="00943C19"/>
  </w:style>
  <w:style w:type="character" w:customStyle="1" w:styleId="rvts44">
    <w:name w:val="rvts44"/>
    <w:basedOn w:val="a0"/>
    <w:rsid w:val="007D2FF8"/>
  </w:style>
  <w:style w:type="paragraph" w:styleId="aa">
    <w:name w:val="Balloon Text"/>
    <w:basedOn w:val="a"/>
    <w:link w:val="ab"/>
    <w:uiPriority w:val="99"/>
    <w:semiHidden/>
    <w:unhideWhenUsed/>
    <w:rsid w:val="0008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834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4815</Words>
  <Characters>2746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2020-09-22T13:31:00Z</dcterms:created>
  <dcterms:modified xsi:type="dcterms:W3CDTF">2020-09-22T13:31:00Z</dcterms:modified>
</cp:coreProperties>
</file>