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D9" w:rsidRDefault="00E15CD9" w:rsidP="00E15CD9">
      <w:pPr>
        <w:pStyle w:val="2"/>
        <w:jc w:val="center"/>
        <w:rPr>
          <w:sz w:val="22"/>
          <w:szCs w:val="22"/>
        </w:rPr>
      </w:pPr>
      <w:bookmarkStart w:id="0" w:name="_GoBack"/>
      <w:bookmarkEnd w:id="0"/>
    </w:p>
    <w:p w:rsidR="00E15CD9" w:rsidRDefault="00E15CD9" w:rsidP="00E15CD9">
      <w:pPr>
        <w:pStyle w:val="2"/>
        <w:jc w:val="center"/>
        <w:rPr>
          <w:i/>
          <w:color w:val="000000"/>
          <w:bdr w:val="none" w:sz="0" w:space="0" w:color="auto" w:frame="1"/>
        </w:rPr>
      </w:pPr>
      <w:r>
        <w:rPr>
          <w:b/>
          <w:bdr w:val="none" w:sz="0" w:space="0" w:color="auto" w:frame="1"/>
        </w:rPr>
        <w:t>ПОЯСНЮВАЛЬНА ЗАПИСКА</w:t>
      </w:r>
      <w:r>
        <w:rPr>
          <w:b/>
        </w:rPr>
        <w:t> </w:t>
      </w:r>
      <w:r>
        <w:rPr>
          <w:b/>
        </w:rPr>
        <w:br/>
      </w:r>
      <w:bookmarkStart w:id="1" w:name="n59"/>
      <w:bookmarkEnd w:id="1"/>
      <w:r>
        <w:rPr>
          <w:b/>
          <w:bdr w:val="none" w:sz="0" w:space="0" w:color="auto" w:frame="1"/>
        </w:rPr>
        <w:t xml:space="preserve">до </w:t>
      </w:r>
      <w:r>
        <w:rPr>
          <w:b/>
          <w:color w:val="000000"/>
          <w:bdr w:val="none" w:sz="0" w:space="0" w:color="auto" w:frame="1"/>
        </w:rPr>
        <w:t>проекту Закону України «Про внесення змін до Закону України «Про забезпечення прозорості у видобувних галузях</w:t>
      </w:r>
      <w:r>
        <w:rPr>
          <w:i/>
          <w:color w:val="000000"/>
          <w:bdr w:val="none" w:sz="0" w:space="0" w:color="auto" w:frame="1"/>
        </w:rPr>
        <w:t>»</w:t>
      </w:r>
    </w:p>
    <w:p w:rsidR="00E15CD9" w:rsidRDefault="00E15CD9" w:rsidP="00E15CD9"/>
    <w:p w:rsidR="00E15CD9" w:rsidRDefault="00E15CD9" w:rsidP="00E15CD9">
      <w:pPr>
        <w:pStyle w:val="1"/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 Резюме</w:t>
      </w:r>
    </w:p>
    <w:p w:rsidR="00E15CD9" w:rsidRDefault="00E15CD9" w:rsidP="00E15CD9">
      <w:pPr>
        <w:tabs>
          <w:tab w:val="left" w:pos="3969"/>
          <w:tab w:val="left" w:pos="9133"/>
        </w:tabs>
        <w:ind w:firstLine="709"/>
        <w:jc w:val="both"/>
        <w:rPr>
          <w:sz w:val="28"/>
          <w:szCs w:val="28"/>
        </w:rPr>
      </w:pPr>
      <w:bookmarkStart w:id="2" w:name="n60"/>
      <w:bookmarkEnd w:id="2"/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Закону України «Про внесення змін до Закону України «Про забезпечення прозорості у видобувних галузях» (далі – проект Закону) врегульовує питання щодо виконання Закону України «Про забезпечення прозорості у видобувних галузях», зокрема статті 10 щодо обрання незалежного адміністратора з підготовки звіту ІПВГ відповідно до конкурсної процедури встановленої Законом України «Про публічні закупівлі».</w:t>
      </w:r>
    </w:p>
    <w:p w:rsidR="00E15CD9" w:rsidRDefault="00E15CD9" w:rsidP="00E15CD9">
      <w:pPr>
        <w:tabs>
          <w:tab w:val="left" w:pos="3969"/>
          <w:tab w:val="left" w:pos="9133"/>
        </w:tabs>
        <w:ind w:firstLine="709"/>
        <w:jc w:val="both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5CD9" w:rsidRDefault="00E15CD9" w:rsidP="00E15CD9">
      <w:pPr>
        <w:shd w:val="clear" w:color="auto" w:fill="FFFFFF"/>
        <w:spacing w:before="4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 Проблема, яка потребує розв’язання</w:t>
      </w:r>
    </w:p>
    <w:p w:rsidR="00E15CD9" w:rsidRDefault="00E15CD9" w:rsidP="00E15CD9">
      <w:pPr>
        <w:spacing w:before="4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n63"/>
      <w:bookmarkStart w:id="4" w:name="n65"/>
      <w:bookmarkEnd w:id="3"/>
      <w:bookmarkEnd w:id="4"/>
      <w:r>
        <w:rPr>
          <w:color w:val="000000"/>
          <w:sz w:val="28"/>
          <w:szCs w:val="28"/>
        </w:rPr>
        <w:t xml:space="preserve"> Статтею  10 Закону України «Про забезпечення прозорості у видобувних галузях» визначено,  що звіт ІПВГ готується незалежним адміністратором, який обирається на конкурсній основі центральним органом виконавчої влади, що забезпечує формування державної політики у сфері енергетики та вугільної промисловості. Порядок проведення конкурсу щодо обрання незалежного адміністратора встановлюється центральним органом виконавчої влади, що забезпечує формування державної політики у сфері енергетики та вугільної промисловості за погодженням з багатосторонньою групою з імплементації Ініціативи щодо забезпечення прозорості у видобувних галузях.</w:t>
      </w:r>
    </w:p>
    <w:p w:rsidR="00E15CD9" w:rsidRDefault="00E15CD9" w:rsidP="00E15CD9">
      <w:pPr>
        <w:spacing w:before="4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 ІПВГ готується відповідно до технічного завдання, затвердженого центральним органом виконавчої влади, що забезпечує формування державної політики у сфері енергетики та вугільної промисловості, та погодженого багатосторонньою групою з імплементації ІПВГ. Зміст технічного завдання та звіту ІПВГ має відповідати вимогам ІПВГ.</w:t>
      </w:r>
    </w:p>
    <w:p w:rsidR="00E15CD9" w:rsidRDefault="00E15CD9" w:rsidP="00E15CD9">
      <w:pPr>
        <w:spacing w:before="4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статі 2 Закону України «Про публічні закупівлі» умови, порядок та процедури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 xml:space="preserve"> товарів, робіт і послуг регулюються виключно цим Законом та/або Законом України «Про особливості здійснення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 xml:space="preserve"> товарів, робіт і послуг для гарантованого забезпечення потреб оборони». При цьому, умови, порядок та процедури 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 xml:space="preserve"> не можуть встановлюватися або змінюватися іншими законами України (крім тих законів, що містять виключно норми щодо внесення змін до Закону України «Про публічні закупівлі» та/або до Закону України «Про особливості здійснення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 xml:space="preserve"> товарів, робіт і послуг для гарантованого забезпечення потреб оборони»). Інші правила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 xml:space="preserve"> можуть застосовуватися лише у випадках, перелік яких  встановлений частиною третьою та четвертою статті 2 Закону України «Про публічні закупівлі». </w:t>
      </w:r>
    </w:p>
    <w:p w:rsidR="00E15CD9" w:rsidRDefault="00E15CD9" w:rsidP="00E15CD9">
      <w:pPr>
        <w:spacing w:before="4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щодо обрання незалежного адміністратора в рамках імплементації  ІПВГ до переліку встановлених винятків не входить, відповідно, при закупівлі таких послуг Міненерго має на загальних засадах керуватися </w:t>
      </w:r>
    </w:p>
    <w:p w:rsidR="00E15CD9" w:rsidRDefault="00E15CD9" w:rsidP="00E15CD9">
      <w:pPr>
        <w:spacing w:before="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виключно положеннями загального законодавства зокрема законодавства в сфері публічних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>.</w:t>
      </w:r>
    </w:p>
    <w:p w:rsidR="00E15CD9" w:rsidRDefault="00E15CD9" w:rsidP="00E15CD9">
      <w:pPr>
        <w:spacing w:before="40"/>
        <w:ind w:firstLine="709"/>
        <w:jc w:val="both"/>
        <w:textAlignment w:val="baseline"/>
        <w:rPr>
          <w:color w:val="000000"/>
          <w:sz w:val="20"/>
          <w:szCs w:val="20"/>
        </w:rPr>
      </w:pPr>
    </w:p>
    <w:p w:rsidR="00E15CD9" w:rsidRDefault="00E15CD9" w:rsidP="00E15CD9">
      <w:pPr>
        <w:spacing w:before="40"/>
        <w:ind w:firstLine="709"/>
        <w:jc w:val="both"/>
        <w:textAlignment w:val="baseline"/>
        <w:rPr>
          <w:color w:val="000000"/>
          <w:sz w:val="20"/>
          <w:szCs w:val="20"/>
        </w:rPr>
      </w:pPr>
    </w:p>
    <w:p w:rsidR="00E15CD9" w:rsidRDefault="00E15CD9" w:rsidP="00E15CD9">
      <w:pPr>
        <w:spacing w:before="40"/>
        <w:ind w:firstLine="709"/>
        <w:jc w:val="both"/>
        <w:textAlignment w:val="baseline"/>
        <w:rPr>
          <w:color w:val="000000"/>
          <w:sz w:val="20"/>
          <w:szCs w:val="20"/>
        </w:rPr>
      </w:pPr>
    </w:p>
    <w:p w:rsidR="00E15CD9" w:rsidRDefault="00E15CD9" w:rsidP="00E15CD9">
      <w:pPr>
        <w:spacing w:before="4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Оскільки незалежний адміністратор є суб’єктом господарювання, і надає послуги на оплатній основі, укладанню договору з таким суб’єктом мають передувати процедури визначення умов відповідного договору, а також вибору такого суб’єкта, відповідно до вимог  встановлених Законом України «Про публічні закупівлі».</w:t>
      </w:r>
    </w:p>
    <w:p w:rsidR="00E15CD9" w:rsidRDefault="00E15CD9" w:rsidP="00E15CD9">
      <w:pPr>
        <w:spacing w:before="4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прийняття Закону України закупівля послуг незалежного адміністратора здійснювалася за кошти Міжнародного банку реконструкції та розвитку відповідно до встановлених зазначеним банком процедур закупівлі. Тому в </w:t>
      </w:r>
      <w:proofErr w:type="spellStart"/>
      <w:r>
        <w:rPr>
          <w:color w:val="000000"/>
          <w:sz w:val="28"/>
          <w:szCs w:val="28"/>
        </w:rPr>
        <w:t>проєкті</w:t>
      </w:r>
      <w:proofErr w:type="spellEnd"/>
      <w:r>
        <w:rPr>
          <w:color w:val="000000"/>
          <w:sz w:val="28"/>
          <w:szCs w:val="28"/>
        </w:rPr>
        <w:t xml:space="preserve"> Закону передбачена можливість закупівлі послуг незалежного адміністратора рахунок коштів міжнародних фінансових організацій відповідно до встановлених ними правил.</w:t>
      </w:r>
    </w:p>
    <w:p w:rsidR="00E15CD9" w:rsidRDefault="00E15CD9" w:rsidP="00E15CD9">
      <w:pPr>
        <w:spacing w:before="4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Технічне завдання</w:t>
      </w:r>
      <w:r>
        <w:t xml:space="preserve"> </w:t>
      </w:r>
      <w:r>
        <w:rPr>
          <w:color w:val="000000"/>
          <w:sz w:val="28"/>
          <w:szCs w:val="28"/>
        </w:rPr>
        <w:t>незалежному адміністратору щодо надання послуг з підготовки звіту ІПВГ є частиною тендерної документації, що готується відповідно до вимог Закону України «Про публічні закупівлі» та має відповідати вимогам ІПВГ</w:t>
      </w:r>
    </w:p>
    <w:p w:rsidR="00E15CD9" w:rsidRDefault="00E15CD9" w:rsidP="00E15CD9">
      <w:pPr>
        <w:spacing w:before="4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Законі України «Про забезпечення прозорості у видобувних галузях» чітко не визначено, що підготовка звіту ІПВГ є послугою, яку надає незалежний адміністратор обраний відповідно до чинного законодавства у сфері 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 xml:space="preserve">. Тому прийняття проекту Закону обумовлено необхідністю усунення колізії положень Закону України «Про забезпечення прозорості у видобувних галузях»  та Закону України «Про публічні закупівлі». </w:t>
      </w:r>
    </w:p>
    <w:p w:rsidR="00E15CD9" w:rsidRDefault="00E15CD9" w:rsidP="00E15CD9">
      <w:pPr>
        <w:spacing w:before="4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15CD9" w:rsidRDefault="00E15CD9" w:rsidP="00E15CD9">
      <w:pPr>
        <w:spacing w:before="4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 Суть проекту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акта</w:t>
      </w:r>
      <w:proofErr w:type="spellEnd"/>
    </w:p>
    <w:p w:rsidR="00E15CD9" w:rsidRDefault="00E15CD9" w:rsidP="00E15CD9">
      <w:pPr>
        <w:spacing w:before="4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Проектом Закону встановлюється, що незалежний адміністратор який готує звіт ІПВГ обирається </w:t>
      </w:r>
      <w:r>
        <w:rPr>
          <w:sz w:val="28"/>
          <w:szCs w:val="28"/>
        </w:rPr>
        <w:t>центральним органом виконавчої влади, що забезпечує формування державної політики у сфері енергетики та вугільної промисловості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з дотриманням вимог Закону України «Про публічні закупівлі» без встановлення додаткових умов такого відбору, оскільки такі вимоги вже врегульовані Законом України «Про публічні закупівлі».</w:t>
      </w:r>
    </w:p>
    <w:p w:rsidR="00E15CD9" w:rsidRDefault="00E15CD9" w:rsidP="00E15CD9">
      <w:pPr>
        <w:spacing w:before="4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5CD9" w:rsidRDefault="00E15CD9" w:rsidP="00E15CD9">
      <w:pPr>
        <w:shd w:val="clear" w:color="auto" w:fill="FFFFFF"/>
        <w:spacing w:before="4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 Вплив на бюджет</w:t>
      </w:r>
    </w:p>
    <w:p w:rsidR="00E15CD9" w:rsidRDefault="00E15CD9" w:rsidP="00E15CD9">
      <w:pPr>
        <w:pStyle w:val="a5"/>
        <w:spacing w:before="40" w:beforeAutospacing="0" w:after="0" w:afterAutospacing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bookmarkStart w:id="5" w:name="n71"/>
      <w:bookmarkStart w:id="6" w:name="n73"/>
      <w:bookmarkEnd w:id="5"/>
      <w:bookmarkEnd w:id="6"/>
      <w:r>
        <w:rPr>
          <w:rFonts w:eastAsia="Calibri"/>
          <w:sz w:val="28"/>
          <w:szCs w:val="28"/>
          <w:lang w:val="uk-UA" w:eastAsia="en-US"/>
        </w:rPr>
        <w:t xml:space="preserve">Реалізація проекту Закону не потребує  фінансування  з державного чи місцевого бюджетів. Реалізація проекту Закону здійснюватиметься за рахунок і в межах бюджетних призначень, передбачених центральним органам виконавчої влади на відповідний рік, інших джерел, не заборонених законодавством. </w:t>
      </w:r>
    </w:p>
    <w:p w:rsidR="00E15CD9" w:rsidRDefault="00E15CD9" w:rsidP="00E15CD9">
      <w:pPr>
        <w:pStyle w:val="a5"/>
        <w:spacing w:before="40" w:beforeAutospacing="0" w:after="0" w:afterAutospacing="0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E15CD9" w:rsidRDefault="00E15CD9" w:rsidP="00E15CD9">
      <w:pPr>
        <w:shd w:val="clear" w:color="auto" w:fill="FFFFFF"/>
        <w:spacing w:before="4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 Позиція заінтересованих сторін</w:t>
      </w:r>
    </w:p>
    <w:p w:rsidR="00E15CD9" w:rsidRDefault="00E15CD9" w:rsidP="00E15CD9">
      <w:pPr>
        <w:pStyle w:val="a3"/>
        <w:widowControl w:val="0"/>
        <w:spacing w:before="40"/>
        <w:ind w:firstLine="709"/>
        <w:rPr>
          <w:iCs/>
          <w:szCs w:val="28"/>
        </w:rPr>
      </w:pPr>
      <w:r>
        <w:rPr>
          <w:iCs/>
          <w:szCs w:val="28"/>
        </w:rPr>
        <w:t>Проект Закону не стосується інтересів окремих верств (груп) населення, об’єднаних спільними інтересами; не стосується питань функціонування місцевого самоврядування, прав та інтересів територіальних громад, місцевого та регіонального розвитку; не стосується соціально-трудової сфери і сфери наукової та науково-технічної діяльності.</w:t>
      </w:r>
    </w:p>
    <w:p w:rsidR="00E15CD9" w:rsidRDefault="00E15CD9" w:rsidP="00E15CD9">
      <w:pPr>
        <w:pStyle w:val="a5"/>
        <w:spacing w:before="40" w:beforeAutospacing="0" w:after="0" w:afterAutospacing="0"/>
        <w:ind w:firstLine="709"/>
        <w:jc w:val="both"/>
        <w:rPr>
          <w:rFonts w:eastAsia="Calibri"/>
          <w:b/>
          <w:sz w:val="22"/>
          <w:szCs w:val="22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br/>
      </w:r>
    </w:p>
    <w:p w:rsidR="00E15CD9" w:rsidRDefault="00E15CD9" w:rsidP="00E15CD9">
      <w:pPr>
        <w:pStyle w:val="a5"/>
        <w:spacing w:before="4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6. Прогноз впливу</w:t>
      </w:r>
    </w:p>
    <w:p w:rsidR="00E15CD9" w:rsidRDefault="00E15CD9" w:rsidP="00E15CD9">
      <w:pPr>
        <w:pStyle w:val="a5"/>
        <w:spacing w:before="4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Реалізація положень проекту Закону не має впливу на ключові інтереси заінтересованих сторін.</w:t>
      </w:r>
    </w:p>
    <w:p w:rsidR="00E15CD9" w:rsidRDefault="00E15CD9" w:rsidP="00E15CD9">
      <w:pPr>
        <w:pStyle w:val="a5"/>
        <w:spacing w:before="4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Проект Закону за предметом правового регулювання не має впливу  на ринкове середовище, забезпечення захисту прав та інтересів суб'єктів господарювання, громадян і держави; розвиток регіонів, підвищення чи зниження спроможності територіальних громад; ринок праці, рівень зайнятості; громадське здоров’я, покращення чи погіршення стану здоров'я населення або його окремих груп; екологію та навколишнє природне середовище, обсяг природних ресурсів, рівень забруднення утвореними відходами, інші суспільні відносини. </w:t>
      </w:r>
    </w:p>
    <w:p w:rsidR="00E15CD9" w:rsidRDefault="00E15CD9" w:rsidP="00E15CD9">
      <w:pPr>
        <w:pStyle w:val="a5"/>
        <w:spacing w:before="4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15CD9" w:rsidRDefault="00E15CD9" w:rsidP="00E15CD9">
      <w:pPr>
        <w:shd w:val="clear" w:color="auto" w:fill="FFFFFF"/>
        <w:spacing w:before="4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7. Позиція заінтересованих органів</w:t>
      </w:r>
    </w:p>
    <w:p w:rsidR="00E15CD9" w:rsidRDefault="00E15CD9" w:rsidP="00E15CD9">
      <w:pPr>
        <w:shd w:val="clear" w:color="auto" w:fill="FFFFFF"/>
        <w:spacing w:before="40"/>
        <w:ind w:firstLine="709"/>
        <w:jc w:val="both"/>
        <w:textAlignment w:val="baseline"/>
        <w:rPr>
          <w:sz w:val="28"/>
          <w:szCs w:val="28"/>
        </w:rPr>
      </w:pPr>
      <w:bookmarkStart w:id="7" w:name="n95"/>
      <w:bookmarkStart w:id="8" w:name="n98"/>
      <w:bookmarkEnd w:id="7"/>
      <w:bookmarkEnd w:id="8"/>
      <w:r>
        <w:rPr>
          <w:sz w:val="28"/>
          <w:szCs w:val="28"/>
        </w:rPr>
        <w:t>Проект Закону погоджено Міністерством розвитку економіки, торгівлі та сільського господарства – без зауважень, Міністерством фінансів – із зауваженнями, які не враховано.</w:t>
      </w:r>
    </w:p>
    <w:p w:rsidR="00E15CD9" w:rsidRDefault="00E15CD9" w:rsidP="00E15CD9">
      <w:pPr>
        <w:shd w:val="clear" w:color="auto" w:fill="FFFFFF"/>
        <w:spacing w:before="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Висновок Міністерства юстиції України за результатами правової експертизи проекту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від 24.06.2020 №277708/12639-26-20/8.2.2 із зауваженнями щодо недотримання вимог </w:t>
      </w:r>
      <w:proofErr w:type="spellStart"/>
      <w:r>
        <w:rPr>
          <w:sz w:val="28"/>
          <w:szCs w:val="28"/>
        </w:rPr>
        <w:t>нормопроектувальної</w:t>
      </w:r>
      <w:proofErr w:type="spellEnd"/>
      <w:r>
        <w:rPr>
          <w:sz w:val="28"/>
          <w:szCs w:val="28"/>
        </w:rPr>
        <w:t xml:space="preserve"> техніки.</w:t>
      </w:r>
    </w:p>
    <w:p w:rsidR="00E15CD9" w:rsidRDefault="00E15CD9" w:rsidP="00E15CD9">
      <w:pPr>
        <w:shd w:val="clear" w:color="auto" w:fill="FFFFFF"/>
        <w:spacing w:before="40"/>
        <w:ind w:firstLine="709"/>
        <w:jc w:val="both"/>
        <w:textAlignment w:val="baseline"/>
        <w:rPr>
          <w:sz w:val="28"/>
          <w:szCs w:val="28"/>
        </w:rPr>
      </w:pPr>
    </w:p>
    <w:p w:rsidR="00E15CD9" w:rsidRDefault="00E15CD9" w:rsidP="00E15CD9">
      <w:pPr>
        <w:shd w:val="clear" w:color="auto" w:fill="FFFFFF"/>
        <w:spacing w:before="4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8. Ризики та обмеження</w:t>
      </w:r>
    </w:p>
    <w:p w:rsidR="00E15CD9" w:rsidRDefault="00E15CD9" w:rsidP="00E15CD9">
      <w:pPr>
        <w:shd w:val="clear" w:color="auto" w:fill="FFFFFF"/>
        <w:tabs>
          <w:tab w:val="left" w:pos="7088"/>
        </w:tabs>
        <w:spacing w:before="4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 проекті Закону відсутні положення, що стосуються прав та свобод, гарантованих Конвенцією про захист прав людини і основоположних свобод,  впливають на забезпечення рівних прав та можливостей жінок і чоловіків, ризики вчинення корупційних правопорушень та правопорушень, пов’язаних з корупцією, не створюють підстави для дискримінації, не стосуються інших ризиків та обмежень, які можуть виникнути під час реалізації </w:t>
      </w:r>
      <w:proofErr w:type="spellStart"/>
      <w:r>
        <w:rPr>
          <w:sz w:val="28"/>
          <w:szCs w:val="28"/>
          <w:shd w:val="clear" w:color="auto" w:fill="FFFFFF"/>
        </w:rPr>
        <w:t>акта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E15CD9" w:rsidRDefault="00E15CD9" w:rsidP="00E15CD9">
      <w:pPr>
        <w:shd w:val="clear" w:color="auto" w:fill="FFFFFF"/>
        <w:spacing w:before="40"/>
        <w:ind w:firstLine="709"/>
        <w:jc w:val="both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E15CD9" w:rsidRDefault="00E15CD9" w:rsidP="00E15CD9">
      <w:pPr>
        <w:shd w:val="clear" w:color="auto" w:fill="FFFFFF"/>
        <w:spacing w:before="4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9. Підстава розроблення проекту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акта</w:t>
      </w:r>
      <w:proofErr w:type="spellEnd"/>
    </w:p>
    <w:p w:rsidR="00E15CD9" w:rsidRDefault="00E15CD9" w:rsidP="00E15CD9">
      <w:pPr>
        <w:shd w:val="clear" w:color="auto" w:fill="FFFFFF"/>
        <w:tabs>
          <w:tab w:val="left" w:pos="7088"/>
        </w:tabs>
        <w:spacing w:before="40"/>
        <w:ind w:firstLine="709"/>
        <w:jc w:val="both"/>
        <w:textAlignment w:val="baseline"/>
        <w:rPr>
          <w:color w:val="000000"/>
          <w:sz w:val="28"/>
          <w:szCs w:val="28"/>
          <w:highlight w:val="yellow"/>
        </w:rPr>
      </w:pPr>
      <w:bookmarkStart w:id="9" w:name="n61"/>
      <w:bookmarkStart w:id="10" w:name="n62"/>
      <w:bookmarkEnd w:id="9"/>
      <w:bookmarkEnd w:id="10"/>
      <w:r>
        <w:rPr>
          <w:color w:val="000000"/>
          <w:sz w:val="28"/>
          <w:szCs w:val="28"/>
        </w:rPr>
        <w:t>Проект Закону розроблено на виконання</w:t>
      </w:r>
      <w:r>
        <w:t xml:space="preserve"> </w:t>
      </w:r>
      <w:r>
        <w:rPr>
          <w:color w:val="000000"/>
          <w:sz w:val="28"/>
          <w:szCs w:val="28"/>
        </w:rPr>
        <w:t>доручення Кабінету Міністрів України від 14.11.2019 № 36231/1/1-19 стосовно перегляду і приведення нормативно-правових актів у відповідність із Законом України від 12.09.2019 № 114-IX «Про внесення змін до Закону України «Про публічні закупівлі» та з метою виконання Закону України «Про забезпечення прозорості у видобувних галузях».</w:t>
      </w:r>
    </w:p>
    <w:p w:rsidR="00E15CD9" w:rsidRDefault="00E15CD9" w:rsidP="00E15CD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highlight w:val="yellow"/>
        </w:rPr>
      </w:pPr>
      <w:bookmarkStart w:id="11" w:name="n109"/>
      <w:bookmarkStart w:id="12" w:name="n110"/>
      <w:bookmarkEnd w:id="11"/>
      <w:bookmarkEnd w:id="12"/>
    </w:p>
    <w:p w:rsidR="00E15CD9" w:rsidRDefault="00E15CD9" w:rsidP="00E15CD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E15CD9" w:rsidRDefault="00E15CD9" w:rsidP="00E15CD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E15CD9" w:rsidRDefault="00E15CD9" w:rsidP="00E15CD9">
      <w:pPr>
        <w:tabs>
          <w:tab w:val="left" w:pos="6804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В. о. Міністра енергетики України </w:t>
      </w:r>
      <w:r>
        <w:rPr>
          <w:b/>
          <w:bCs/>
          <w:sz w:val="28"/>
          <w:szCs w:val="28"/>
        </w:rPr>
        <w:tab/>
        <w:t xml:space="preserve"> Ольга БУСЛАВЕЦЬ</w:t>
      </w:r>
    </w:p>
    <w:p w:rsidR="00E15CD9" w:rsidRDefault="00E15CD9"/>
    <w:sectPr w:rsidR="00E15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9"/>
    <w:rsid w:val="006738E6"/>
    <w:rsid w:val="0087336C"/>
    <w:rsid w:val="00907489"/>
    <w:rsid w:val="00A479D9"/>
    <w:rsid w:val="00E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292A8-A0A2-4D77-AA02-502A2A48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D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5CD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15C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15CD9"/>
    <w:pPr>
      <w:ind w:right="-128" w:firstLine="540"/>
      <w:jc w:val="both"/>
    </w:pPr>
    <w:rPr>
      <w:sz w:val="28"/>
    </w:rPr>
  </w:style>
  <w:style w:type="character" w:customStyle="1" w:styleId="a4">
    <w:name w:val="Основний текст з відступом Знак"/>
    <w:link w:val="a3"/>
    <w:rsid w:val="00E15C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E15CD9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rsid w:val="00E15CD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4516</Words>
  <Characters>2575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2020-07-23T14:19:00Z</dcterms:created>
  <dcterms:modified xsi:type="dcterms:W3CDTF">2020-07-23T14:19:00Z</dcterms:modified>
</cp:coreProperties>
</file>