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5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30657E" w:rsidRPr="00C81789" w14:paraId="0DB280DB" w14:textId="77777777" w:rsidTr="005A5032">
        <w:tc>
          <w:tcPr>
            <w:tcW w:w="11957" w:type="dxa"/>
            <w:tcBorders>
              <w:top w:val="nil"/>
              <w:left w:val="nil"/>
              <w:bottom w:val="nil"/>
              <w:right w:val="nil"/>
            </w:tcBorders>
          </w:tcPr>
          <w:p w14:paraId="1B1FB13A" w14:textId="77777777" w:rsidR="0030657E" w:rsidRPr="00C81789" w:rsidRDefault="0030657E" w:rsidP="005A5032">
            <w:pPr>
              <w:spacing w:after="0" w:line="240" w:lineRule="auto"/>
              <w:ind w:left="1454" w:hanging="284"/>
              <w:jc w:val="center"/>
              <w:rPr>
                <w:rFonts w:ascii="Times New Roman" w:eastAsia="Calibri" w:hAnsi="Times New Roman" w:cs="Times New Roman"/>
                <w:color w:val="002060"/>
                <w:sz w:val="32"/>
                <w:szCs w:val="32"/>
              </w:rPr>
            </w:pPr>
            <w:bookmarkStart w:id="0" w:name="_GoBack"/>
            <w:bookmarkEnd w:id="0"/>
          </w:p>
          <w:p w14:paraId="29DEAD5A" w14:textId="77777777" w:rsidR="0030657E" w:rsidRPr="00C81789" w:rsidRDefault="0030657E" w:rsidP="005A5032">
            <w:pPr>
              <w:spacing w:after="0" w:line="240" w:lineRule="auto"/>
              <w:jc w:val="center"/>
              <w:rPr>
                <w:rFonts w:ascii="Times New Roman" w:eastAsia="Calibri" w:hAnsi="Times New Roman" w:cs="Times New Roman"/>
                <w:color w:val="002060"/>
                <w:sz w:val="32"/>
                <w:szCs w:val="32"/>
              </w:rPr>
            </w:pPr>
          </w:p>
          <w:p w14:paraId="5EAD20C6" w14:textId="77777777" w:rsidR="0030657E" w:rsidRPr="00C81789" w:rsidRDefault="0030657E" w:rsidP="005A5032">
            <w:pPr>
              <w:spacing w:after="0" w:line="240" w:lineRule="auto"/>
              <w:jc w:val="center"/>
              <w:rPr>
                <w:rFonts w:ascii="Times New Roman" w:eastAsia="Calibri" w:hAnsi="Times New Roman" w:cs="Times New Roman"/>
                <w:color w:val="002060"/>
                <w:sz w:val="32"/>
                <w:szCs w:val="32"/>
              </w:rPr>
            </w:pPr>
          </w:p>
          <w:p w14:paraId="32CF25EB" w14:textId="77777777" w:rsidR="0030657E" w:rsidRPr="00C81789" w:rsidRDefault="0030657E" w:rsidP="005A5032">
            <w:pPr>
              <w:spacing w:before="80" w:after="0" w:line="240" w:lineRule="auto"/>
              <w:jc w:val="center"/>
              <w:rPr>
                <w:rFonts w:ascii="Times New Roman" w:eastAsia="Calibri" w:hAnsi="Times New Roman" w:cs="Times New Roman"/>
                <w:color w:val="1829A8"/>
                <w:spacing w:val="20"/>
                <w:sz w:val="34"/>
                <w:szCs w:val="34"/>
              </w:rPr>
            </w:pPr>
            <w:r w:rsidRPr="00C81789">
              <w:rPr>
                <w:rFonts w:ascii="Times New Roman" w:eastAsia="Calibri" w:hAnsi="Times New Roman" w:cs="Times New Roman"/>
                <w:noProof/>
                <w:spacing w:val="20"/>
                <w:sz w:val="34"/>
                <w:szCs w:val="34"/>
                <w:lang w:eastAsia="uk-UA"/>
              </w:rPr>
              <w:drawing>
                <wp:anchor distT="360045" distB="0" distL="114300" distR="114300" simplePos="0" relativeHeight="251659264" behindDoc="0" locked="0" layoutInCell="1" allowOverlap="1" wp14:anchorId="7DFA5128" wp14:editId="07085F00">
                  <wp:simplePos x="0" y="0"/>
                  <wp:positionH relativeFrom="margin">
                    <wp:posOffset>3474085</wp:posOffset>
                  </wp:positionH>
                  <wp:positionV relativeFrom="paragraph">
                    <wp:posOffset>-801370</wp:posOffset>
                  </wp:positionV>
                  <wp:extent cx="461010" cy="636905"/>
                  <wp:effectExtent l="0" t="0" r="0" b="0"/>
                  <wp:wrapSquare wrapText="bothSides"/>
                  <wp:docPr id="3"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Pr="00C81789">
              <w:rPr>
                <w:rFonts w:ascii="Times New Roman" w:eastAsia="Calibri" w:hAnsi="Times New Roman" w:cs="Times New Roman"/>
                <w:color w:val="1829A8"/>
                <w:spacing w:val="20"/>
                <w:sz w:val="34"/>
                <w:szCs w:val="34"/>
              </w:rPr>
              <w:t>ВЕРХОВНА РАДА УКРАЇНИ</w:t>
            </w:r>
          </w:p>
          <w:p w14:paraId="4FEE87FB" w14:textId="77777777" w:rsidR="0030657E" w:rsidRPr="00C81789" w:rsidRDefault="0030657E" w:rsidP="005A5032">
            <w:pPr>
              <w:spacing w:before="100" w:after="0" w:line="240" w:lineRule="auto"/>
              <w:jc w:val="center"/>
              <w:rPr>
                <w:rFonts w:ascii="Times New Roman" w:eastAsia="Calibri" w:hAnsi="Times New Roman" w:cs="Times New Roman"/>
                <w:b/>
                <w:color w:val="1829A8"/>
                <w:spacing w:val="20"/>
                <w:sz w:val="24"/>
                <w:szCs w:val="24"/>
              </w:rPr>
            </w:pPr>
            <w:r w:rsidRPr="00C81789">
              <w:rPr>
                <w:rFonts w:ascii="Times New Roman" w:eastAsia="Calibri" w:hAnsi="Times New Roman" w:cs="Times New Roman"/>
                <w:b/>
                <w:color w:val="1829A8"/>
                <w:spacing w:val="20"/>
                <w:sz w:val="24"/>
                <w:szCs w:val="24"/>
              </w:rPr>
              <w:t>Комітет з питань правоохоронної діяльності</w:t>
            </w:r>
          </w:p>
          <w:p w14:paraId="0CE37956" w14:textId="77777777" w:rsidR="0030657E" w:rsidRPr="00C81789" w:rsidRDefault="0030657E" w:rsidP="005A5032">
            <w:pPr>
              <w:spacing w:before="160" w:after="60" w:line="240" w:lineRule="auto"/>
              <w:jc w:val="center"/>
              <w:rPr>
                <w:rFonts w:ascii="Times New Roman" w:eastAsia="Calibri" w:hAnsi="Times New Roman" w:cs="Times New Roman"/>
                <w:color w:val="002060"/>
                <w:sz w:val="20"/>
                <w:szCs w:val="20"/>
              </w:rPr>
            </w:pPr>
            <w:r w:rsidRPr="00C81789">
              <w:rPr>
                <w:rFonts w:ascii="Times New Roman" w:eastAsia="Calibri" w:hAnsi="Times New Roman" w:cs="Times New Roman"/>
                <w:color w:val="1829A8"/>
                <w:sz w:val="20"/>
                <w:szCs w:val="20"/>
              </w:rPr>
              <w:t xml:space="preserve">01008, м.Київ-8, вул. М. Грушевського, 5, </w:t>
            </w:r>
            <w:proofErr w:type="spellStart"/>
            <w:r w:rsidRPr="00C81789">
              <w:rPr>
                <w:rFonts w:ascii="Times New Roman" w:eastAsia="Calibri" w:hAnsi="Times New Roman" w:cs="Times New Roman"/>
                <w:color w:val="1829A8"/>
                <w:sz w:val="20"/>
                <w:szCs w:val="20"/>
              </w:rPr>
              <w:t>тел</w:t>
            </w:r>
            <w:proofErr w:type="spellEnd"/>
            <w:r w:rsidRPr="00C81789">
              <w:rPr>
                <w:rFonts w:ascii="Times New Roman" w:eastAsia="Calibri" w:hAnsi="Times New Roman" w:cs="Times New Roman"/>
                <w:color w:val="1829A8"/>
                <w:sz w:val="20"/>
                <w:szCs w:val="20"/>
              </w:rPr>
              <w:t>.: 255-35-06</w:t>
            </w:r>
          </w:p>
        </w:tc>
      </w:tr>
    </w:tbl>
    <w:tbl>
      <w:tblPr>
        <w:tblStyle w:val="a3"/>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7"/>
        <w:gridCol w:w="8554"/>
        <w:gridCol w:w="1086"/>
      </w:tblGrid>
      <w:tr w:rsidR="0030657E" w:rsidRPr="00C81789" w14:paraId="77356B69" w14:textId="77777777" w:rsidTr="005A5032">
        <w:tc>
          <w:tcPr>
            <w:tcW w:w="2247" w:type="dxa"/>
            <w:tcBorders>
              <w:top w:val="nil"/>
            </w:tcBorders>
          </w:tcPr>
          <w:p w14:paraId="14061645" w14:textId="77777777" w:rsidR="0030657E" w:rsidRPr="00C81789" w:rsidRDefault="0030657E" w:rsidP="005A5032">
            <w:pPr>
              <w:jc w:val="center"/>
              <w:rPr>
                <w:rFonts w:ascii="Times New Roman" w:hAnsi="Times New Roman"/>
                <w:color w:val="002060"/>
                <w:lang w:val="uk-UA"/>
              </w:rPr>
            </w:pPr>
          </w:p>
        </w:tc>
        <w:tc>
          <w:tcPr>
            <w:tcW w:w="8554" w:type="dxa"/>
          </w:tcPr>
          <w:p w14:paraId="48911E32" w14:textId="77777777" w:rsidR="0030657E" w:rsidRPr="00C81789" w:rsidRDefault="0030657E" w:rsidP="005A5032">
            <w:pPr>
              <w:jc w:val="center"/>
              <w:rPr>
                <w:rFonts w:ascii="Times New Roman" w:hAnsi="Times New Roman"/>
                <w:color w:val="002060"/>
                <w:lang w:val="uk-UA"/>
              </w:rPr>
            </w:pPr>
          </w:p>
        </w:tc>
        <w:tc>
          <w:tcPr>
            <w:tcW w:w="1086" w:type="dxa"/>
            <w:tcBorders>
              <w:top w:val="nil"/>
            </w:tcBorders>
          </w:tcPr>
          <w:p w14:paraId="024048CC" w14:textId="77777777" w:rsidR="0030657E" w:rsidRPr="00C81789" w:rsidRDefault="0030657E" w:rsidP="005A5032">
            <w:pPr>
              <w:jc w:val="center"/>
              <w:rPr>
                <w:rFonts w:ascii="Times New Roman" w:hAnsi="Times New Roman"/>
                <w:color w:val="002060"/>
                <w:lang w:val="uk-UA"/>
              </w:rPr>
            </w:pPr>
          </w:p>
        </w:tc>
      </w:tr>
    </w:tbl>
    <w:p w14:paraId="45B3FC31" w14:textId="06B4596E" w:rsidR="00C81789" w:rsidRPr="00C81789" w:rsidRDefault="00C81789" w:rsidP="00C81789">
      <w:pPr>
        <w:rPr>
          <w:rFonts w:ascii="Times New Roman" w:hAnsi="Times New Roman" w:cs="Times New Roman"/>
          <w:b/>
          <w:bCs/>
          <w:i/>
          <w:iCs/>
          <w:spacing w:val="-4"/>
          <w:sz w:val="28"/>
          <w:szCs w:val="28"/>
        </w:rPr>
      </w:pPr>
    </w:p>
    <w:p w14:paraId="12CA2F79" w14:textId="7A446E0C" w:rsidR="00C81789" w:rsidRPr="00C81789" w:rsidRDefault="00C81789" w:rsidP="00C81789">
      <w:pPr>
        <w:ind w:firstLine="709"/>
        <w:jc w:val="right"/>
        <w:rPr>
          <w:rFonts w:ascii="Times New Roman" w:hAnsi="Times New Roman" w:cs="Times New Roman"/>
          <w:b/>
          <w:bCs/>
          <w:i/>
          <w:iCs/>
          <w:spacing w:val="-4"/>
          <w:sz w:val="28"/>
          <w:szCs w:val="28"/>
        </w:rPr>
      </w:pPr>
      <w:r w:rsidRPr="00C81789">
        <w:rPr>
          <w:rFonts w:ascii="Times New Roman" w:hAnsi="Times New Roman" w:cs="Times New Roman"/>
          <w:b/>
          <w:bCs/>
          <w:i/>
          <w:iCs/>
          <w:spacing w:val="-4"/>
          <w:sz w:val="28"/>
          <w:szCs w:val="28"/>
        </w:rPr>
        <w:t>ВЕРХОВНА РАДА УКРАЇНИ</w:t>
      </w:r>
    </w:p>
    <w:p w14:paraId="718BF89D" w14:textId="77777777" w:rsidR="00C81789" w:rsidRPr="00C81789" w:rsidRDefault="00C81789" w:rsidP="00C81789">
      <w:pPr>
        <w:pStyle w:val="a4"/>
        <w:ind w:firstLine="709"/>
        <w:jc w:val="both"/>
        <w:rPr>
          <w:sz w:val="28"/>
          <w:szCs w:val="28"/>
          <w:lang w:val="uk-UA"/>
        </w:rPr>
      </w:pPr>
      <w:r w:rsidRPr="00C81789">
        <w:rPr>
          <w:sz w:val="28"/>
          <w:szCs w:val="28"/>
          <w:lang w:val="uk-UA"/>
        </w:rPr>
        <w:t>Комітет Верховної Ради України з питань правоохоронної діяльності за дорученням Голови Верховної Ради України Разумкова Д.О. розглянув на засіданні 30 вересня 2020 року (протокол № 45)</w:t>
      </w:r>
      <w:r w:rsidRPr="00C81789">
        <w:rPr>
          <w:b/>
          <w:sz w:val="28"/>
          <w:szCs w:val="28"/>
          <w:lang w:val="uk-UA"/>
        </w:rPr>
        <w:t xml:space="preserve"> </w:t>
      </w:r>
      <w:r w:rsidRPr="00C81789">
        <w:rPr>
          <w:sz w:val="28"/>
          <w:szCs w:val="28"/>
          <w:lang w:val="uk-UA"/>
        </w:rPr>
        <w:t xml:space="preserve">проект Закону України «Про внесення змін до Кодексу України про адміністративні правопорушення, Кримінального кодексу України та Кримінального процесуального кодексу України щодо виконання рішень Європейського суду з прав людини» </w:t>
      </w:r>
      <w:r w:rsidRPr="00C81789">
        <w:rPr>
          <w:b/>
          <w:sz w:val="28"/>
          <w:szCs w:val="28"/>
          <w:lang w:val="uk-UA"/>
        </w:rPr>
        <w:t>(реєстр. № 4049),</w:t>
      </w:r>
      <w:r w:rsidRPr="00C81789">
        <w:rPr>
          <w:sz w:val="28"/>
          <w:szCs w:val="28"/>
          <w:lang w:val="uk-UA"/>
        </w:rPr>
        <w:t xml:space="preserve"> поданий Кабінетом Міністрів України.</w:t>
      </w:r>
    </w:p>
    <w:p w14:paraId="21CDA010" w14:textId="77777777" w:rsidR="00C81789" w:rsidRPr="00C81789" w:rsidRDefault="00C81789" w:rsidP="00C81789">
      <w:pPr>
        <w:pStyle w:val="a4"/>
        <w:ind w:firstLine="709"/>
        <w:jc w:val="both"/>
        <w:rPr>
          <w:sz w:val="28"/>
          <w:szCs w:val="28"/>
          <w:lang w:val="uk-UA"/>
        </w:rPr>
      </w:pPr>
      <w:r w:rsidRPr="00C81789">
        <w:rPr>
          <w:sz w:val="28"/>
          <w:szCs w:val="28"/>
          <w:lang w:val="uk-UA"/>
        </w:rPr>
        <w:t>Законопроект розроблено з метою</w:t>
      </w:r>
      <w:r w:rsidRPr="00C81789">
        <w:rPr>
          <w:b/>
          <w:sz w:val="28"/>
          <w:szCs w:val="28"/>
          <w:lang w:val="uk-UA"/>
        </w:rPr>
        <w:t xml:space="preserve"> </w:t>
      </w:r>
      <w:r w:rsidRPr="00C81789">
        <w:rPr>
          <w:sz w:val="28"/>
          <w:szCs w:val="28"/>
          <w:lang w:val="uk-UA"/>
        </w:rPr>
        <w:t>приведення положень Кодексу України про адміністративні правопорушення (далі – КУпАП), Кримінального кодексу України (далі –  КК України) та Кримінального процесуального кодексу України (далі – КПК України) у відповідність до практики Європейського суду з прав людини.</w:t>
      </w:r>
    </w:p>
    <w:p w14:paraId="6882578F" w14:textId="77777777" w:rsidR="00C81789" w:rsidRPr="00C81789" w:rsidRDefault="00C81789" w:rsidP="00C81789">
      <w:pPr>
        <w:spacing w:after="0"/>
        <w:ind w:firstLine="709"/>
        <w:jc w:val="both"/>
        <w:rPr>
          <w:rFonts w:ascii="Times New Roman" w:hAnsi="Times New Roman" w:cs="Times New Roman"/>
          <w:sz w:val="28"/>
          <w:szCs w:val="28"/>
          <w:u w:val="single"/>
        </w:rPr>
      </w:pPr>
      <w:r w:rsidRPr="00C81789">
        <w:rPr>
          <w:rFonts w:ascii="Times New Roman" w:hAnsi="Times New Roman" w:cs="Times New Roman"/>
          <w:sz w:val="28"/>
          <w:szCs w:val="28"/>
          <w:u w:val="single"/>
        </w:rPr>
        <w:t>Для реалізації зазначеної мети пропонується:</w:t>
      </w:r>
    </w:p>
    <w:p w14:paraId="6B65E94E" w14:textId="77777777" w:rsidR="00C81789" w:rsidRPr="00C81789" w:rsidRDefault="00C81789" w:rsidP="00C81789">
      <w:pPr>
        <w:spacing w:after="0"/>
        <w:ind w:firstLine="705"/>
        <w:jc w:val="both"/>
        <w:rPr>
          <w:rFonts w:ascii="Times New Roman" w:hAnsi="Times New Roman" w:cs="Times New Roman"/>
          <w:kern w:val="1"/>
          <w:sz w:val="28"/>
          <w:szCs w:val="28"/>
        </w:rPr>
      </w:pPr>
      <w:r w:rsidRPr="00C81789">
        <w:rPr>
          <w:rFonts w:ascii="Times New Roman" w:hAnsi="Times New Roman" w:cs="Times New Roman"/>
          <w:kern w:val="1"/>
          <w:sz w:val="28"/>
          <w:szCs w:val="28"/>
        </w:rPr>
        <w:t>- виключити</w:t>
      </w:r>
      <w:r w:rsidRPr="00C81789">
        <w:rPr>
          <w:rFonts w:ascii="Times New Roman" w:hAnsi="Times New Roman" w:cs="Times New Roman"/>
          <w:sz w:val="28"/>
          <w:szCs w:val="28"/>
        </w:rPr>
        <w:t xml:space="preserve"> </w:t>
      </w:r>
      <w:r w:rsidRPr="00C81789">
        <w:rPr>
          <w:rFonts w:ascii="Times New Roman" w:hAnsi="Times New Roman" w:cs="Times New Roman"/>
          <w:kern w:val="1"/>
          <w:sz w:val="28"/>
          <w:szCs w:val="28"/>
        </w:rPr>
        <w:t>адміністративне стягнення у вигляді адміністративного арешту, збільшивши при цьому граничні межі інших видів стягнень (</w:t>
      </w:r>
      <w:r w:rsidRPr="00C81789">
        <w:rPr>
          <w:rFonts w:ascii="Times New Roman" w:hAnsi="Times New Roman" w:cs="Times New Roman"/>
          <w:i/>
          <w:kern w:val="1"/>
          <w:sz w:val="28"/>
          <w:szCs w:val="28"/>
        </w:rPr>
        <w:t>зміни до статей 44, 121, 178 КУпАП</w:t>
      </w:r>
      <w:r w:rsidRPr="00C81789">
        <w:rPr>
          <w:rFonts w:ascii="Times New Roman" w:hAnsi="Times New Roman" w:cs="Times New Roman"/>
          <w:kern w:val="1"/>
          <w:sz w:val="28"/>
          <w:szCs w:val="28"/>
        </w:rPr>
        <w:t>);</w:t>
      </w:r>
    </w:p>
    <w:p w14:paraId="3FB445CE" w14:textId="77777777" w:rsidR="00C81789" w:rsidRPr="00C81789" w:rsidRDefault="00C81789" w:rsidP="00C81789">
      <w:pPr>
        <w:widowControl w:val="0"/>
        <w:suppressAutoHyphens/>
        <w:spacing w:after="0"/>
        <w:ind w:firstLine="705"/>
        <w:jc w:val="both"/>
        <w:rPr>
          <w:rFonts w:ascii="Times New Roman" w:hAnsi="Times New Roman" w:cs="Times New Roman"/>
          <w:kern w:val="1"/>
          <w:sz w:val="28"/>
          <w:szCs w:val="28"/>
        </w:rPr>
      </w:pPr>
      <w:r w:rsidRPr="00C81789">
        <w:rPr>
          <w:rFonts w:ascii="Times New Roman" w:hAnsi="Times New Roman" w:cs="Times New Roman"/>
          <w:kern w:val="1"/>
          <w:sz w:val="28"/>
          <w:szCs w:val="28"/>
        </w:rPr>
        <w:t>- зменшити строк апеляційного перегляду справ про застосування стягнення у вигляді адміністративного арешту до трьох днів (</w:t>
      </w:r>
      <w:r w:rsidRPr="00C81789">
        <w:rPr>
          <w:rFonts w:ascii="Times New Roman" w:hAnsi="Times New Roman" w:cs="Times New Roman"/>
          <w:i/>
          <w:kern w:val="1"/>
          <w:sz w:val="28"/>
          <w:szCs w:val="28"/>
        </w:rPr>
        <w:t>зміни до статті 294 КУпАП</w:t>
      </w:r>
      <w:r w:rsidRPr="00C81789">
        <w:rPr>
          <w:rFonts w:ascii="Times New Roman" w:hAnsi="Times New Roman" w:cs="Times New Roman"/>
          <w:kern w:val="1"/>
          <w:sz w:val="28"/>
          <w:szCs w:val="28"/>
        </w:rPr>
        <w:t>);</w:t>
      </w:r>
    </w:p>
    <w:p w14:paraId="01E6BC0B" w14:textId="77777777" w:rsidR="00C81789" w:rsidRPr="00C81789" w:rsidRDefault="00C81789" w:rsidP="00C81789">
      <w:pPr>
        <w:widowControl w:val="0"/>
        <w:suppressAutoHyphens/>
        <w:spacing w:after="0"/>
        <w:ind w:firstLine="705"/>
        <w:jc w:val="both"/>
        <w:rPr>
          <w:rFonts w:ascii="Times New Roman" w:hAnsi="Times New Roman" w:cs="Times New Roman"/>
          <w:sz w:val="28"/>
          <w:szCs w:val="28"/>
        </w:rPr>
      </w:pPr>
      <w:r w:rsidRPr="00C81789">
        <w:rPr>
          <w:rFonts w:ascii="Times New Roman" w:hAnsi="Times New Roman" w:cs="Times New Roman"/>
          <w:kern w:val="1"/>
          <w:sz w:val="28"/>
          <w:szCs w:val="28"/>
        </w:rPr>
        <w:t xml:space="preserve">- передбачити </w:t>
      </w:r>
      <w:r w:rsidRPr="00C81789">
        <w:rPr>
          <w:rFonts w:ascii="Times New Roman" w:hAnsi="Times New Roman" w:cs="Times New Roman"/>
          <w:sz w:val="28"/>
          <w:szCs w:val="28"/>
        </w:rPr>
        <w:t xml:space="preserve">можливість заміни особі, яка відбуває покарання у виді довічного позбавлення волі, невідбутої частини покарання більш м’яким після фактичного відбування нею не менше десяти років покарання у виді довічного позбавлення волі. У такому випадку покарання у виді довічного позбавлення волі може бути замінено на покарання у виді позбавлення волі строком від п’ятнадцяти до двадцяти років </w:t>
      </w:r>
      <w:r w:rsidRPr="00C81789">
        <w:rPr>
          <w:rFonts w:ascii="Times New Roman" w:hAnsi="Times New Roman" w:cs="Times New Roman"/>
          <w:kern w:val="1"/>
          <w:sz w:val="28"/>
          <w:szCs w:val="28"/>
        </w:rPr>
        <w:t>(</w:t>
      </w:r>
      <w:r w:rsidRPr="00C81789">
        <w:rPr>
          <w:rFonts w:ascii="Times New Roman" w:hAnsi="Times New Roman" w:cs="Times New Roman"/>
          <w:i/>
          <w:kern w:val="1"/>
          <w:sz w:val="28"/>
          <w:szCs w:val="28"/>
        </w:rPr>
        <w:t>зміни до статті 82 КК України</w:t>
      </w:r>
      <w:r w:rsidRPr="00C81789">
        <w:rPr>
          <w:rFonts w:ascii="Times New Roman" w:hAnsi="Times New Roman" w:cs="Times New Roman"/>
          <w:kern w:val="1"/>
          <w:sz w:val="28"/>
          <w:szCs w:val="28"/>
        </w:rPr>
        <w:t>)</w:t>
      </w:r>
      <w:r w:rsidRPr="00C81789">
        <w:rPr>
          <w:rFonts w:ascii="Times New Roman" w:hAnsi="Times New Roman" w:cs="Times New Roman"/>
          <w:sz w:val="28"/>
          <w:szCs w:val="28"/>
        </w:rPr>
        <w:t>;</w:t>
      </w:r>
    </w:p>
    <w:p w14:paraId="0BC89B0F" w14:textId="77777777" w:rsidR="00C81789" w:rsidRPr="00C81789" w:rsidRDefault="00C81789" w:rsidP="00C81789">
      <w:pPr>
        <w:widowControl w:val="0"/>
        <w:suppressAutoHyphens/>
        <w:spacing w:after="0"/>
        <w:ind w:firstLine="705"/>
        <w:jc w:val="both"/>
        <w:rPr>
          <w:rFonts w:ascii="Times New Roman" w:hAnsi="Times New Roman" w:cs="Times New Roman"/>
          <w:kern w:val="1"/>
          <w:sz w:val="28"/>
          <w:szCs w:val="28"/>
        </w:rPr>
      </w:pPr>
      <w:r w:rsidRPr="00C81789">
        <w:rPr>
          <w:rFonts w:ascii="Times New Roman" w:hAnsi="Times New Roman" w:cs="Times New Roman"/>
          <w:sz w:val="28"/>
          <w:szCs w:val="28"/>
        </w:rPr>
        <w:t xml:space="preserve">- передбачити, що умовно-дострокове звільнення може бути застосоване після фактичного відбування засудженим не менше трьох чвертей строку покарання, призначеного судом, у разі заміни покарання у виді довічного позбавлення волі на покарання у виді позбавлення волі на певний строк </w:t>
      </w:r>
      <w:r w:rsidRPr="00C81789">
        <w:rPr>
          <w:rFonts w:ascii="Times New Roman" w:hAnsi="Times New Roman" w:cs="Times New Roman"/>
          <w:kern w:val="1"/>
          <w:sz w:val="28"/>
          <w:szCs w:val="28"/>
        </w:rPr>
        <w:t>(</w:t>
      </w:r>
      <w:r w:rsidRPr="00C81789">
        <w:rPr>
          <w:rFonts w:ascii="Times New Roman" w:hAnsi="Times New Roman" w:cs="Times New Roman"/>
          <w:i/>
          <w:kern w:val="1"/>
          <w:sz w:val="28"/>
          <w:szCs w:val="28"/>
        </w:rPr>
        <w:t>зміни до статті 81 КК України</w:t>
      </w:r>
      <w:r w:rsidRPr="00C81789">
        <w:rPr>
          <w:rFonts w:ascii="Times New Roman" w:hAnsi="Times New Roman" w:cs="Times New Roman"/>
          <w:kern w:val="1"/>
          <w:sz w:val="28"/>
          <w:szCs w:val="28"/>
        </w:rPr>
        <w:t>);</w:t>
      </w:r>
    </w:p>
    <w:p w14:paraId="29F1569C" w14:textId="77777777" w:rsidR="00C81789" w:rsidRPr="00C81789" w:rsidRDefault="00C81789" w:rsidP="00C81789">
      <w:pPr>
        <w:shd w:val="clear" w:color="auto" w:fill="FFFFFF"/>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spacing w:after="0"/>
        <w:ind w:firstLine="703"/>
        <w:jc w:val="both"/>
        <w:rPr>
          <w:rFonts w:ascii="Times New Roman" w:hAnsi="Times New Roman" w:cs="Times New Roman"/>
          <w:sz w:val="28"/>
          <w:szCs w:val="28"/>
        </w:rPr>
      </w:pPr>
      <w:r w:rsidRPr="00C81789">
        <w:rPr>
          <w:rFonts w:ascii="Times New Roman" w:hAnsi="Times New Roman" w:cs="Times New Roman"/>
          <w:kern w:val="1"/>
          <w:sz w:val="28"/>
          <w:szCs w:val="28"/>
        </w:rPr>
        <w:t xml:space="preserve">- </w:t>
      </w:r>
      <w:r w:rsidRPr="00C81789">
        <w:rPr>
          <w:rFonts w:ascii="Times New Roman" w:hAnsi="Times New Roman" w:cs="Times New Roman"/>
          <w:sz w:val="28"/>
          <w:szCs w:val="28"/>
          <w:shd w:val="clear" w:color="auto" w:fill="FFFFFF"/>
        </w:rPr>
        <w:t xml:space="preserve">надати </w:t>
      </w:r>
      <w:r w:rsidRPr="00C81789">
        <w:rPr>
          <w:rFonts w:ascii="Times New Roman" w:hAnsi="Times New Roman" w:cs="Times New Roman"/>
          <w:sz w:val="28"/>
          <w:szCs w:val="28"/>
        </w:rPr>
        <w:t xml:space="preserve">засудженим до довічного позбавлення волі, які на день набрання чинності Законом України «Про внесення змін до деяких законодавчих актів щодо виконання рішень Європейського суду з прав людини» відбули понад </w:t>
      </w:r>
      <w:r w:rsidRPr="00C81789">
        <w:rPr>
          <w:rFonts w:ascii="Times New Roman" w:hAnsi="Times New Roman" w:cs="Times New Roman"/>
          <w:sz w:val="28"/>
          <w:szCs w:val="28"/>
        </w:rPr>
        <w:lastRenderedPageBreak/>
        <w:t>десять років призначеного судом покарання, право на заміну такого покарання покаранням у виді позбавленням волі на строк від п’яти до двадцяти років, але при цьому загальний строк такого покарання не повинен бути меншим як двадцять п’ять років (</w:t>
      </w:r>
      <w:r w:rsidRPr="00C81789">
        <w:rPr>
          <w:rFonts w:ascii="Times New Roman" w:hAnsi="Times New Roman" w:cs="Times New Roman"/>
          <w:i/>
          <w:sz w:val="28"/>
          <w:szCs w:val="28"/>
        </w:rPr>
        <w:t xml:space="preserve">доповнення пунктом 22 </w:t>
      </w:r>
      <w:r w:rsidRPr="00C81789">
        <w:rPr>
          <w:rFonts w:ascii="Times New Roman" w:hAnsi="Times New Roman" w:cs="Times New Roman"/>
          <w:i/>
          <w:kern w:val="1"/>
          <w:sz w:val="28"/>
          <w:szCs w:val="28"/>
        </w:rPr>
        <w:t xml:space="preserve">Розділу ІІ </w:t>
      </w:r>
      <w:r w:rsidRPr="00C81789">
        <w:rPr>
          <w:rFonts w:ascii="Times New Roman" w:hAnsi="Times New Roman" w:cs="Times New Roman"/>
          <w:i/>
          <w:sz w:val="28"/>
          <w:szCs w:val="28"/>
          <w:shd w:val="clear" w:color="auto" w:fill="FFFFFF"/>
        </w:rPr>
        <w:t>«Прикінцеві та перехідні положення» КК України</w:t>
      </w:r>
      <w:r w:rsidRPr="00C81789">
        <w:rPr>
          <w:rFonts w:ascii="Times New Roman" w:hAnsi="Times New Roman" w:cs="Times New Roman"/>
          <w:sz w:val="28"/>
          <w:szCs w:val="28"/>
        </w:rPr>
        <w:t>);</w:t>
      </w:r>
    </w:p>
    <w:p w14:paraId="2A946612" w14:textId="77777777" w:rsidR="00C81789" w:rsidRPr="00C81789" w:rsidRDefault="00C81789" w:rsidP="00C81789">
      <w:pPr>
        <w:shd w:val="clear" w:color="auto" w:fill="FFFFFF"/>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spacing w:after="0"/>
        <w:ind w:firstLine="703"/>
        <w:jc w:val="both"/>
        <w:rPr>
          <w:rFonts w:ascii="Times New Roman" w:hAnsi="Times New Roman" w:cs="Times New Roman"/>
          <w:sz w:val="28"/>
          <w:szCs w:val="28"/>
        </w:rPr>
      </w:pPr>
      <w:r w:rsidRPr="00C81789">
        <w:rPr>
          <w:rFonts w:ascii="Times New Roman" w:hAnsi="Times New Roman" w:cs="Times New Roman"/>
          <w:sz w:val="28"/>
          <w:szCs w:val="28"/>
        </w:rPr>
        <w:t xml:space="preserve">- передбачити, що кримінальне провадження в суді першої інстанції у випадках розгляду питання про заміну довічного позбавлення волі в порядку статті 82 КК України, здійснюється колегіально судом у складі трьох суддів </w:t>
      </w:r>
      <w:r w:rsidRPr="00C81789">
        <w:rPr>
          <w:rFonts w:ascii="Times New Roman" w:hAnsi="Times New Roman" w:cs="Times New Roman"/>
          <w:kern w:val="1"/>
          <w:sz w:val="28"/>
          <w:szCs w:val="28"/>
        </w:rPr>
        <w:t>(</w:t>
      </w:r>
      <w:r w:rsidRPr="00C81789">
        <w:rPr>
          <w:rFonts w:ascii="Times New Roman" w:hAnsi="Times New Roman" w:cs="Times New Roman"/>
          <w:i/>
          <w:kern w:val="1"/>
          <w:sz w:val="28"/>
          <w:szCs w:val="28"/>
        </w:rPr>
        <w:t>зміни до частини 2 статті 31 КПК України</w:t>
      </w:r>
      <w:r w:rsidRPr="00C81789">
        <w:rPr>
          <w:rFonts w:ascii="Times New Roman" w:hAnsi="Times New Roman" w:cs="Times New Roman"/>
          <w:kern w:val="1"/>
          <w:sz w:val="28"/>
          <w:szCs w:val="28"/>
        </w:rPr>
        <w:t>)</w:t>
      </w:r>
      <w:r w:rsidRPr="00C81789">
        <w:rPr>
          <w:rFonts w:ascii="Times New Roman" w:hAnsi="Times New Roman" w:cs="Times New Roman"/>
          <w:sz w:val="28"/>
          <w:szCs w:val="28"/>
        </w:rPr>
        <w:t>;</w:t>
      </w:r>
    </w:p>
    <w:p w14:paraId="1A1C8F1B" w14:textId="77777777" w:rsidR="00C81789" w:rsidRPr="00C81789" w:rsidRDefault="00C81789" w:rsidP="00C81789">
      <w:pPr>
        <w:shd w:val="clear" w:color="auto" w:fill="FFFFFF"/>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spacing w:after="0"/>
        <w:ind w:firstLine="703"/>
        <w:jc w:val="both"/>
        <w:rPr>
          <w:rFonts w:ascii="Times New Roman" w:hAnsi="Times New Roman" w:cs="Times New Roman"/>
          <w:sz w:val="28"/>
          <w:szCs w:val="28"/>
        </w:rPr>
      </w:pPr>
      <w:r w:rsidRPr="00C81789">
        <w:rPr>
          <w:rFonts w:ascii="Times New Roman" w:hAnsi="Times New Roman" w:cs="Times New Roman"/>
          <w:sz w:val="28"/>
          <w:szCs w:val="28"/>
        </w:rPr>
        <w:t xml:space="preserve">- передбачити, що під час виконання вироків суд має право вирішувати, зокрема, питання про заміну покарання у виді довічного позбавлення волі більш м’яким </w:t>
      </w:r>
      <w:r w:rsidRPr="00C81789">
        <w:rPr>
          <w:rFonts w:ascii="Times New Roman" w:hAnsi="Times New Roman" w:cs="Times New Roman"/>
          <w:kern w:val="1"/>
          <w:sz w:val="28"/>
          <w:szCs w:val="28"/>
        </w:rPr>
        <w:t>(</w:t>
      </w:r>
      <w:r w:rsidRPr="00C81789">
        <w:rPr>
          <w:rFonts w:ascii="Times New Roman" w:hAnsi="Times New Roman" w:cs="Times New Roman"/>
          <w:i/>
          <w:kern w:val="1"/>
          <w:sz w:val="28"/>
          <w:szCs w:val="28"/>
        </w:rPr>
        <w:t>зміни до пункту 3 частини 1 статті 537 КПК України</w:t>
      </w:r>
      <w:r w:rsidRPr="00C81789">
        <w:rPr>
          <w:rFonts w:ascii="Times New Roman" w:hAnsi="Times New Roman" w:cs="Times New Roman"/>
          <w:kern w:val="1"/>
          <w:sz w:val="28"/>
          <w:szCs w:val="28"/>
        </w:rPr>
        <w:t>)</w:t>
      </w:r>
      <w:r w:rsidRPr="00C81789">
        <w:rPr>
          <w:rFonts w:ascii="Times New Roman" w:hAnsi="Times New Roman" w:cs="Times New Roman"/>
          <w:sz w:val="28"/>
          <w:szCs w:val="28"/>
        </w:rPr>
        <w:t>;</w:t>
      </w:r>
    </w:p>
    <w:p w14:paraId="54AAB05F" w14:textId="77777777" w:rsidR="00C81789" w:rsidRPr="00C81789" w:rsidRDefault="00C81789" w:rsidP="00C81789">
      <w:pPr>
        <w:spacing w:after="0"/>
        <w:ind w:firstLine="705"/>
        <w:jc w:val="both"/>
        <w:rPr>
          <w:rFonts w:ascii="Times New Roman" w:hAnsi="Times New Roman" w:cs="Times New Roman"/>
          <w:sz w:val="28"/>
          <w:szCs w:val="28"/>
        </w:rPr>
      </w:pPr>
      <w:r w:rsidRPr="00C81789">
        <w:rPr>
          <w:rFonts w:ascii="Times New Roman" w:hAnsi="Times New Roman" w:cs="Times New Roman"/>
          <w:sz w:val="28"/>
          <w:szCs w:val="28"/>
        </w:rPr>
        <w:t xml:space="preserve">- визначити, що запобіжні заходи до початку підготовчого судового засідання можуть застосовуватися слідчим суддею </w:t>
      </w:r>
      <w:r w:rsidRPr="00C81789">
        <w:rPr>
          <w:rFonts w:ascii="Times New Roman" w:hAnsi="Times New Roman" w:cs="Times New Roman"/>
          <w:kern w:val="1"/>
          <w:sz w:val="28"/>
          <w:szCs w:val="28"/>
        </w:rPr>
        <w:t>(</w:t>
      </w:r>
      <w:r w:rsidRPr="00C81789">
        <w:rPr>
          <w:rFonts w:ascii="Times New Roman" w:hAnsi="Times New Roman" w:cs="Times New Roman"/>
          <w:i/>
          <w:kern w:val="1"/>
          <w:sz w:val="28"/>
          <w:szCs w:val="28"/>
        </w:rPr>
        <w:t>зміни до частини 4 статті 176 КПК України</w:t>
      </w:r>
      <w:r w:rsidRPr="00C81789">
        <w:rPr>
          <w:rFonts w:ascii="Times New Roman" w:hAnsi="Times New Roman" w:cs="Times New Roman"/>
          <w:kern w:val="1"/>
          <w:sz w:val="28"/>
          <w:szCs w:val="28"/>
        </w:rPr>
        <w:t>);</w:t>
      </w:r>
    </w:p>
    <w:p w14:paraId="333D1F7E" w14:textId="77777777" w:rsidR="00C81789" w:rsidRPr="00C81789" w:rsidRDefault="00C81789" w:rsidP="00C81789">
      <w:pPr>
        <w:spacing w:after="0"/>
        <w:ind w:firstLine="703"/>
        <w:jc w:val="both"/>
        <w:rPr>
          <w:rFonts w:ascii="Times New Roman" w:hAnsi="Times New Roman" w:cs="Times New Roman"/>
          <w:sz w:val="28"/>
          <w:szCs w:val="28"/>
          <w:shd w:val="clear" w:color="auto" w:fill="FFFFFF"/>
        </w:rPr>
      </w:pPr>
      <w:r w:rsidRPr="00C81789">
        <w:rPr>
          <w:rFonts w:ascii="Times New Roman" w:hAnsi="Times New Roman" w:cs="Times New Roman"/>
          <w:sz w:val="28"/>
          <w:szCs w:val="28"/>
        </w:rPr>
        <w:t xml:space="preserve">- виключити положення, </w:t>
      </w:r>
      <w:r w:rsidRPr="00C81789">
        <w:rPr>
          <w:rFonts w:ascii="Times New Roman" w:hAnsi="Times New Roman" w:cs="Times New Roman"/>
          <w:sz w:val="28"/>
          <w:szCs w:val="28"/>
          <w:shd w:val="clear" w:color="auto" w:fill="FFFFFF"/>
        </w:rPr>
        <w:t xml:space="preserve">які надавали повноваження суду за відсутності клопотань розглядати питання щодо доцільності застосування запобіжного заходу </w:t>
      </w:r>
      <w:r w:rsidRPr="00C81789">
        <w:rPr>
          <w:rFonts w:ascii="Times New Roman" w:hAnsi="Times New Roman" w:cs="Times New Roman"/>
          <w:kern w:val="1"/>
          <w:sz w:val="28"/>
          <w:szCs w:val="28"/>
        </w:rPr>
        <w:t>(</w:t>
      </w:r>
      <w:r w:rsidRPr="00C81789">
        <w:rPr>
          <w:rFonts w:ascii="Times New Roman" w:hAnsi="Times New Roman" w:cs="Times New Roman"/>
          <w:i/>
          <w:kern w:val="1"/>
          <w:sz w:val="28"/>
          <w:szCs w:val="28"/>
        </w:rPr>
        <w:t>зміни до частини 3 статті 331 КПК України</w:t>
      </w:r>
      <w:r w:rsidRPr="00C81789">
        <w:rPr>
          <w:rFonts w:ascii="Times New Roman" w:hAnsi="Times New Roman" w:cs="Times New Roman"/>
          <w:kern w:val="1"/>
          <w:sz w:val="28"/>
          <w:szCs w:val="28"/>
        </w:rPr>
        <w:t>)</w:t>
      </w:r>
      <w:r w:rsidRPr="00C81789">
        <w:rPr>
          <w:rFonts w:ascii="Times New Roman" w:hAnsi="Times New Roman" w:cs="Times New Roman"/>
          <w:sz w:val="28"/>
          <w:szCs w:val="28"/>
          <w:shd w:val="clear" w:color="auto" w:fill="FFFFFF"/>
        </w:rPr>
        <w:t>;</w:t>
      </w:r>
    </w:p>
    <w:p w14:paraId="4AEDE104" w14:textId="77777777" w:rsidR="00C81789" w:rsidRPr="00C81789" w:rsidRDefault="00C81789" w:rsidP="00C81789">
      <w:pPr>
        <w:spacing w:after="0"/>
        <w:ind w:firstLine="703"/>
        <w:jc w:val="both"/>
        <w:rPr>
          <w:rFonts w:ascii="Times New Roman" w:hAnsi="Times New Roman" w:cs="Times New Roman"/>
          <w:sz w:val="28"/>
          <w:szCs w:val="28"/>
        </w:rPr>
      </w:pPr>
      <w:r w:rsidRPr="00C81789">
        <w:rPr>
          <w:rFonts w:ascii="Times New Roman" w:hAnsi="Times New Roman" w:cs="Times New Roman"/>
          <w:sz w:val="28"/>
          <w:szCs w:val="28"/>
          <w:shd w:val="clear" w:color="auto" w:fill="FFFFFF"/>
        </w:rPr>
        <w:t xml:space="preserve">- передбачити можливість </w:t>
      </w:r>
      <w:r w:rsidRPr="00C81789">
        <w:rPr>
          <w:rFonts w:ascii="Times New Roman" w:hAnsi="Times New Roman" w:cs="Times New Roman"/>
          <w:sz w:val="28"/>
          <w:szCs w:val="28"/>
        </w:rPr>
        <w:t xml:space="preserve">продовження запобіжного заходу під час вирішення питань, пов’язаних з підготовкою судового розгляду, та під час судового розгляду, обрання запобіжного заходу судом касаційної інстанції та при скасуванні судового рішення і направленні справи на новий розгляд до суду першої або апеляційної інстанції у результаті перегляду судового рішення за нововиявленими або виключними обставинами </w:t>
      </w:r>
      <w:r w:rsidRPr="00C81789">
        <w:rPr>
          <w:rFonts w:ascii="Times New Roman" w:hAnsi="Times New Roman" w:cs="Times New Roman"/>
          <w:kern w:val="1"/>
          <w:sz w:val="28"/>
          <w:szCs w:val="28"/>
        </w:rPr>
        <w:t>(</w:t>
      </w:r>
      <w:r w:rsidRPr="00C81789">
        <w:rPr>
          <w:rFonts w:ascii="Times New Roman" w:hAnsi="Times New Roman" w:cs="Times New Roman"/>
          <w:i/>
          <w:kern w:val="1"/>
          <w:sz w:val="28"/>
          <w:szCs w:val="28"/>
        </w:rPr>
        <w:t>зміни до статей 315, 331, 433, 442, 467 КПК України</w:t>
      </w:r>
      <w:r w:rsidRPr="00C81789">
        <w:rPr>
          <w:rFonts w:ascii="Times New Roman" w:hAnsi="Times New Roman" w:cs="Times New Roman"/>
          <w:kern w:val="1"/>
          <w:sz w:val="28"/>
          <w:szCs w:val="28"/>
        </w:rPr>
        <w:t>)</w:t>
      </w:r>
      <w:r w:rsidRPr="00C81789">
        <w:rPr>
          <w:rFonts w:ascii="Times New Roman" w:hAnsi="Times New Roman" w:cs="Times New Roman"/>
          <w:sz w:val="28"/>
          <w:szCs w:val="28"/>
        </w:rPr>
        <w:t>;</w:t>
      </w:r>
    </w:p>
    <w:p w14:paraId="22DE31CB" w14:textId="2F5A1882" w:rsidR="00C81789" w:rsidRDefault="00C81789" w:rsidP="00C81789">
      <w:pPr>
        <w:spacing w:after="0"/>
        <w:ind w:firstLine="703"/>
        <w:jc w:val="both"/>
        <w:rPr>
          <w:rFonts w:ascii="Times New Roman" w:hAnsi="Times New Roman" w:cs="Times New Roman"/>
          <w:sz w:val="28"/>
          <w:szCs w:val="28"/>
        </w:rPr>
      </w:pPr>
      <w:r w:rsidRPr="00C81789">
        <w:rPr>
          <w:rFonts w:ascii="Times New Roman" w:hAnsi="Times New Roman" w:cs="Times New Roman"/>
          <w:sz w:val="28"/>
          <w:szCs w:val="28"/>
        </w:rPr>
        <w:t>- передбачати право виправданого, засудженого, особи, стосовно якої застосовано примусові заходи медичного чи виховного характеру, потерпілого, представника юридичної особи, їхніх захисників та законних представників</w:t>
      </w:r>
      <w:r w:rsidRPr="00C81789">
        <w:rPr>
          <w:rFonts w:ascii="Times New Roman" w:hAnsi="Times New Roman" w:cs="Times New Roman"/>
          <w:b/>
          <w:bCs/>
          <w:sz w:val="28"/>
          <w:szCs w:val="28"/>
        </w:rPr>
        <w:t xml:space="preserve"> </w:t>
      </w:r>
      <w:r w:rsidRPr="00C81789">
        <w:rPr>
          <w:rFonts w:ascii="Times New Roman" w:hAnsi="Times New Roman" w:cs="Times New Roman"/>
          <w:sz w:val="28"/>
          <w:szCs w:val="28"/>
        </w:rPr>
        <w:t>звернутись із заявою про ознайомлення з матеріалами кримінального провадження, стороною в якому вони були, до суду, де вони зберігаються (</w:t>
      </w:r>
      <w:r w:rsidRPr="00C81789">
        <w:rPr>
          <w:rFonts w:ascii="Times New Roman" w:hAnsi="Times New Roman" w:cs="Times New Roman"/>
          <w:i/>
          <w:sz w:val="28"/>
          <w:szCs w:val="28"/>
        </w:rPr>
        <w:t>доповнення КПК України статтею 533</w:t>
      </w:r>
      <w:r w:rsidRPr="00C81789">
        <w:rPr>
          <w:rFonts w:ascii="Times New Roman" w:hAnsi="Times New Roman" w:cs="Times New Roman"/>
          <w:i/>
          <w:sz w:val="28"/>
          <w:szCs w:val="28"/>
          <w:vertAlign w:val="superscript"/>
        </w:rPr>
        <w:t>1</w:t>
      </w:r>
      <w:r w:rsidRPr="00C81789">
        <w:rPr>
          <w:rFonts w:ascii="Times New Roman" w:hAnsi="Times New Roman" w:cs="Times New Roman"/>
          <w:sz w:val="28"/>
          <w:szCs w:val="28"/>
        </w:rPr>
        <w:t>).</w:t>
      </w:r>
    </w:p>
    <w:p w14:paraId="2E6AF970" w14:textId="271C98E4" w:rsidR="00BB5220" w:rsidRPr="00C81789" w:rsidRDefault="00BB5220" w:rsidP="00BB5220">
      <w:pPr>
        <w:spacing w:after="0"/>
        <w:ind w:firstLine="703"/>
        <w:jc w:val="both"/>
        <w:rPr>
          <w:rFonts w:ascii="Times New Roman" w:hAnsi="Times New Roman" w:cs="Times New Roman"/>
          <w:sz w:val="28"/>
          <w:szCs w:val="28"/>
        </w:rPr>
      </w:pPr>
      <w:r>
        <w:rPr>
          <w:rFonts w:ascii="Times New Roman" w:hAnsi="Times New Roman" w:cs="Times New Roman"/>
          <w:sz w:val="28"/>
          <w:szCs w:val="28"/>
        </w:rPr>
        <w:t xml:space="preserve">В ході обговорення народні депутати України – члени Комітету висловили застереження щодо </w:t>
      </w:r>
      <w:r w:rsidR="00166035">
        <w:rPr>
          <w:rFonts w:ascii="Times New Roman" w:hAnsi="Times New Roman" w:cs="Times New Roman"/>
          <w:sz w:val="28"/>
          <w:szCs w:val="28"/>
        </w:rPr>
        <w:t xml:space="preserve">змісту статей </w:t>
      </w:r>
      <w:r w:rsidR="00166035" w:rsidRPr="00166035">
        <w:rPr>
          <w:rFonts w:ascii="Times New Roman" w:hAnsi="Times New Roman" w:cs="Times New Roman"/>
          <w:kern w:val="1"/>
          <w:sz w:val="28"/>
          <w:szCs w:val="28"/>
        </w:rPr>
        <w:t>44, 121, 178 КУпАП</w:t>
      </w:r>
      <w:r w:rsidR="00166035">
        <w:rPr>
          <w:rFonts w:ascii="Times New Roman" w:hAnsi="Times New Roman" w:cs="Times New Roman"/>
          <w:sz w:val="28"/>
          <w:szCs w:val="28"/>
        </w:rPr>
        <w:t xml:space="preserve"> (в редакції проекту), якими пропонується виключити</w:t>
      </w:r>
      <w:r>
        <w:rPr>
          <w:rFonts w:ascii="Times New Roman" w:hAnsi="Times New Roman" w:cs="Times New Roman"/>
          <w:sz w:val="28"/>
          <w:szCs w:val="28"/>
        </w:rPr>
        <w:t xml:space="preserve"> </w:t>
      </w:r>
      <w:r w:rsidR="00166035">
        <w:rPr>
          <w:rFonts w:ascii="Times New Roman" w:hAnsi="Times New Roman" w:cs="Times New Roman"/>
          <w:sz w:val="28"/>
          <w:szCs w:val="28"/>
        </w:rPr>
        <w:t>адміністративне</w:t>
      </w:r>
      <w:r>
        <w:rPr>
          <w:rFonts w:ascii="Times New Roman" w:hAnsi="Times New Roman" w:cs="Times New Roman"/>
          <w:sz w:val="28"/>
          <w:szCs w:val="28"/>
        </w:rPr>
        <w:t xml:space="preserve"> стягнення у вигляді адміністративного арешту та наголосили на тому, що зазначена пропозиція не може бути підтримана </w:t>
      </w:r>
      <w:r w:rsidR="00166035">
        <w:rPr>
          <w:rFonts w:ascii="Times New Roman" w:hAnsi="Times New Roman" w:cs="Times New Roman"/>
          <w:sz w:val="28"/>
          <w:szCs w:val="28"/>
        </w:rPr>
        <w:t xml:space="preserve">під час доопрацювання законопроекту </w:t>
      </w:r>
      <w:r>
        <w:rPr>
          <w:rFonts w:ascii="Times New Roman" w:hAnsi="Times New Roman" w:cs="Times New Roman"/>
          <w:sz w:val="28"/>
          <w:szCs w:val="28"/>
        </w:rPr>
        <w:t>до другого читання.</w:t>
      </w:r>
    </w:p>
    <w:p w14:paraId="4128FC55" w14:textId="77777777" w:rsidR="00C81789" w:rsidRPr="00C81789" w:rsidRDefault="00C81789" w:rsidP="00C81789">
      <w:pPr>
        <w:spacing w:after="0"/>
        <w:ind w:firstLine="709"/>
        <w:jc w:val="both"/>
        <w:rPr>
          <w:rFonts w:ascii="Times New Roman" w:hAnsi="Times New Roman" w:cs="Times New Roman"/>
          <w:sz w:val="28"/>
          <w:szCs w:val="28"/>
        </w:rPr>
      </w:pPr>
      <w:r w:rsidRPr="00C81789">
        <w:rPr>
          <w:rFonts w:ascii="Times New Roman" w:hAnsi="Times New Roman" w:cs="Times New Roman"/>
          <w:sz w:val="28"/>
          <w:szCs w:val="28"/>
        </w:rPr>
        <w:t>Головне науково-експертне управління Апарату Верховної Ради України в цілому підтримує ідеї, якими обумовлено внесення законопроекту, проте вважає, що він потребує доопрацювання із урахуванням висловлених зауважень та пропозицій.</w:t>
      </w:r>
    </w:p>
    <w:p w14:paraId="5C651C93" w14:textId="1E4099D4" w:rsidR="00C81789" w:rsidRPr="00C81789" w:rsidRDefault="00C81789" w:rsidP="00C81789">
      <w:pPr>
        <w:spacing w:after="0"/>
        <w:ind w:firstLine="709"/>
        <w:jc w:val="both"/>
        <w:rPr>
          <w:rFonts w:ascii="Times New Roman" w:hAnsi="Times New Roman" w:cs="Times New Roman"/>
          <w:sz w:val="28"/>
          <w:szCs w:val="28"/>
        </w:rPr>
      </w:pPr>
      <w:r w:rsidRPr="00C81789">
        <w:rPr>
          <w:rFonts w:ascii="Times New Roman" w:hAnsi="Times New Roman" w:cs="Times New Roman"/>
          <w:sz w:val="28"/>
          <w:szCs w:val="28"/>
        </w:rPr>
        <w:t>Уповноважений Верховної Ради України з прав людини повністю під</w:t>
      </w:r>
      <w:r w:rsidR="00BB5220">
        <w:rPr>
          <w:rFonts w:ascii="Times New Roman" w:hAnsi="Times New Roman" w:cs="Times New Roman"/>
          <w:sz w:val="28"/>
          <w:szCs w:val="28"/>
        </w:rPr>
        <w:t>тримує зазначений законопроект.</w:t>
      </w:r>
    </w:p>
    <w:p w14:paraId="2E06091F" w14:textId="53BCBFD4" w:rsidR="00C81789" w:rsidRPr="00C81789" w:rsidRDefault="00C81789" w:rsidP="00C81789">
      <w:pPr>
        <w:spacing w:after="0"/>
        <w:ind w:firstLine="709"/>
        <w:jc w:val="both"/>
        <w:rPr>
          <w:rFonts w:ascii="Times New Roman" w:hAnsi="Times New Roman" w:cs="Times New Roman"/>
          <w:sz w:val="28"/>
          <w:szCs w:val="28"/>
        </w:rPr>
      </w:pPr>
      <w:r w:rsidRPr="00C81789">
        <w:rPr>
          <w:rFonts w:ascii="Times New Roman" w:hAnsi="Times New Roman" w:cs="Times New Roman"/>
          <w:sz w:val="28"/>
          <w:szCs w:val="28"/>
        </w:rPr>
        <w:lastRenderedPageBreak/>
        <w:t>Заслухавши інформацію підкомітету з питань кримінального процесуального законодавства та оперативно-розшукової діяльності, всебічно обговоривши питання, Комітет рекомендує Верховній Раді України відповідно до пункту 1 частини першої статті 114 Регламенту Верховної Ради України проект Закону України «Про внесення змін до Кодексу України про адміністративні правопорушення, Кримінального кодексу України та Кримінального процесуального кодексу України щодо виконання рішень Європейського</w:t>
      </w:r>
      <w:r w:rsidR="004F4881">
        <w:rPr>
          <w:rFonts w:ascii="Times New Roman" w:hAnsi="Times New Roman" w:cs="Times New Roman"/>
          <w:sz w:val="28"/>
          <w:szCs w:val="28"/>
        </w:rPr>
        <w:t xml:space="preserve"> суду з прав людини» (реєстр. № </w:t>
      </w:r>
      <w:r w:rsidRPr="00C81789">
        <w:rPr>
          <w:rFonts w:ascii="Times New Roman" w:hAnsi="Times New Roman" w:cs="Times New Roman"/>
          <w:sz w:val="28"/>
          <w:szCs w:val="28"/>
        </w:rPr>
        <w:t xml:space="preserve">4049) за результатами розгляду в першому читанні прийняти </w:t>
      </w:r>
      <w:r w:rsidRPr="00C81789">
        <w:rPr>
          <w:rFonts w:ascii="Times New Roman" w:hAnsi="Times New Roman" w:cs="Times New Roman"/>
          <w:b/>
          <w:sz w:val="28"/>
          <w:szCs w:val="28"/>
        </w:rPr>
        <w:t>за основу.</w:t>
      </w:r>
    </w:p>
    <w:p w14:paraId="3898BC4F" w14:textId="77777777" w:rsidR="00C81789" w:rsidRPr="00C81789" w:rsidRDefault="00C81789" w:rsidP="00C81789">
      <w:pPr>
        <w:spacing w:after="0"/>
        <w:ind w:firstLine="708"/>
        <w:jc w:val="both"/>
        <w:rPr>
          <w:rFonts w:ascii="Times New Roman" w:hAnsi="Times New Roman" w:cs="Times New Roman"/>
          <w:sz w:val="28"/>
          <w:szCs w:val="28"/>
        </w:rPr>
      </w:pPr>
      <w:r w:rsidRPr="00C81789">
        <w:rPr>
          <w:rFonts w:ascii="Times New Roman" w:hAnsi="Times New Roman" w:cs="Times New Roman"/>
          <w:sz w:val="28"/>
          <w:szCs w:val="28"/>
        </w:rPr>
        <w:t>Співдоповідачем на засіданні Верховної Ради України визначено Голову Комітету з питань правоохоронної діяльності Монастирського Дениса Анатолійовича.</w:t>
      </w:r>
    </w:p>
    <w:p w14:paraId="567CF891" w14:textId="77777777" w:rsidR="00C81789" w:rsidRPr="00C81789" w:rsidRDefault="00C81789" w:rsidP="00C81789">
      <w:pPr>
        <w:spacing w:after="0"/>
        <w:ind w:firstLine="708"/>
        <w:jc w:val="both"/>
        <w:rPr>
          <w:rFonts w:ascii="Times New Roman" w:hAnsi="Times New Roman" w:cs="Times New Roman"/>
          <w:sz w:val="28"/>
          <w:szCs w:val="28"/>
        </w:rPr>
      </w:pPr>
      <w:r w:rsidRPr="00C81789">
        <w:rPr>
          <w:rFonts w:ascii="Times New Roman" w:hAnsi="Times New Roman" w:cs="Times New Roman"/>
          <w:sz w:val="28"/>
          <w:szCs w:val="28"/>
        </w:rPr>
        <w:t>Проект Постанови Верховної Ради України та висновок Головного науково-експертного управління Апарату Верховної Ради України додаються.</w:t>
      </w:r>
    </w:p>
    <w:p w14:paraId="1358B2A9" w14:textId="77777777" w:rsidR="00C81789" w:rsidRPr="00C81789" w:rsidRDefault="00C81789" w:rsidP="00C81789">
      <w:pPr>
        <w:spacing w:after="0"/>
        <w:ind w:firstLine="708"/>
        <w:jc w:val="both"/>
        <w:rPr>
          <w:rFonts w:ascii="Times New Roman" w:hAnsi="Times New Roman" w:cs="Times New Roman"/>
          <w:b/>
          <w:bCs/>
          <w:sz w:val="28"/>
          <w:szCs w:val="28"/>
        </w:rPr>
      </w:pPr>
      <w:r w:rsidRPr="00C81789">
        <w:rPr>
          <w:rFonts w:ascii="Times New Roman" w:hAnsi="Times New Roman" w:cs="Times New Roman"/>
          <w:sz w:val="28"/>
          <w:szCs w:val="28"/>
        </w:rPr>
        <w:t>Просимо розглянути.</w:t>
      </w:r>
    </w:p>
    <w:p w14:paraId="4CCACB05" w14:textId="77777777" w:rsidR="00C81789" w:rsidRPr="00C81789" w:rsidRDefault="00C81789" w:rsidP="00C81789">
      <w:pPr>
        <w:pStyle w:val="a5"/>
        <w:ind w:firstLine="0"/>
        <w:jc w:val="both"/>
        <w:rPr>
          <w:rFonts w:ascii="Times New Roman" w:hAnsi="Times New Roman" w:cs="Times New Roman"/>
          <w:b/>
          <w:bCs/>
          <w:sz w:val="28"/>
          <w:szCs w:val="28"/>
        </w:rPr>
      </w:pPr>
    </w:p>
    <w:p w14:paraId="1ADB5F8D" w14:textId="77777777" w:rsidR="00C81789" w:rsidRPr="00C81789" w:rsidRDefault="00C81789" w:rsidP="00C81789">
      <w:pPr>
        <w:pStyle w:val="a5"/>
        <w:ind w:firstLine="0"/>
        <w:jc w:val="both"/>
        <w:rPr>
          <w:rFonts w:ascii="Times New Roman" w:hAnsi="Times New Roman" w:cs="Times New Roman"/>
          <w:b/>
          <w:bCs/>
          <w:sz w:val="28"/>
          <w:szCs w:val="28"/>
        </w:rPr>
      </w:pPr>
      <w:r w:rsidRPr="00C81789">
        <w:rPr>
          <w:rFonts w:ascii="Times New Roman" w:hAnsi="Times New Roman" w:cs="Times New Roman"/>
          <w:b/>
          <w:bCs/>
          <w:sz w:val="28"/>
          <w:szCs w:val="28"/>
        </w:rPr>
        <w:t xml:space="preserve">Голова Комітету                                                                         Д. Монастирський </w:t>
      </w:r>
    </w:p>
    <w:p w14:paraId="6CED6ACD" w14:textId="77777777" w:rsidR="00C81789" w:rsidRPr="00C81789" w:rsidRDefault="00C81789" w:rsidP="00C81789">
      <w:pPr>
        <w:rPr>
          <w:rFonts w:ascii="Times New Roman" w:hAnsi="Times New Roman" w:cs="Times New Roman"/>
        </w:rPr>
      </w:pPr>
    </w:p>
    <w:p w14:paraId="5BF0B1EE" w14:textId="40A55EE8" w:rsidR="00D9689D" w:rsidRPr="00C81789" w:rsidRDefault="00D9689D" w:rsidP="0030657E">
      <w:pPr>
        <w:spacing w:after="0" w:line="360" w:lineRule="auto"/>
        <w:rPr>
          <w:rFonts w:ascii="Times New Roman" w:hAnsi="Times New Roman" w:cs="Times New Roman"/>
        </w:rPr>
      </w:pPr>
    </w:p>
    <w:sectPr w:rsidR="00D9689D" w:rsidRPr="00C8178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57E"/>
    <w:rsid w:val="00022EC0"/>
    <w:rsid w:val="00166035"/>
    <w:rsid w:val="00216FC7"/>
    <w:rsid w:val="0030657E"/>
    <w:rsid w:val="004F4881"/>
    <w:rsid w:val="00541FC2"/>
    <w:rsid w:val="006A6EC9"/>
    <w:rsid w:val="006C47FC"/>
    <w:rsid w:val="006C6986"/>
    <w:rsid w:val="007B673F"/>
    <w:rsid w:val="008E6F4A"/>
    <w:rsid w:val="0091429D"/>
    <w:rsid w:val="00BB5220"/>
    <w:rsid w:val="00C81789"/>
    <w:rsid w:val="00D63CD2"/>
    <w:rsid w:val="00D9689D"/>
    <w:rsid w:val="00E62245"/>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8BAC"/>
  <w15:chartTrackingRefBased/>
  <w15:docId w15:val="{385E1A09-874A-4113-A80B-E0EDAB8F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5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0657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81789"/>
    <w:pPr>
      <w:spacing w:after="0" w:line="240" w:lineRule="auto"/>
    </w:pPr>
    <w:rPr>
      <w:rFonts w:ascii="Times New Roman" w:eastAsia="Times New Roman" w:hAnsi="Times New Roman" w:cs="Times New Roman"/>
      <w:sz w:val="24"/>
      <w:szCs w:val="24"/>
      <w:lang w:val="ru-RU" w:eastAsia="ru-RU"/>
    </w:rPr>
  </w:style>
  <w:style w:type="paragraph" w:customStyle="1" w:styleId="a5">
    <w:name w:val="Нормальний текст"/>
    <w:basedOn w:val="a"/>
    <w:rsid w:val="00C81789"/>
    <w:pPr>
      <w:spacing w:before="120" w:after="0" w:line="240" w:lineRule="auto"/>
      <w:ind w:firstLine="567"/>
    </w:pPr>
    <w:rPr>
      <w:rFonts w:ascii="Antiqua" w:eastAsia="Times New Roman" w:hAnsi="Antiqua" w:cs="Antiqua"/>
      <w:sz w:val="26"/>
      <w:szCs w:val="26"/>
      <w:lang w:eastAsia="ru-RU"/>
    </w:rPr>
  </w:style>
  <w:style w:type="paragraph" w:styleId="a6">
    <w:name w:val="Balloon Text"/>
    <w:basedOn w:val="a"/>
    <w:link w:val="a7"/>
    <w:uiPriority w:val="99"/>
    <w:semiHidden/>
    <w:unhideWhenUsed/>
    <w:rsid w:val="00C81789"/>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C817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698333">
      <w:bodyDiv w:val="1"/>
      <w:marLeft w:val="0"/>
      <w:marRight w:val="0"/>
      <w:marTop w:val="0"/>
      <w:marBottom w:val="0"/>
      <w:divBdr>
        <w:top w:val="none" w:sz="0" w:space="0" w:color="auto"/>
        <w:left w:val="none" w:sz="0" w:space="0" w:color="auto"/>
        <w:bottom w:val="none" w:sz="0" w:space="0" w:color="auto"/>
        <w:right w:val="none" w:sz="0" w:space="0" w:color="auto"/>
      </w:divBdr>
    </w:div>
    <w:div w:id="1731926482">
      <w:bodyDiv w:val="1"/>
      <w:marLeft w:val="0"/>
      <w:marRight w:val="0"/>
      <w:marTop w:val="0"/>
      <w:marBottom w:val="0"/>
      <w:divBdr>
        <w:top w:val="none" w:sz="0" w:space="0" w:color="auto"/>
        <w:left w:val="none" w:sz="0" w:space="0" w:color="auto"/>
        <w:bottom w:val="none" w:sz="0" w:space="0" w:color="auto"/>
        <w:right w:val="none" w:sz="0" w:space="0" w:color="auto"/>
      </w:divBdr>
      <w:divsChild>
        <w:div w:id="1994797896">
          <w:marLeft w:val="0"/>
          <w:marRight w:val="0"/>
          <w:marTop w:val="0"/>
          <w:marBottom w:val="0"/>
          <w:divBdr>
            <w:top w:val="none" w:sz="0" w:space="0" w:color="auto"/>
            <w:left w:val="none" w:sz="0" w:space="0" w:color="auto"/>
            <w:bottom w:val="none" w:sz="0" w:space="0" w:color="auto"/>
            <w:right w:val="none" w:sz="0" w:space="0" w:color="auto"/>
          </w:divBdr>
          <w:divsChild>
            <w:div w:id="11395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33AF26-08B3-4F52-8EF2-1ED6BBE436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331E5B-4C4A-40AF-8B03-CA3B4EDDE764}">
  <ds:schemaRefs>
    <ds:schemaRef ds:uri="http://schemas.microsoft.com/sharepoint/v3/contenttype/forms"/>
  </ds:schemaRefs>
</ds:datastoreItem>
</file>

<file path=customXml/itemProps3.xml><?xml version="1.0" encoding="utf-8"?>
<ds:datastoreItem xmlns:ds="http://schemas.openxmlformats.org/officeDocument/2006/customXml" ds:itemID="{5A8C4F3B-E346-4A5B-9E98-010BC2370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3784</Words>
  <Characters>2157</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Документ_205540.docx</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Документ_205540.docx</dc:title>
  <dc:subject/>
  <dc:creator>Шпортько Олена Миколаївна</dc:creator>
  <cp:keywords/>
  <dc:description/>
  <cp:lastModifiedBy>Шпортько Олена Миколаївна</cp:lastModifiedBy>
  <cp:revision>2</cp:revision>
  <cp:lastPrinted>2020-10-13T07:28:00Z</cp:lastPrinted>
  <dcterms:created xsi:type="dcterms:W3CDTF">2020-10-15T07:23:00Z</dcterms:created>
  <dcterms:modified xsi:type="dcterms:W3CDTF">2020-10-15T07:23:00Z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