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567049" w:rsidRDefault="005670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  <w:bookmarkStart w:id="0" w:name="_GoBack"/>
      <w:bookmarkEnd w:id="0"/>
    </w:p>
    <w:p w14:paraId="00000005" w14:textId="77777777" w:rsidR="00567049" w:rsidRDefault="005670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00000006" w14:textId="77777777" w:rsidR="00567049" w:rsidRDefault="005670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00000007" w14:textId="77777777" w:rsidR="00567049" w:rsidRDefault="005670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0CE772CC" w14:textId="77777777" w:rsidR="00B11948" w:rsidRDefault="00B119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262BC145" w14:textId="77777777" w:rsidR="00B11948" w:rsidRDefault="00B119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77A240A4" w14:textId="77777777" w:rsidR="00B11948" w:rsidRDefault="00B119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2696C5D8" w14:textId="77777777" w:rsidR="00B11948" w:rsidRDefault="00B119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</w:rPr>
      </w:pPr>
    </w:p>
    <w:p w14:paraId="00000008" w14:textId="77777777" w:rsidR="00567049" w:rsidRDefault="0056704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0000009" w14:textId="77777777" w:rsidR="00567049" w:rsidRPr="00D830F7" w:rsidRDefault="00E5425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D830F7">
        <w:rPr>
          <w:b/>
        </w:rPr>
        <w:t>ВИСНОВОК</w:t>
      </w:r>
    </w:p>
    <w:p w14:paraId="376E3EFB" w14:textId="77777777" w:rsidR="00D82907" w:rsidRPr="00D830F7" w:rsidRDefault="00E5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D830F7">
        <w:rPr>
          <w:b/>
        </w:rPr>
        <w:t xml:space="preserve">на проект Закону України «Про внесення зміни до Закону України </w:t>
      </w:r>
    </w:p>
    <w:p w14:paraId="2153EF8A" w14:textId="77777777" w:rsidR="00D82907" w:rsidRPr="00D830F7" w:rsidRDefault="00E5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D830F7">
        <w:rPr>
          <w:b/>
        </w:rPr>
        <w:t xml:space="preserve">«Про виконавче провадження» щодо особливостей виконання </w:t>
      </w:r>
    </w:p>
    <w:p w14:paraId="0000000A" w14:textId="1B72E1FA" w:rsidR="00567049" w:rsidRPr="00D830F7" w:rsidRDefault="00E5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D830F7">
        <w:rPr>
          <w:b/>
        </w:rPr>
        <w:t>рішення про забезпечення позову»</w:t>
      </w:r>
    </w:p>
    <w:p w14:paraId="0000000B" w14:textId="77777777" w:rsidR="00567049" w:rsidRPr="00D830F7" w:rsidRDefault="00567049">
      <w:pPr>
        <w:spacing w:after="0" w:line="240" w:lineRule="auto"/>
        <w:jc w:val="both"/>
      </w:pPr>
    </w:p>
    <w:p w14:paraId="0000000C" w14:textId="4B4E84D9" w:rsidR="00567049" w:rsidRPr="00D830F7" w:rsidRDefault="00A1402D" w:rsidP="00A1402D">
      <w:pPr>
        <w:spacing w:line="240" w:lineRule="auto"/>
        <w:ind w:firstLine="720"/>
        <w:contextualSpacing/>
        <w:jc w:val="both"/>
      </w:pPr>
      <w:r w:rsidRPr="00D830F7">
        <w:rPr>
          <w:bCs/>
        </w:rPr>
        <w:t>Метою проекту Закону, як зазначено в п. 2 пояснювальної записки до нього</w:t>
      </w:r>
      <w:r w:rsidR="00F93871" w:rsidRPr="00D830F7">
        <w:rPr>
          <w:bCs/>
        </w:rPr>
        <w:t>, визначено</w:t>
      </w:r>
      <w:r w:rsidRPr="00D830F7">
        <w:t xml:space="preserve"> «встановлення особливостей виконання рішення суду про забезпечення позову». Для цього </w:t>
      </w:r>
      <w:r w:rsidR="00E54259" w:rsidRPr="00D830F7">
        <w:t>Закон України «Про виконавче провадження»</w:t>
      </w:r>
      <w:r w:rsidR="00867997" w:rsidRPr="00D830F7">
        <w:t xml:space="preserve"> (далі – Закон)</w:t>
      </w:r>
      <w:r w:rsidR="00E54259" w:rsidRPr="00D830F7">
        <w:t xml:space="preserve"> </w:t>
      </w:r>
      <w:r w:rsidR="00305883" w:rsidRPr="00D830F7">
        <w:t xml:space="preserve">доповнюється </w:t>
      </w:r>
      <w:r w:rsidR="00E54259" w:rsidRPr="00D830F7">
        <w:t>новою ст</w:t>
      </w:r>
      <w:r w:rsidR="00867997" w:rsidRPr="00D830F7">
        <w:t>.</w:t>
      </w:r>
      <w:r w:rsidR="00E54259" w:rsidRPr="00D830F7">
        <w:t xml:space="preserve"> 62</w:t>
      </w:r>
      <w:r w:rsidR="00E54259" w:rsidRPr="00D830F7">
        <w:rPr>
          <w:vertAlign w:val="superscript"/>
        </w:rPr>
        <w:t>1</w:t>
      </w:r>
      <w:r w:rsidR="00E54259" w:rsidRPr="00D830F7">
        <w:t xml:space="preserve">, відповідно до якої </w:t>
      </w:r>
      <w:r w:rsidR="00305883" w:rsidRPr="00D830F7">
        <w:t>«</w:t>
      </w:r>
      <w:r w:rsidR="00E54259" w:rsidRPr="00D830F7">
        <w:t>забороняється при виконанні рішення суду про забезпечення позову вживати заходи щодо стягнення коштів та/або звернення стягнення на майно боржника, крім накладення арешту</w:t>
      </w:r>
      <w:r w:rsidR="00305883" w:rsidRPr="00D830F7">
        <w:t>»</w:t>
      </w:r>
      <w:r w:rsidR="00E54259" w:rsidRPr="00D830F7">
        <w:t>. На думку суб’єкта права законодавчої ініціативи, прийняття проекту «встановить запобіжники від зловживань під час застосування заходів забезпечення позову та сприятиме захисту прав та законних інтересів сторін судового процесу» (п. 6 пояснювальної записки до нього).</w:t>
      </w:r>
    </w:p>
    <w:p w14:paraId="39E3A322" w14:textId="64DD22A6" w:rsidR="00704263" w:rsidRPr="00D830F7" w:rsidRDefault="001C7134" w:rsidP="00704263">
      <w:pPr>
        <w:spacing w:after="0" w:line="240" w:lineRule="auto"/>
        <w:ind w:firstLine="709"/>
        <w:jc w:val="both"/>
        <w:rPr>
          <w:bCs/>
        </w:rPr>
      </w:pPr>
      <w:r>
        <w:t>Законоп</w:t>
      </w:r>
      <w:r w:rsidR="00704263" w:rsidRPr="00D830F7">
        <w:t xml:space="preserve">роект </w:t>
      </w:r>
      <w:r w:rsidR="00704263" w:rsidRPr="00D830F7">
        <w:rPr>
          <w:bCs/>
        </w:rPr>
        <w:t>не включений до Плану законопроектної роботи Верховної Ради України на 202</w:t>
      </w:r>
      <w:r w:rsidR="00867997" w:rsidRPr="00D830F7">
        <w:rPr>
          <w:bCs/>
        </w:rPr>
        <w:t xml:space="preserve">0 </w:t>
      </w:r>
      <w:r w:rsidR="00704263" w:rsidRPr="00D830F7">
        <w:rPr>
          <w:bCs/>
        </w:rPr>
        <w:t xml:space="preserve">рік, затвердженого постановою Верховної Ради України від </w:t>
      </w:r>
      <w:r w:rsidR="00867997" w:rsidRPr="00D830F7">
        <w:rPr>
          <w:bCs/>
        </w:rPr>
        <w:t>16.0</w:t>
      </w:r>
      <w:r w:rsidR="00844857" w:rsidRPr="00D830F7">
        <w:rPr>
          <w:bCs/>
        </w:rPr>
        <w:t>6.</w:t>
      </w:r>
      <w:r w:rsidR="00867997" w:rsidRPr="00D830F7">
        <w:rPr>
          <w:bCs/>
        </w:rPr>
        <w:t>2020</w:t>
      </w:r>
      <w:r w:rsidR="00844857" w:rsidRPr="00D830F7">
        <w:rPr>
          <w:bCs/>
        </w:rPr>
        <w:t xml:space="preserve"> </w:t>
      </w:r>
      <w:r w:rsidR="00867997" w:rsidRPr="00D830F7">
        <w:rPr>
          <w:bCs/>
        </w:rPr>
        <w:t>№ 689-IX</w:t>
      </w:r>
      <w:r w:rsidR="00844857" w:rsidRPr="00D830F7">
        <w:rPr>
          <w:bCs/>
        </w:rPr>
        <w:t xml:space="preserve">, </w:t>
      </w:r>
      <w:r>
        <w:rPr>
          <w:bCs/>
        </w:rPr>
        <w:t xml:space="preserve">а також </w:t>
      </w:r>
      <w:r w:rsidR="00844857" w:rsidRPr="00D830F7">
        <w:rPr>
          <w:bCs/>
        </w:rPr>
        <w:t>до Плану законопроектної роботи</w:t>
      </w:r>
      <w:r w:rsidR="0030074F" w:rsidRPr="00D830F7">
        <w:rPr>
          <w:bCs/>
        </w:rPr>
        <w:t xml:space="preserve"> Верховної Ради України на 2021</w:t>
      </w:r>
      <w:r w:rsidR="00844857" w:rsidRPr="00D830F7">
        <w:rPr>
          <w:bCs/>
        </w:rPr>
        <w:t xml:space="preserve"> рік, затвердженого постановою Верховної Ради України від </w:t>
      </w:r>
      <w:r w:rsidR="00704263" w:rsidRPr="00D830F7">
        <w:rPr>
          <w:bCs/>
        </w:rPr>
        <w:t>02.02.2021 № 1165-ІХ.</w:t>
      </w:r>
      <w:r w:rsidR="00844857" w:rsidRPr="00D830F7">
        <w:rPr>
          <w:bCs/>
        </w:rPr>
        <w:t xml:space="preserve"> </w:t>
      </w:r>
    </w:p>
    <w:p w14:paraId="2BCF4145" w14:textId="77777777" w:rsidR="00844857" w:rsidRPr="001C7134" w:rsidRDefault="00E54259" w:rsidP="00A1402D">
      <w:pPr>
        <w:widowControl w:val="0"/>
        <w:spacing w:after="0" w:line="240" w:lineRule="auto"/>
        <w:ind w:firstLine="720"/>
        <w:contextualSpacing/>
        <w:jc w:val="both"/>
      </w:pPr>
      <w:r w:rsidRPr="00D830F7">
        <w:t>Головне управління, розглянувши законопроект, вважає за доцільне</w:t>
      </w:r>
      <w:r w:rsidR="00A54ABB" w:rsidRPr="00D830F7">
        <w:t xml:space="preserve"> </w:t>
      </w:r>
      <w:r w:rsidR="00844857" w:rsidRPr="00D830F7">
        <w:t xml:space="preserve"> висловити щодо </w:t>
      </w:r>
      <w:r w:rsidR="00A54ABB" w:rsidRPr="00D830F7">
        <w:t xml:space="preserve">його </w:t>
      </w:r>
      <w:r w:rsidR="00844857" w:rsidRPr="00D830F7">
        <w:t xml:space="preserve">змісту такі зауваження та </w:t>
      </w:r>
      <w:r w:rsidR="00844857" w:rsidRPr="001C7134">
        <w:t>пропозиції.</w:t>
      </w:r>
    </w:p>
    <w:p w14:paraId="6130BC97" w14:textId="0A8BE57E" w:rsidR="00B10A21" w:rsidRPr="00D830F7" w:rsidRDefault="00844857" w:rsidP="00A1402D">
      <w:pPr>
        <w:widowControl w:val="0"/>
        <w:spacing w:after="0" w:line="240" w:lineRule="auto"/>
        <w:ind w:firstLine="720"/>
        <w:contextualSpacing/>
        <w:jc w:val="both"/>
      </w:pPr>
      <w:r w:rsidRPr="001C7134">
        <w:t>Насамперед, слід звернути увагу, що</w:t>
      </w:r>
      <w:r w:rsidR="00A1402D" w:rsidRPr="001C7134">
        <w:t>, як випливає з п. 1 пояснювальної записки</w:t>
      </w:r>
      <w:r w:rsidR="0017426D" w:rsidRPr="001C7134">
        <w:t xml:space="preserve"> до проекту</w:t>
      </w:r>
      <w:r w:rsidR="00A1402D" w:rsidRPr="001C7134">
        <w:t>, необхідність</w:t>
      </w:r>
      <w:r w:rsidR="0017426D" w:rsidRPr="001C7134">
        <w:t xml:space="preserve"> його </w:t>
      </w:r>
      <w:r w:rsidR="00A1402D" w:rsidRPr="001C7134">
        <w:t xml:space="preserve">прийняття суб’єкт права законодавчої ініціативи пов’язує </w:t>
      </w:r>
      <w:r w:rsidR="00305883" w:rsidRPr="001C7134">
        <w:t xml:space="preserve">з </w:t>
      </w:r>
      <w:r w:rsidRPr="001C7134">
        <w:t xml:space="preserve">незаконними </w:t>
      </w:r>
      <w:r w:rsidR="00A1402D" w:rsidRPr="001C7134">
        <w:t>рішеннями суддів. Зокрема</w:t>
      </w:r>
      <w:r w:rsidR="00D830F7" w:rsidRPr="001C7134">
        <w:t xml:space="preserve">, йдеться про те, що </w:t>
      </w:r>
      <w:r w:rsidR="00A1402D" w:rsidRPr="001C7134">
        <w:t>«</w:t>
      </w:r>
      <w:r w:rsidR="00B10A21" w:rsidRPr="001C7134">
        <w:t>Процесуальним законодавством встановлено перелік видів забезпечення позову (частина перша статті 150 Цивільного процесуального кодексу України</w:t>
      </w:r>
      <w:r w:rsidR="00305883" w:rsidRPr="001C7134">
        <w:rPr>
          <w:rStyle w:val="ae"/>
        </w:rPr>
        <w:footnoteReference w:id="1"/>
      </w:r>
      <w:r w:rsidR="00B10A21" w:rsidRPr="001C7134">
        <w:t>, частина перша статті 137 Господарсько процесуального кодексу</w:t>
      </w:r>
      <w:r w:rsidR="00B10A21" w:rsidRPr="00D830F7">
        <w:t xml:space="preserve"> України</w:t>
      </w:r>
      <w:r w:rsidR="00305883" w:rsidRPr="00D830F7">
        <w:rPr>
          <w:rStyle w:val="ae"/>
        </w:rPr>
        <w:footnoteReference w:id="2"/>
      </w:r>
      <w:r w:rsidR="00B10A21" w:rsidRPr="00D830F7">
        <w:t>, частина перша статті 151 Кодексу адміністративного судочинства України</w:t>
      </w:r>
      <w:r w:rsidR="00305883" w:rsidRPr="00D830F7">
        <w:rPr>
          <w:rStyle w:val="ae"/>
        </w:rPr>
        <w:footnoteReference w:id="3"/>
      </w:r>
      <w:r w:rsidR="00B10A21" w:rsidRPr="00D830F7">
        <w:t>).</w:t>
      </w:r>
      <w:r w:rsidR="00A1402D" w:rsidRPr="00D830F7">
        <w:t xml:space="preserve"> </w:t>
      </w:r>
      <w:r w:rsidR="00B10A21" w:rsidRPr="00D830F7">
        <w:t xml:space="preserve">Водночас </w:t>
      </w:r>
      <w:r w:rsidR="00B10A21" w:rsidRPr="00D830F7">
        <w:rPr>
          <w:i/>
        </w:rPr>
        <w:t xml:space="preserve">деякі судді не дотримуючись вимог зазначених статей забезпечують позов, зокрема, шляхом звернення стягнення на майно та (або) кошти </w:t>
      </w:r>
      <w:r w:rsidR="00B10A21" w:rsidRPr="00D830F7">
        <w:rPr>
          <w:i/>
        </w:rPr>
        <w:lastRenderedPageBreak/>
        <w:t>відповідача або інших осіб</w:t>
      </w:r>
      <w:r w:rsidR="00A1402D" w:rsidRPr="00D830F7">
        <w:t>»</w:t>
      </w:r>
      <w:r w:rsidR="00B10A21" w:rsidRPr="00D830F7">
        <w:t>.</w:t>
      </w:r>
      <w:r w:rsidR="00305883" w:rsidRPr="00D830F7">
        <w:t xml:space="preserve"> </w:t>
      </w:r>
      <w:r w:rsidR="00F34F3A" w:rsidRPr="00D830F7">
        <w:t>До цього варто додати,</w:t>
      </w:r>
      <w:r w:rsidR="00D830F7">
        <w:t xml:space="preserve"> що згідно з ч. 10 ст. 150 ЦПК </w:t>
      </w:r>
      <w:r w:rsidR="00F34F3A" w:rsidRPr="00D830F7">
        <w:t xml:space="preserve">«не допускається вжиття заходів забезпечення позову, які за змістом є тотожними задоволенню заявлених позовних вимог, якщо при цьому спір не вирішується по суті». Аналогічне положення закріплено і у ч. 11 ст. 137 ГПК. </w:t>
      </w:r>
    </w:p>
    <w:p w14:paraId="58ADC77D" w14:textId="2F6CE598" w:rsidR="00153949" w:rsidRPr="00D830F7" w:rsidRDefault="00305883" w:rsidP="00A34E49">
      <w:pPr>
        <w:widowControl w:val="0"/>
        <w:spacing w:after="0" w:line="240" w:lineRule="auto"/>
        <w:ind w:firstLine="720"/>
        <w:contextualSpacing/>
        <w:jc w:val="both"/>
      </w:pPr>
      <w:r w:rsidRPr="00D830F7">
        <w:t xml:space="preserve">У проекті для усунення можливості таких </w:t>
      </w:r>
      <w:r w:rsidR="00A34E49" w:rsidRPr="00D830F7">
        <w:t>з</w:t>
      </w:r>
      <w:r w:rsidRPr="00D830F7">
        <w:t xml:space="preserve">ловживань пропонується встановити, що при виконанні рішення суду про забезпечення позову забороняється стягнення коштів та або звернення стягнення </w:t>
      </w:r>
      <w:r w:rsidR="00C2149B" w:rsidRPr="00D830F7">
        <w:t>на майно божника, крім накладення арешту (нова ст. 62</w:t>
      </w:r>
      <w:r w:rsidR="00C2149B" w:rsidRPr="00D830F7">
        <w:rPr>
          <w:vertAlign w:val="superscript"/>
        </w:rPr>
        <w:t>1</w:t>
      </w:r>
      <w:r w:rsidR="00C2149B" w:rsidRPr="00D830F7">
        <w:t xml:space="preserve"> Закону). </w:t>
      </w:r>
      <w:r w:rsidR="00153949" w:rsidRPr="00D830F7">
        <w:t xml:space="preserve">Таким чином, у разі надходження до виконавця рішення суду про забезпечення позову, </w:t>
      </w:r>
      <w:r w:rsidR="00F93871" w:rsidRPr="00D830F7">
        <w:t xml:space="preserve">наприклад, </w:t>
      </w:r>
      <w:r w:rsidR="00153949" w:rsidRPr="00D830F7">
        <w:t>шляхом стягнення коштів з боржника</w:t>
      </w:r>
      <w:r w:rsidR="00F34F3A" w:rsidRPr="00D830F7">
        <w:t xml:space="preserve">, останній, буде зобов’язаний лише накласти арешт на вказані кошти. </w:t>
      </w:r>
    </w:p>
    <w:p w14:paraId="57F27A5E" w14:textId="66321829" w:rsidR="00C2149B" w:rsidRPr="00D830F7" w:rsidRDefault="00A34E49" w:rsidP="00A34E49">
      <w:pPr>
        <w:widowControl w:val="0"/>
        <w:spacing w:after="0" w:line="240" w:lineRule="auto"/>
        <w:ind w:firstLine="720"/>
        <w:contextualSpacing/>
        <w:jc w:val="both"/>
      </w:pPr>
      <w:r w:rsidRPr="00D830F7">
        <w:t xml:space="preserve">Проте, на нашу думку, </w:t>
      </w:r>
      <w:r w:rsidR="00153949" w:rsidRPr="00D830F7">
        <w:t xml:space="preserve">такий підхід не повністю враховує </w:t>
      </w:r>
      <w:r w:rsidRPr="00D830F7">
        <w:t>інш</w:t>
      </w:r>
      <w:r w:rsidR="00153949" w:rsidRPr="00D830F7">
        <w:t>і</w:t>
      </w:r>
      <w:r w:rsidRPr="00D830F7">
        <w:t xml:space="preserve"> положення як відповідного процесуального законодавства, так і Закону. Так, </w:t>
      </w:r>
      <w:r w:rsidR="00C2149B" w:rsidRPr="00D830F7">
        <w:t>зокрема, з</w:t>
      </w:r>
      <w:r w:rsidRPr="00D830F7">
        <w:t xml:space="preserve">гідно з </w:t>
      </w:r>
      <w:r w:rsidR="00C2149B" w:rsidRPr="00D830F7">
        <w:t xml:space="preserve">ч. 1 ст. 157 ЦПК «ухвала суду про забезпечення позову є виконавчим документом та має відповідати вимогам до виконавчого документа, встановленим законом. Така ухвала підлягає негайному виконанню з дня її постановлення незалежно від її оскарження і </w:t>
      </w:r>
      <w:r w:rsidR="00C2149B" w:rsidRPr="001C7134">
        <w:t>відкриття виконавчого провадження»</w:t>
      </w:r>
      <w:r w:rsidRPr="001C7134">
        <w:t xml:space="preserve"> (аналогічні положення містяться у ч. 1 ст. 144 ГПК</w:t>
      </w:r>
      <w:r w:rsidR="00153949" w:rsidRPr="001C7134">
        <w:t xml:space="preserve"> та у ч. 1 </w:t>
      </w:r>
      <w:r w:rsidR="00D830F7" w:rsidRPr="001C7134">
        <w:br/>
      </w:r>
      <w:r w:rsidR="00153949" w:rsidRPr="001C7134">
        <w:t>с</w:t>
      </w:r>
      <w:r w:rsidRPr="001C7134">
        <w:t>т</w:t>
      </w:r>
      <w:r w:rsidR="00153949" w:rsidRPr="001C7134">
        <w:t>. 156 КАС).</w:t>
      </w:r>
      <w:r w:rsidR="00C2149B" w:rsidRPr="001C7134">
        <w:t xml:space="preserve"> Зазначимо, що згідно з п. 1 ч. 2 ст. 18 Закону </w:t>
      </w:r>
      <w:r w:rsidRPr="001C7134">
        <w:t xml:space="preserve">виконавець зобов’язаний «здійснювати заходи примусового виконання рішень у спосіб та в порядку, які встановлені виконавчим документом і цим Законом». </w:t>
      </w:r>
      <w:r w:rsidR="00F34F3A" w:rsidRPr="001C7134">
        <w:t>При цьому</w:t>
      </w:r>
      <w:r w:rsidR="00D830F7" w:rsidRPr="001C7134">
        <w:t>,</w:t>
      </w:r>
      <w:r w:rsidR="00F34F3A" w:rsidRPr="001C7134">
        <w:t xml:space="preserve"> </w:t>
      </w:r>
      <w:r w:rsidRPr="001C7134">
        <w:t>згідно з ч. 4 ст. 157 ЦПК «особи, винні в невиконанні ухвали про забезпечення позову, несуть відповідальність, встановлену законом»</w:t>
      </w:r>
      <w:r w:rsidR="00153949" w:rsidRPr="001C7134">
        <w:t xml:space="preserve"> ( аналогічні положення містяться у ч. 4 ст. 144 ГПК та у ч. 3 ст. 156 КАС)</w:t>
      </w:r>
      <w:r w:rsidRPr="001C7134">
        <w:t>.</w:t>
      </w:r>
    </w:p>
    <w:p w14:paraId="00000015" w14:textId="01BA5D43" w:rsidR="00567049" w:rsidRPr="00D830F7" w:rsidRDefault="00567049">
      <w:pPr>
        <w:spacing w:after="0" w:line="240" w:lineRule="auto"/>
        <w:ind w:firstLine="709"/>
        <w:jc w:val="both"/>
      </w:pPr>
    </w:p>
    <w:p w14:paraId="659891AE" w14:textId="77777777" w:rsidR="00A34E49" w:rsidRPr="00D830F7" w:rsidRDefault="00A34E49">
      <w:pPr>
        <w:spacing w:after="0" w:line="240" w:lineRule="auto"/>
        <w:ind w:firstLine="709"/>
        <w:jc w:val="both"/>
      </w:pPr>
    </w:p>
    <w:p w14:paraId="00000016" w14:textId="791A5FF4" w:rsidR="00567049" w:rsidRPr="00D830F7" w:rsidRDefault="00E54259">
      <w:pPr>
        <w:spacing w:after="0" w:line="240" w:lineRule="auto"/>
        <w:ind w:firstLine="709"/>
        <w:jc w:val="both"/>
      </w:pPr>
      <w:r w:rsidRPr="00D830F7">
        <w:t xml:space="preserve">Керівник Головного управління </w:t>
      </w:r>
      <w:r w:rsidR="00D85072" w:rsidRPr="00D830F7">
        <w:t xml:space="preserve">                        </w:t>
      </w:r>
      <w:r w:rsidR="00A34E49" w:rsidRPr="00D830F7">
        <w:t xml:space="preserve">                   </w:t>
      </w:r>
      <w:r w:rsidR="00153949" w:rsidRPr="00D830F7">
        <w:t xml:space="preserve">    </w:t>
      </w:r>
      <w:r w:rsidR="00A34E49" w:rsidRPr="00D830F7">
        <w:t xml:space="preserve">  </w:t>
      </w:r>
      <w:r w:rsidR="00D85072" w:rsidRPr="00D830F7">
        <w:t xml:space="preserve"> </w:t>
      </w:r>
      <w:r w:rsidRPr="00D830F7">
        <w:t>С. Тихонюк</w:t>
      </w:r>
    </w:p>
    <w:p w14:paraId="00000017" w14:textId="77777777" w:rsidR="00567049" w:rsidRPr="00D830F7" w:rsidRDefault="00567049">
      <w:pPr>
        <w:spacing w:after="0" w:line="240" w:lineRule="auto"/>
        <w:ind w:firstLine="709"/>
        <w:jc w:val="both"/>
      </w:pPr>
    </w:p>
    <w:p w14:paraId="00000018" w14:textId="77777777" w:rsidR="00567049" w:rsidRDefault="00567049">
      <w:pPr>
        <w:spacing w:after="0" w:line="240" w:lineRule="auto"/>
        <w:ind w:firstLine="709"/>
        <w:jc w:val="both"/>
      </w:pPr>
    </w:p>
    <w:p w14:paraId="00000019" w14:textId="0B6B1EB5" w:rsidR="00567049" w:rsidRDefault="00D8507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Вик.: </w:t>
      </w:r>
      <w:r w:rsidR="00E54259">
        <w:rPr>
          <w:sz w:val="20"/>
          <w:szCs w:val="20"/>
        </w:rPr>
        <w:t>О. Куціпак</w:t>
      </w:r>
    </w:p>
    <w:p w14:paraId="0000001A" w14:textId="77777777" w:rsidR="00567049" w:rsidRDefault="00567049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000001B" w14:textId="77777777" w:rsidR="00567049" w:rsidRDefault="00567049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000001C" w14:textId="77777777" w:rsidR="00567049" w:rsidRDefault="00567049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567049" w:rsidSect="00D82907">
      <w:headerReference w:type="default" r:id="rId7"/>
      <w:footerReference w:type="even" r:id="rId8"/>
      <w:headerReference w:type="first" r:id="rId9"/>
      <w:pgSz w:w="11906" w:h="16838"/>
      <w:pgMar w:top="1134" w:right="567" w:bottom="1134" w:left="1701" w:header="28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1A17" w14:textId="77777777" w:rsidR="00AB6FAC" w:rsidRDefault="00AB6FAC">
      <w:pPr>
        <w:spacing w:after="0" w:line="240" w:lineRule="auto"/>
      </w:pPr>
      <w:r>
        <w:separator/>
      </w:r>
    </w:p>
  </w:endnote>
  <w:endnote w:type="continuationSeparator" w:id="0">
    <w:p w14:paraId="0E9AF23C" w14:textId="77777777" w:rsidR="00AB6FAC" w:rsidRDefault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567049" w:rsidRDefault="00E542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F" w14:textId="77777777" w:rsidR="00567049" w:rsidRDefault="00567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CD7C" w14:textId="77777777" w:rsidR="00AB6FAC" w:rsidRDefault="00AB6FAC">
      <w:pPr>
        <w:spacing w:after="0" w:line="240" w:lineRule="auto"/>
      </w:pPr>
      <w:r>
        <w:separator/>
      </w:r>
    </w:p>
  </w:footnote>
  <w:footnote w:type="continuationSeparator" w:id="0">
    <w:p w14:paraId="4C610AE5" w14:textId="77777777" w:rsidR="00AB6FAC" w:rsidRDefault="00AB6FAC">
      <w:pPr>
        <w:spacing w:after="0" w:line="240" w:lineRule="auto"/>
      </w:pPr>
      <w:r>
        <w:continuationSeparator/>
      </w:r>
    </w:p>
  </w:footnote>
  <w:footnote w:id="1">
    <w:p w14:paraId="1BD25387" w14:textId="47963E5C" w:rsidR="00305883" w:rsidRDefault="00305883" w:rsidP="00305883">
      <w:pPr>
        <w:pStyle w:val="ac"/>
        <w:ind w:firstLine="720"/>
      </w:pPr>
      <w:r>
        <w:rPr>
          <w:rStyle w:val="ae"/>
        </w:rPr>
        <w:footnoteRef/>
      </w:r>
      <w:r>
        <w:t xml:space="preserve"> - далі – ЦПК.</w:t>
      </w:r>
    </w:p>
  </w:footnote>
  <w:footnote w:id="2">
    <w:p w14:paraId="6E035BBE" w14:textId="353A2470" w:rsidR="00305883" w:rsidRDefault="00305883" w:rsidP="00305883">
      <w:pPr>
        <w:pStyle w:val="ac"/>
        <w:ind w:firstLine="720"/>
      </w:pPr>
      <w:r>
        <w:rPr>
          <w:rStyle w:val="ae"/>
        </w:rPr>
        <w:footnoteRef/>
      </w:r>
      <w:r>
        <w:t xml:space="preserve"> - далі – ГПК.  </w:t>
      </w:r>
    </w:p>
  </w:footnote>
  <w:footnote w:id="3">
    <w:p w14:paraId="58360B3D" w14:textId="1CB3B52C" w:rsidR="00305883" w:rsidRDefault="00305883" w:rsidP="00305883">
      <w:pPr>
        <w:pStyle w:val="ac"/>
        <w:ind w:firstLine="720"/>
      </w:pPr>
      <w:r>
        <w:rPr>
          <w:rStyle w:val="ae"/>
        </w:rPr>
        <w:footnoteRef/>
      </w:r>
      <w:r>
        <w:t xml:space="preserve"> - далі – КАС.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7730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000001D" w14:textId="0E5F8EA8" w:rsidR="00567049" w:rsidRPr="00D830F7" w:rsidRDefault="00D82907" w:rsidP="00D830F7">
        <w:pPr>
          <w:pStyle w:val="a8"/>
          <w:jc w:val="center"/>
          <w:rPr>
            <w:sz w:val="20"/>
            <w:szCs w:val="20"/>
          </w:rPr>
        </w:pPr>
        <w:r w:rsidRPr="00D82907">
          <w:rPr>
            <w:sz w:val="20"/>
            <w:szCs w:val="20"/>
          </w:rPr>
          <w:fldChar w:fldCharType="begin"/>
        </w:r>
        <w:r w:rsidRPr="00D82907">
          <w:rPr>
            <w:sz w:val="20"/>
            <w:szCs w:val="20"/>
          </w:rPr>
          <w:instrText>PAGE   \* MERGEFORMAT</w:instrText>
        </w:r>
        <w:r w:rsidRPr="00D82907">
          <w:rPr>
            <w:sz w:val="20"/>
            <w:szCs w:val="20"/>
          </w:rPr>
          <w:fldChar w:fldCharType="separate"/>
        </w:r>
        <w:r w:rsidR="00201CFE">
          <w:rPr>
            <w:noProof/>
            <w:sz w:val="20"/>
            <w:szCs w:val="20"/>
          </w:rPr>
          <w:t>2</w:t>
        </w:r>
        <w:r w:rsidRPr="00D82907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6FD4" w14:textId="3083B24E" w:rsidR="00D82907" w:rsidRDefault="00AB6FAC" w:rsidP="00D82907"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right"/>
      <w:rPr>
        <w:color w:val="000000"/>
        <w:sz w:val="20"/>
        <w:szCs w:val="20"/>
      </w:rPr>
    </w:pPr>
    <w:sdt>
      <w:sdtPr>
        <w:id w:val="1107239507"/>
        <w:docPartObj>
          <w:docPartGallery w:val="Page Numbers (Top of Page)"/>
          <w:docPartUnique/>
        </w:docPartObj>
      </w:sdtPr>
      <w:sdtEndPr/>
      <w:sdtContent/>
    </w:sdt>
    <w:r w:rsidR="00D82907" w:rsidRPr="00D82907">
      <w:rPr>
        <w:color w:val="000000"/>
        <w:sz w:val="20"/>
        <w:szCs w:val="20"/>
      </w:rPr>
      <w:t xml:space="preserve"> </w:t>
    </w:r>
    <w:r w:rsidR="00D82907">
      <w:rPr>
        <w:color w:val="000000"/>
        <w:sz w:val="20"/>
        <w:szCs w:val="20"/>
      </w:rPr>
      <w:t>До реєстр. № 4064 від 07.09.2020</w:t>
    </w:r>
  </w:p>
  <w:p w14:paraId="6567E9FC" w14:textId="77777777" w:rsidR="00D82907" w:rsidRDefault="00D82907" w:rsidP="00D82907"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Народний депутат України</w:t>
    </w:r>
  </w:p>
  <w:p w14:paraId="5E885DCF" w14:textId="77777777" w:rsidR="00D82907" w:rsidRDefault="00D82907" w:rsidP="00D82907"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Ю. Камельчук</w:t>
    </w:r>
  </w:p>
  <w:p w14:paraId="4C11EB84" w14:textId="44B733E9" w:rsidR="00D82907" w:rsidRDefault="00D82907">
    <w:pPr>
      <w:pStyle w:val="a8"/>
      <w:jc w:val="center"/>
    </w:pPr>
  </w:p>
  <w:p w14:paraId="392575CE" w14:textId="77777777" w:rsidR="00D82907" w:rsidRDefault="00D829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9"/>
    <w:rsid w:val="00010BBC"/>
    <w:rsid w:val="00041E7D"/>
    <w:rsid w:val="00153949"/>
    <w:rsid w:val="0016286D"/>
    <w:rsid w:val="0017426D"/>
    <w:rsid w:val="00182C93"/>
    <w:rsid w:val="001C7134"/>
    <w:rsid w:val="00201CFE"/>
    <w:rsid w:val="00213340"/>
    <w:rsid w:val="002E183B"/>
    <w:rsid w:val="0030074F"/>
    <w:rsid w:val="00305883"/>
    <w:rsid w:val="00416433"/>
    <w:rsid w:val="004D41BE"/>
    <w:rsid w:val="004F194F"/>
    <w:rsid w:val="005007EC"/>
    <w:rsid w:val="00567049"/>
    <w:rsid w:val="00600B8A"/>
    <w:rsid w:val="006F2E3F"/>
    <w:rsid w:val="006F4AA4"/>
    <w:rsid w:val="00704263"/>
    <w:rsid w:val="00725D95"/>
    <w:rsid w:val="007D7D6E"/>
    <w:rsid w:val="00815D72"/>
    <w:rsid w:val="00832640"/>
    <w:rsid w:val="00844857"/>
    <w:rsid w:val="00867997"/>
    <w:rsid w:val="00A1402D"/>
    <w:rsid w:val="00A34E49"/>
    <w:rsid w:val="00A54ABB"/>
    <w:rsid w:val="00AB6FAC"/>
    <w:rsid w:val="00B10A21"/>
    <w:rsid w:val="00B11948"/>
    <w:rsid w:val="00B24065"/>
    <w:rsid w:val="00B451A7"/>
    <w:rsid w:val="00B46521"/>
    <w:rsid w:val="00BE2A7C"/>
    <w:rsid w:val="00C2149B"/>
    <w:rsid w:val="00C32A26"/>
    <w:rsid w:val="00C41281"/>
    <w:rsid w:val="00D82907"/>
    <w:rsid w:val="00D830F7"/>
    <w:rsid w:val="00D85072"/>
    <w:rsid w:val="00D874F8"/>
    <w:rsid w:val="00DE3834"/>
    <w:rsid w:val="00E54259"/>
    <w:rsid w:val="00F34F3A"/>
    <w:rsid w:val="00F93871"/>
    <w:rsid w:val="00F97ACE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709"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7D7D6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37">
    <w:name w:val="rvts37"/>
    <w:basedOn w:val="a0"/>
    <w:rsid w:val="007D7D6E"/>
  </w:style>
  <w:style w:type="character" w:customStyle="1" w:styleId="rvts46">
    <w:name w:val="rvts46"/>
    <w:basedOn w:val="a0"/>
    <w:rsid w:val="007D7D6E"/>
  </w:style>
  <w:style w:type="character" w:styleId="a5">
    <w:name w:val="Hyperlink"/>
    <w:basedOn w:val="a0"/>
    <w:uiPriority w:val="99"/>
    <w:semiHidden/>
    <w:unhideWhenUsed/>
    <w:rsid w:val="007D7D6E"/>
    <w:rPr>
      <w:color w:val="0000FF"/>
      <w:u w:val="single"/>
    </w:rPr>
  </w:style>
  <w:style w:type="character" w:customStyle="1" w:styleId="rvts11">
    <w:name w:val="rvts11"/>
    <w:basedOn w:val="a0"/>
    <w:rsid w:val="007D7D6E"/>
  </w:style>
  <w:style w:type="paragraph" w:styleId="a6">
    <w:name w:val="Balloon Text"/>
    <w:basedOn w:val="a"/>
    <w:link w:val="a7"/>
    <w:uiPriority w:val="99"/>
    <w:semiHidden/>
    <w:unhideWhenUsed/>
    <w:rsid w:val="00D8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290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2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82907"/>
  </w:style>
  <w:style w:type="paragraph" w:styleId="aa">
    <w:name w:val="footer"/>
    <w:basedOn w:val="a"/>
    <w:link w:val="ab"/>
    <w:uiPriority w:val="99"/>
    <w:unhideWhenUsed/>
    <w:rsid w:val="00D82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82907"/>
  </w:style>
  <w:style w:type="paragraph" w:styleId="ac">
    <w:name w:val="footnote text"/>
    <w:basedOn w:val="a"/>
    <w:link w:val="ad"/>
    <w:uiPriority w:val="99"/>
    <w:semiHidden/>
    <w:unhideWhenUsed/>
    <w:rsid w:val="00305883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30588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0ABD-536E-466C-B98C-3EF09FDB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2021-03-01T15:04:00Z</dcterms:created>
  <dcterms:modified xsi:type="dcterms:W3CDTF">2021-03-01T15:04:00Z</dcterms:modified>
</cp:coreProperties>
</file>