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4F5" w:rsidRPr="003D042D" w:rsidRDefault="00A274F5" w:rsidP="00A274F5">
      <w:pPr>
        <w:pStyle w:val="a3"/>
        <w:ind w:firstLine="709"/>
      </w:pPr>
    </w:p>
    <w:p w:rsidR="00A274F5" w:rsidRPr="003D042D" w:rsidRDefault="00A274F5" w:rsidP="00A274F5">
      <w:pPr>
        <w:pStyle w:val="a3"/>
        <w:ind w:firstLine="709"/>
      </w:pPr>
      <w:r w:rsidRPr="003D042D">
        <w:t>ПОЯСНЮВАЛЬНА ЗАПИСКА</w:t>
      </w:r>
    </w:p>
    <w:p w:rsidR="00A274F5" w:rsidRPr="003D042D" w:rsidRDefault="00A274F5" w:rsidP="00A274F5">
      <w:pPr>
        <w:pStyle w:val="a3"/>
        <w:ind w:firstLine="709"/>
      </w:pPr>
    </w:p>
    <w:p w:rsidR="00A274F5" w:rsidRPr="003D042D" w:rsidRDefault="00A274F5" w:rsidP="00A274F5">
      <w:pPr>
        <w:pStyle w:val="a5"/>
        <w:ind w:firstLine="709"/>
        <w:rPr>
          <w:b/>
        </w:rPr>
      </w:pPr>
      <w:r w:rsidRPr="003D042D">
        <w:rPr>
          <w:b/>
        </w:rPr>
        <w:t>до проекту Закону України</w:t>
      </w:r>
    </w:p>
    <w:p w:rsidR="00A274F5" w:rsidRPr="003D042D" w:rsidRDefault="00A274F5" w:rsidP="00A274F5">
      <w:pPr>
        <w:pStyle w:val="1"/>
        <w:ind w:firstLine="709"/>
        <w:outlineLvl w:val="0"/>
        <w:rPr>
          <w:b/>
          <w:bCs/>
        </w:rPr>
      </w:pPr>
      <w:r>
        <w:rPr>
          <w:b/>
          <w:bCs/>
        </w:rPr>
        <w:t>«</w:t>
      </w:r>
      <w:r w:rsidR="00B20C5D">
        <w:rPr>
          <w:b/>
          <w:bCs/>
        </w:rPr>
        <w:t>Про Національну комісію, що здійснює державне регулювання у сферах електронних комунікацій, радіочастотного спектру та надання послуг поштового зв’язку України</w:t>
      </w:r>
      <w:r>
        <w:rPr>
          <w:b/>
          <w:bCs/>
        </w:rPr>
        <w:t>»</w:t>
      </w:r>
    </w:p>
    <w:p w:rsidR="00A274F5" w:rsidRPr="003D042D" w:rsidRDefault="00A274F5" w:rsidP="00A274F5">
      <w:pPr>
        <w:jc w:val="center"/>
        <w:rPr>
          <w:b/>
          <w:sz w:val="28"/>
          <w:szCs w:val="28"/>
          <w:lang w:val="uk-UA"/>
        </w:rPr>
      </w:pPr>
    </w:p>
    <w:p w:rsidR="00A274F5" w:rsidRPr="003D042D" w:rsidRDefault="00A274F5" w:rsidP="00A274F5">
      <w:pPr>
        <w:ind w:firstLine="540"/>
        <w:jc w:val="center"/>
        <w:rPr>
          <w:b/>
          <w:sz w:val="28"/>
          <w:szCs w:val="28"/>
          <w:lang w:val="uk-UA"/>
        </w:rPr>
      </w:pPr>
      <w:r w:rsidRPr="003D042D">
        <w:rPr>
          <w:b/>
          <w:sz w:val="28"/>
          <w:szCs w:val="28"/>
          <w:lang w:val="uk-UA"/>
        </w:rPr>
        <w:t xml:space="preserve"> </w:t>
      </w:r>
    </w:p>
    <w:p w:rsidR="00A274F5" w:rsidRPr="003D042D" w:rsidRDefault="00A274F5" w:rsidP="00A274F5">
      <w:pPr>
        <w:numPr>
          <w:ilvl w:val="0"/>
          <w:numId w:val="1"/>
        </w:numPr>
        <w:ind w:left="0" w:firstLine="540"/>
        <w:rPr>
          <w:b/>
          <w:sz w:val="28"/>
          <w:szCs w:val="28"/>
          <w:lang w:val="uk-UA"/>
        </w:rPr>
      </w:pPr>
      <w:r w:rsidRPr="003D042D">
        <w:rPr>
          <w:b/>
          <w:sz w:val="28"/>
          <w:szCs w:val="28"/>
          <w:lang w:val="uk-UA"/>
        </w:rPr>
        <w:t xml:space="preserve">Обґрунтування необхідності прийняття </w:t>
      </w:r>
      <w:proofErr w:type="spellStart"/>
      <w:r w:rsidRPr="003D042D">
        <w:rPr>
          <w:b/>
          <w:sz w:val="28"/>
          <w:szCs w:val="28"/>
          <w:lang w:val="uk-UA"/>
        </w:rPr>
        <w:t>акта</w:t>
      </w:r>
      <w:proofErr w:type="spellEnd"/>
    </w:p>
    <w:p w:rsidR="00A274F5" w:rsidRPr="003D042D" w:rsidRDefault="00A274F5" w:rsidP="00A274F5">
      <w:pPr>
        <w:ind w:firstLine="540"/>
        <w:rPr>
          <w:b/>
          <w:sz w:val="28"/>
          <w:szCs w:val="28"/>
          <w:lang w:val="uk-UA"/>
        </w:rPr>
      </w:pPr>
    </w:p>
    <w:p w:rsidR="00A274F5" w:rsidRDefault="00A274F5" w:rsidP="001C0553">
      <w:pPr>
        <w:ind w:firstLine="540"/>
        <w:jc w:val="both"/>
        <w:rPr>
          <w:sz w:val="28"/>
          <w:szCs w:val="28"/>
          <w:lang w:val="uk-UA"/>
        </w:rPr>
      </w:pPr>
      <w:r w:rsidRPr="003D042D">
        <w:rPr>
          <w:sz w:val="28"/>
          <w:szCs w:val="28"/>
          <w:lang w:val="uk-UA"/>
        </w:rPr>
        <w:t>Проект Закону України «</w:t>
      </w:r>
      <w:r w:rsidR="00B20C5D">
        <w:rPr>
          <w:sz w:val="28"/>
          <w:szCs w:val="28"/>
          <w:lang w:val="uk-UA"/>
        </w:rPr>
        <w:t>Про Національну комісію, що здійснює державне регулювання у сферах електронних комунікацій, радіочастотного спектру та надання послуг поштового зв’язку України</w:t>
      </w:r>
      <w:r w:rsidRPr="003D042D">
        <w:rPr>
          <w:sz w:val="28"/>
          <w:szCs w:val="28"/>
          <w:lang w:val="uk-UA"/>
        </w:rPr>
        <w:t xml:space="preserve">» (далі – проект Закону) розроблено </w:t>
      </w:r>
      <w:r>
        <w:rPr>
          <w:sz w:val="28"/>
          <w:szCs w:val="28"/>
          <w:lang w:val="uk-UA"/>
        </w:rPr>
        <w:t xml:space="preserve">народними депутатами – членами Комітету Верховної Ради Комітету Верховної Ради України з питань </w:t>
      </w:r>
      <w:r w:rsidR="000F536C">
        <w:rPr>
          <w:sz w:val="28"/>
          <w:szCs w:val="28"/>
          <w:lang w:val="uk-UA"/>
        </w:rPr>
        <w:t xml:space="preserve">цифрової трансформації відповідно </w:t>
      </w:r>
      <w:r w:rsidR="002E3B37">
        <w:rPr>
          <w:sz w:val="28"/>
          <w:szCs w:val="28"/>
          <w:lang w:val="uk-UA"/>
        </w:rPr>
        <w:t>статті 116</w:t>
      </w:r>
      <w:r w:rsidR="001C0553">
        <w:rPr>
          <w:sz w:val="28"/>
          <w:szCs w:val="28"/>
          <w:lang w:val="uk-UA"/>
        </w:rPr>
        <w:t xml:space="preserve"> та </w:t>
      </w:r>
      <w:r w:rsidR="001C0553" w:rsidRPr="001C0553">
        <w:rPr>
          <w:sz w:val="28"/>
          <w:szCs w:val="28"/>
          <w:lang w:val="uk-UA"/>
        </w:rPr>
        <w:t>Д</w:t>
      </w:r>
      <w:r w:rsidR="001C0553">
        <w:rPr>
          <w:sz w:val="28"/>
          <w:szCs w:val="28"/>
          <w:lang w:val="uk-UA"/>
        </w:rPr>
        <w:t>оповнення</w:t>
      </w:r>
      <w:r w:rsidR="001C0553" w:rsidRPr="001C0553">
        <w:rPr>
          <w:sz w:val="28"/>
          <w:szCs w:val="28"/>
          <w:lang w:val="uk-UA"/>
        </w:rPr>
        <w:t xml:space="preserve"> XVII-3</w:t>
      </w:r>
      <w:r w:rsidR="001C0553">
        <w:rPr>
          <w:sz w:val="28"/>
          <w:szCs w:val="28"/>
          <w:lang w:val="uk-UA"/>
        </w:rPr>
        <w:t xml:space="preserve"> «П</w:t>
      </w:r>
      <w:r w:rsidR="001C0553" w:rsidRPr="001C0553">
        <w:rPr>
          <w:sz w:val="28"/>
          <w:szCs w:val="28"/>
          <w:lang w:val="uk-UA"/>
        </w:rPr>
        <w:t>равила, що застосовуються до телекомунікаційних</w:t>
      </w:r>
      <w:r w:rsidR="001C0553">
        <w:rPr>
          <w:sz w:val="28"/>
          <w:szCs w:val="28"/>
          <w:lang w:val="uk-UA"/>
        </w:rPr>
        <w:t xml:space="preserve"> </w:t>
      </w:r>
      <w:r w:rsidR="001C0553" w:rsidRPr="001C0553">
        <w:rPr>
          <w:sz w:val="28"/>
          <w:szCs w:val="28"/>
          <w:lang w:val="uk-UA"/>
        </w:rPr>
        <w:t>послуг</w:t>
      </w:r>
      <w:r w:rsidR="001C0553">
        <w:rPr>
          <w:sz w:val="28"/>
          <w:szCs w:val="28"/>
          <w:lang w:val="uk-UA"/>
        </w:rPr>
        <w:t>»</w:t>
      </w:r>
      <w:r w:rsidR="002E3B37">
        <w:rPr>
          <w:sz w:val="28"/>
          <w:szCs w:val="28"/>
          <w:lang w:val="uk-UA"/>
        </w:rPr>
        <w:t xml:space="preserve"> </w:t>
      </w:r>
      <w:r w:rsidR="002E3B37" w:rsidRPr="002E3B37">
        <w:rPr>
          <w:b/>
          <w:sz w:val="28"/>
          <w:szCs w:val="28"/>
          <w:lang w:val="uk-UA"/>
        </w:rPr>
        <w:t>Угоди про Асоціацію між Україною, з однієї сторони, та Європейським Союзом, Європейським співтовариством з атомної енергії і їхніми державами-членами</w:t>
      </w:r>
      <w:r w:rsidR="003916D3">
        <w:rPr>
          <w:b/>
          <w:sz w:val="28"/>
          <w:szCs w:val="28"/>
          <w:lang w:val="uk-UA"/>
        </w:rPr>
        <w:t xml:space="preserve"> (далі - Угоди про Асоціацію)</w:t>
      </w:r>
      <w:r w:rsidR="002E3B37" w:rsidRPr="002E3B37">
        <w:rPr>
          <w:sz w:val="28"/>
          <w:szCs w:val="28"/>
          <w:lang w:val="uk-UA"/>
        </w:rPr>
        <w:t>, з іншої сторони</w:t>
      </w:r>
      <w:r w:rsidR="003916D3" w:rsidRPr="003916D3">
        <w:rPr>
          <w:sz w:val="28"/>
          <w:szCs w:val="28"/>
          <w:lang w:val="uk-UA"/>
        </w:rPr>
        <w:t xml:space="preserve"> та</w:t>
      </w:r>
      <w:r w:rsidR="003916D3">
        <w:rPr>
          <w:sz w:val="28"/>
          <w:szCs w:val="28"/>
          <w:lang w:val="uk-UA"/>
        </w:rPr>
        <w:t xml:space="preserve"> Рішення Конституційного Суду України </w:t>
      </w:r>
      <w:r w:rsidR="003916D3" w:rsidRPr="00327EA1">
        <w:rPr>
          <w:sz w:val="28"/>
          <w:szCs w:val="28"/>
          <w:lang w:val="uk-UA"/>
        </w:rPr>
        <w:t xml:space="preserve">у справі за конституційним поданням 55 народних депутатів України щодо відповідності Конституції України (конституційності) положень частин другої, третьої статті 17, частин першої, дев'ятої статті 20 </w:t>
      </w:r>
      <w:r w:rsidR="003916D3">
        <w:rPr>
          <w:sz w:val="28"/>
          <w:szCs w:val="28"/>
          <w:lang w:val="uk-UA"/>
        </w:rPr>
        <w:t>Закону України «Про телекомунікації»</w:t>
      </w:r>
      <w:r w:rsidR="003916D3" w:rsidRPr="00327EA1">
        <w:rPr>
          <w:sz w:val="28"/>
          <w:szCs w:val="28"/>
          <w:lang w:val="uk-UA"/>
        </w:rPr>
        <w:t>, ста</w:t>
      </w:r>
      <w:r w:rsidR="003916D3">
        <w:rPr>
          <w:sz w:val="28"/>
          <w:szCs w:val="28"/>
          <w:lang w:val="uk-UA"/>
        </w:rPr>
        <w:t>тті 2 Указу Президента України «</w:t>
      </w:r>
      <w:r w:rsidR="003916D3" w:rsidRPr="00327EA1">
        <w:rPr>
          <w:sz w:val="28"/>
          <w:szCs w:val="28"/>
          <w:lang w:val="uk-UA"/>
        </w:rPr>
        <w:t>Про Національну комісію з пит</w:t>
      </w:r>
      <w:r w:rsidR="003916D3">
        <w:rPr>
          <w:sz w:val="28"/>
          <w:szCs w:val="28"/>
          <w:lang w:val="uk-UA"/>
        </w:rPr>
        <w:t xml:space="preserve">ань регулювання зв'язку України» від </w:t>
      </w:r>
      <w:r w:rsidR="003916D3" w:rsidRPr="001C0553">
        <w:rPr>
          <w:sz w:val="28"/>
          <w:szCs w:val="28"/>
          <w:lang w:val="uk-UA"/>
        </w:rPr>
        <w:t>8 жовтня 2008 року N 21-рп/2008</w:t>
      </w:r>
      <w:r w:rsidR="002E3B37">
        <w:rPr>
          <w:sz w:val="28"/>
          <w:szCs w:val="28"/>
          <w:lang w:val="uk-UA"/>
        </w:rPr>
        <w:t>.</w:t>
      </w:r>
    </w:p>
    <w:p w:rsidR="00D8509B" w:rsidRPr="00D8509B" w:rsidRDefault="00D8509B" w:rsidP="00D8509B">
      <w:pPr>
        <w:ind w:firstLine="540"/>
        <w:jc w:val="both"/>
        <w:rPr>
          <w:sz w:val="28"/>
          <w:szCs w:val="28"/>
          <w:lang w:val="uk-UA"/>
        </w:rPr>
      </w:pPr>
      <w:r w:rsidRPr="00D8509B">
        <w:rPr>
          <w:sz w:val="28"/>
          <w:szCs w:val="28"/>
          <w:lang w:val="uk-UA"/>
        </w:rPr>
        <w:t>Співробітництво між Україною та ЄС у сфері розвитку інформаційного суспільства (Глава 14 Розділу V Угоди про Асоціацію)  має на меті імплементацію національних стратегій інформаційного суспільства, розвиток всеохоплюючої нормативно-правової бази для електронних комунікацій та розширення участі України у дослідницьких програмах ЄС у сфері ІКТ.</w:t>
      </w:r>
    </w:p>
    <w:p w:rsidR="00D8509B" w:rsidRPr="00D8509B" w:rsidRDefault="00D8509B" w:rsidP="00D8509B">
      <w:pPr>
        <w:ind w:firstLine="540"/>
        <w:jc w:val="both"/>
        <w:rPr>
          <w:sz w:val="28"/>
          <w:szCs w:val="28"/>
          <w:lang w:val="uk-UA"/>
        </w:rPr>
      </w:pPr>
      <w:r w:rsidRPr="00D8509B">
        <w:rPr>
          <w:sz w:val="28"/>
          <w:szCs w:val="28"/>
          <w:lang w:val="uk-UA"/>
        </w:rPr>
        <w:t xml:space="preserve">Для досягнення сумісності телекомунікаційної інфраструктури та правил її використання, доступу до ринків послуг електронних комунікацій передбачається особлива та окрема координація політик та співробітництво між </w:t>
      </w:r>
      <w:r w:rsidR="004E7CFF">
        <w:rPr>
          <w:sz w:val="28"/>
          <w:szCs w:val="28"/>
          <w:lang w:val="uk-UA"/>
        </w:rPr>
        <w:t xml:space="preserve"> Регуляторами </w:t>
      </w:r>
      <w:r>
        <w:rPr>
          <w:sz w:val="28"/>
          <w:szCs w:val="28"/>
          <w:lang w:val="uk-UA"/>
        </w:rPr>
        <w:t>у галузі зв’язку (статті</w:t>
      </w:r>
      <w:r w:rsidRPr="00D8509B">
        <w:rPr>
          <w:sz w:val="28"/>
          <w:szCs w:val="28"/>
          <w:lang w:val="uk-UA"/>
        </w:rPr>
        <w:t xml:space="preserve"> 389,390,391-b-c,392,393,394). </w:t>
      </w:r>
    </w:p>
    <w:p w:rsidR="00D8509B" w:rsidRPr="00D8509B" w:rsidRDefault="00D8509B" w:rsidP="00D8509B">
      <w:pPr>
        <w:ind w:firstLine="540"/>
        <w:jc w:val="both"/>
        <w:rPr>
          <w:sz w:val="28"/>
          <w:szCs w:val="28"/>
          <w:lang w:val="uk-UA"/>
        </w:rPr>
      </w:pPr>
      <w:r w:rsidRPr="00D8509B">
        <w:rPr>
          <w:sz w:val="28"/>
          <w:szCs w:val="28"/>
          <w:lang w:val="uk-UA"/>
        </w:rPr>
        <w:t xml:space="preserve">Ті ж самі напрями співпраці обрані пріоритетами співпраці між Україною, ЄС та країнами учасницями зовнішньополітичної ініціативи «Східне Партнерство» (далі - </w:t>
      </w:r>
      <w:proofErr w:type="spellStart"/>
      <w:r w:rsidRPr="00D8509B">
        <w:rPr>
          <w:sz w:val="28"/>
          <w:szCs w:val="28"/>
          <w:lang w:val="uk-UA"/>
        </w:rPr>
        <w:t>СхП</w:t>
      </w:r>
      <w:proofErr w:type="spellEnd"/>
      <w:r w:rsidRPr="00D8509B">
        <w:rPr>
          <w:sz w:val="28"/>
          <w:szCs w:val="28"/>
          <w:lang w:val="uk-UA"/>
        </w:rPr>
        <w:t xml:space="preserve">) в рамках Панелі «Гармонізація цифрових ринків» (HDM </w:t>
      </w:r>
      <w:proofErr w:type="spellStart"/>
      <w:r w:rsidRPr="00D8509B">
        <w:rPr>
          <w:sz w:val="28"/>
          <w:szCs w:val="28"/>
          <w:lang w:val="uk-UA"/>
        </w:rPr>
        <w:t>Panel</w:t>
      </w:r>
      <w:proofErr w:type="spellEnd"/>
      <w:r w:rsidRPr="00D8509B">
        <w:rPr>
          <w:sz w:val="28"/>
          <w:szCs w:val="28"/>
          <w:lang w:val="uk-UA"/>
        </w:rPr>
        <w:t>), першим з яких є  правила надання телекомунікаційних послуг та інфраструктура.</w:t>
      </w:r>
    </w:p>
    <w:p w:rsidR="00D8509B" w:rsidRPr="00D8509B" w:rsidRDefault="00D8509B" w:rsidP="00D8509B">
      <w:pPr>
        <w:ind w:firstLine="540"/>
        <w:jc w:val="both"/>
        <w:rPr>
          <w:sz w:val="28"/>
          <w:szCs w:val="28"/>
          <w:lang w:val="uk-UA"/>
        </w:rPr>
      </w:pPr>
      <w:r w:rsidRPr="00D8509B">
        <w:rPr>
          <w:sz w:val="28"/>
          <w:szCs w:val="28"/>
          <w:lang w:val="uk-UA"/>
        </w:rPr>
        <w:t xml:space="preserve">Єдиний цифровий ринок з ЄС для України може означати нові можливості доступу до онлайн-ринків та е-послуг країн ЄС, зокрема, спрощення правових та адміністративних бар’єрів, приєднання до єдиних правил для вільного транскордонного поширення онлайн-послуг та контенту, онлайн-платежів, спрощення процедур цифрових контрактів, ліцензування, оподаткування та оформлення авторських прав, але за умови створення систем захисту персональних даних і кібербезпеки в Україні. </w:t>
      </w:r>
    </w:p>
    <w:p w:rsidR="00D8509B" w:rsidRPr="00D8509B" w:rsidRDefault="00D8509B" w:rsidP="00D8509B">
      <w:pPr>
        <w:ind w:firstLine="540"/>
        <w:jc w:val="both"/>
        <w:rPr>
          <w:sz w:val="28"/>
          <w:szCs w:val="28"/>
          <w:lang w:val="uk-UA"/>
        </w:rPr>
      </w:pPr>
      <w:r w:rsidRPr="00D8509B">
        <w:rPr>
          <w:sz w:val="28"/>
          <w:szCs w:val="28"/>
          <w:lang w:val="uk-UA"/>
        </w:rPr>
        <w:lastRenderedPageBreak/>
        <w:t xml:space="preserve">Розвиток економіки даних спільно з ЄС надасть поштовху для розвитку в Україні сучасної цифрової інфраструктури, досліджень та технологій, таких як штучний інтелект, інтернет речей, хмарні платформи і сервіси, високопродуктивні обчислення та великі дані. </w:t>
      </w:r>
    </w:p>
    <w:p w:rsidR="00D8509B" w:rsidRPr="00D8509B" w:rsidRDefault="00D8509B" w:rsidP="00D8509B">
      <w:pPr>
        <w:ind w:firstLine="540"/>
        <w:jc w:val="both"/>
        <w:rPr>
          <w:sz w:val="28"/>
          <w:szCs w:val="28"/>
          <w:lang w:val="uk-UA"/>
        </w:rPr>
      </w:pPr>
      <w:r w:rsidRPr="00D8509B">
        <w:rPr>
          <w:sz w:val="28"/>
          <w:szCs w:val="28"/>
          <w:lang w:val="uk-UA"/>
        </w:rPr>
        <w:t xml:space="preserve">Інформаційна сфера держави суттєво впливає на інші сфери і визначає її економічний та інноваційний потенціал, конкурентоспроможність на міжнародній арені та якість життя громадян. </w:t>
      </w:r>
    </w:p>
    <w:p w:rsidR="00D8509B" w:rsidRDefault="00D8509B" w:rsidP="00D8509B">
      <w:pPr>
        <w:ind w:firstLine="540"/>
        <w:jc w:val="both"/>
        <w:rPr>
          <w:sz w:val="28"/>
          <w:szCs w:val="28"/>
          <w:lang w:val="uk-UA"/>
        </w:rPr>
      </w:pPr>
      <w:r w:rsidRPr="00D8509B">
        <w:rPr>
          <w:sz w:val="28"/>
          <w:szCs w:val="28"/>
          <w:lang w:val="uk-UA"/>
        </w:rPr>
        <w:t>Економічною умовою вступу в ЄС згідно Копенгагенських критеріїв є функціонування ринкової економіки та спроможність справлятися з конкуренцією та ринковими силами.</w:t>
      </w:r>
    </w:p>
    <w:p w:rsidR="007B5518" w:rsidRDefault="00B20C5D" w:rsidP="00A274F5">
      <w:pPr>
        <w:ind w:firstLine="540"/>
        <w:jc w:val="both"/>
        <w:rPr>
          <w:sz w:val="28"/>
          <w:szCs w:val="28"/>
          <w:lang w:val="uk-UA"/>
        </w:rPr>
      </w:pPr>
      <w:r>
        <w:rPr>
          <w:sz w:val="28"/>
          <w:szCs w:val="28"/>
          <w:lang w:val="uk-UA"/>
        </w:rPr>
        <w:t>Національна комісію, що здійснює державне регулювання у сферах електронних комунікацій, радіочастотного спектру та надання послуг поштового зв’язку України</w:t>
      </w:r>
      <w:r w:rsidR="007B5518">
        <w:rPr>
          <w:sz w:val="28"/>
          <w:szCs w:val="28"/>
          <w:lang w:val="uk-UA"/>
        </w:rPr>
        <w:t xml:space="preserve"> ( далі –</w:t>
      </w:r>
      <w:r w:rsidR="004E7CFF">
        <w:rPr>
          <w:sz w:val="28"/>
          <w:szCs w:val="28"/>
          <w:lang w:val="uk-UA"/>
        </w:rPr>
        <w:t xml:space="preserve"> Регулятор комунікаційних послуг</w:t>
      </w:r>
      <w:r w:rsidR="007B5518">
        <w:rPr>
          <w:sz w:val="28"/>
          <w:szCs w:val="28"/>
          <w:lang w:val="uk-UA"/>
        </w:rPr>
        <w:t xml:space="preserve">)  має стати правонаступником </w:t>
      </w:r>
      <w:r w:rsidR="007B5518" w:rsidRPr="002E3B37">
        <w:rPr>
          <w:sz w:val="28"/>
          <w:szCs w:val="28"/>
          <w:lang w:val="uk-UA"/>
        </w:rPr>
        <w:t>Національн</w:t>
      </w:r>
      <w:r w:rsidR="007B5518">
        <w:rPr>
          <w:sz w:val="28"/>
          <w:szCs w:val="28"/>
          <w:lang w:val="uk-UA"/>
        </w:rPr>
        <w:t>ої комісії</w:t>
      </w:r>
      <w:r w:rsidR="007B5518" w:rsidRPr="002E3B37">
        <w:rPr>
          <w:sz w:val="28"/>
          <w:szCs w:val="28"/>
          <w:lang w:val="uk-UA"/>
        </w:rPr>
        <w:t>, що здійснює державне регулювання у сфері зв`язку та інформатизації</w:t>
      </w:r>
      <w:r w:rsidR="007B5518">
        <w:rPr>
          <w:sz w:val="28"/>
          <w:szCs w:val="28"/>
          <w:lang w:val="uk-UA"/>
        </w:rPr>
        <w:t>.</w:t>
      </w:r>
    </w:p>
    <w:p w:rsidR="00A274F5" w:rsidRDefault="002E3B37" w:rsidP="00A274F5">
      <w:pPr>
        <w:ind w:firstLine="540"/>
        <w:jc w:val="both"/>
        <w:rPr>
          <w:sz w:val="28"/>
          <w:szCs w:val="28"/>
          <w:lang w:val="uk-UA"/>
        </w:rPr>
      </w:pPr>
      <w:r w:rsidRPr="002E3B37">
        <w:rPr>
          <w:sz w:val="28"/>
          <w:szCs w:val="28"/>
          <w:lang w:val="uk-UA"/>
        </w:rPr>
        <w:t>Національну комісію, що здійснює державне регулювання у сфері зв`язку та інформатизації, створено Указом Президента України №1067/2011 від 23.11.2011 на виконання Закону України «Про телекомунікації». Цим же Указом затверджено Положення про Національну комісію, що здійснює державне регулювання у сфері зв</w:t>
      </w:r>
      <w:r>
        <w:rPr>
          <w:sz w:val="28"/>
          <w:szCs w:val="28"/>
          <w:lang w:val="uk-UA"/>
        </w:rPr>
        <w:t>`язку та інформатизації (НКРЗІ), яким</w:t>
      </w:r>
      <w:r w:rsidR="00A274F5" w:rsidRPr="003D042D">
        <w:rPr>
          <w:sz w:val="28"/>
          <w:szCs w:val="28"/>
          <w:lang w:val="uk-UA"/>
        </w:rPr>
        <w:t xml:space="preserve"> встановлено, що </w:t>
      </w:r>
      <w:r>
        <w:rPr>
          <w:sz w:val="28"/>
          <w:szCs w:val="28"/>
          <w:lang w:val="uk-UA"/>
        </w:rPr>
        <w:t>НКРЗІ</w:t>
      </w:r>
      <w:r w:rsidR="00A274F5" w:rsidRPr="003D042D">
        <w:rPr>
          <w:sz w:val="28"/>
          <w:szCs w:val="28"/>
          <w:lang w:val="uk-UA"/>
        </w:rPr>
        <w:t xml:space="preserve"> </w:t>
      </w:r>
      <w:r w:rsidR="008033A8" w:rsidRPr="008033A8">
        <w:rPr>
          <w:sz w:val="28"/>
          <w:szCs w:val="28"/>
          <w:lang w:val="uk-UA"/>
        </w:rPr>
        <w:t xml:space="preserve">є державним колегіальним органом, підпорядкованим Президенту України та підзвітним Верховній Раді України. НКРЗІ є органом державного регулювання у сфері телекомунікацій, інформатизації, користування радіочастотним ресурсом та надання послуг поштового зв`язку. У визначеній сфері НКРЗІ здійснює повноваження органу ліцензування, дозвільного органу, </w:t>
      </w:r>
      <w:r w:rsidR="004E7CFF">
        <w:rPr>
          <w:sz w:val="28"/>
          <w:szCs w:val="28"/>
          <w:lang w:val="uk-UA"/>
        </w:rPr>
        <w:t xml:space="preserve"> Регулятор</w:t>
      </w:r>
      <w:r w:rsidR="008033A8" w:rsidRPr="008033A8">
        <w:rPr>
          <w:sz w:val="28"/>
          <w:szCs w:val="28"/>
          <w:lang w:val="uk-UA"/>
        </w:rPr>
        <w:t>ного органу та органу державного нагляду (контролю)</w:t>
      </w:r>
      <w:r w:rsidR="00A274F5" w:rsidRPr="003D042D">
        <w:rPr>
          <w:sz w:val="28"/>
          <w:szCs w:val="28"/>
          <w:lang w:val="uk-UA"/>
        </w:rPr>
        <w:t>, та передбачено основні завдання, функції та повноваження.</w:t>
      </w:r>
    </w:p>
    <w:p w:rsidR="00A137A5" w:rsidRDefault="00A274F5" w:rsidP="00A274F5">
      <w:pPr>
        <w:pStyle w:val="a9"/>
        <w:ind w:firstLine="540"/>
        <w:jc w:val="both"/>
        <w:rPr>
          <w:sz w:val="28"/>
          <w:szCs w:val="28"/>
        </w:rPr>
      </w:pPr>
      <w:r w:rsidRPr="003D042D">
        <w:rPr>
          <w:sz w:val="28"/>
          <w:szCs w:val="28"/>
        </w:rPr>
        <w:t xml:space="preserve">Діяльність </w:t>
      </w:r>
      <w:r w:rsidR="007B5518">
        <w:rPr>
          <w:sz w:val="28"/>
          <w:szCs w:val="28"/>
        </w:rPr>
        <w:t>НКРЗІ</w:t>
      </w:r>
      <w:r w:rsidRPr="003D042D">
        <w:rPr>
          <w:sz w:val="28"/>
          <w:szCs w:val="28"/>
        </w:rPr>
        <w:t xml:space="preserve"> регулюється закон</w:t>
      </w:r>
      <w:r w:rsidR="007B5518">
        <w:rPr>
          <w:sz w:val="28"/>
          <w:szCs w:val="28"/>
        </w:rPr>
        <w:t>ом</w:t>
      </w:r>
      <w:r w:rsidRPr="003D042D">
        <w:rPr>
          <w:sz w:val="28"/>
          <w:szCs w:val="28"/>
        </w:rPr>
        <w:t xml:space="preserve"> України </w:t>
      </w:r>
      <w:r>
        <w:rPr>
          <w:sz w:val="28"/>
          <w:szCs w:val="28"/>
        </w:rPr>
        <w:t>«</w:t>
      </w:r>
      <w:r w:rsidR="007B5518">
        <w:rPr>
          <w:sz w:val="28"/>
          <w:szCs w:val="28"/>
        </w:rPr>
        <w:t>Про телекомунікації</w:t>
      </w:r>
      <w:r>
        <w:rPr>
          <w:sz w:val="28"/>
          <w:szCs w:val="28"/>
        </w:rPr>
        <w:t>»</w:t>
      </w:r>
      <w:r w:rsidRPr="003D042D">
        <w:rPr>
          <w:sz w:val="28"/>
          <w:szCs w:val="28"/>
        </w:rPr>
        <w:t>. Однак, положення ц</w:t>
      </w:r>
      <w:r w:rsidR="007B5518">
        <w:rPr>
          <w:sz w:val="28"/>
          <w:szCs w:val="28"/>
        </w:rPr>
        <w:t>ього З</w:t>
      </w:r>
      <w:r w:rsidRPr="003D042D">
        <w:rPr>
          <w:sz w:val="28"/>
          <w:szCs w:val="28"/>
        </w:rPr>
        <w:t>акон</w:t>
      </w:r>
      <w:r w:rsidR="007B5518">
        <w:rPr>
          <w:sz w:val="28"/>
          <w:szCs w:val="28"/>
        </w:rPr>
        <w:t>у</w:t>
      </w:r>
      <w:r w:rsidRPr="003D042D">
        <w:rPr>
          <w:sz w:val="28"/>
          <w:szCs w:val="28"/>
        </w:rPr>
        <w:t xml:space="preserve"> не в повній мірі врегульовують питання організації діяльності </w:t>
      </w:r>
      <w:r w:rsidR="007B5518">
        <w:rPr>
          <w:sz w:val="28"/>
          <w:szCs w:val="28"/>
        </w:rPr>
        <w:t>НКРЗІ</w:t>
      </w:r>
      <w:r w:rsidRPr="003D042D">
        <w:rPr>
          <w:sz w:val="28"/>
          <w:szCs w:val="28"/>
        </w:rPr>
        <w:t xml:space="preserve"> та лише частково відповідають вимогам загальноєвропейського законодавства, що має </w:t>
      </w:r>
      <w:r w:rsidR="003916D3">
        <w:rPr>
          <w:sz w:val="28"/>
          <w:szCs w:val="28"/>
        </w:rPr>
        <w:t xml:space="preserve">ключове значення </w:t>
      </w:r>
      <w:r w:rsidRPr="003D042D">
        <w:rPr>
          <w:sz w:val="28"/>
          <w:szCs w:val="28"/>
        </w:rPr>
        <w:t xml:space="preserve">з огляду на Угоду про асоціацію </w:t>
      </w:r>
      <w:r w:rsidR="003916D3">
        <w:rPr>
          <w:sz w:val="28"/>
          <w:szCs w:val="28"/>
        </w:rPr>
        <w:t xml:space="preserve">та строками для реалізації взятих Україною зобов’язань з даного питання і прямо зазначених в Доповненні </w:t>
      </w:r>
      <w:r w:rsidR="003916D3" w:rsidRPr="001C0553">
        <w:rPr>
          <w:sz w:val="28"/>
          <w:szCs w:val="28"/>
        </w:rPr>
        <w:t>XVII-3</w:t>
      </w:r>
      <w:r w:rsidR="003916D3">
        <w:rPr>
          <w:sz w:val="28"/>
          <w:szCs w:val="28"/>
        </w:rPr>
        <w:t xml:space="preserve"> Угоди про Асоціацію -  «</w:t>
      </w:r>
      <w:r w:rsidR="003916D3" w:rsidRPr="003916D3">
        <w:rPr>
          <w:sz w:val="28"/>
          <w:szCs w:val="28"/>
        </w:rPr>
        <w:t>Положення Директиви повинні бути впроваджені протягом 4 років з дати</w:t>
      </w:r>
      <w:r w:rsidR="004E7CFF">
        <w:rPr>
          <w:sz w:val="28"/>
          <w:szCs w:val="28"/>
        </w:rPr>
        <w:t xml:space="preserve"> </w:t>
      </w:r>
      <w:r w:rsidR="003916D3" w:rsidRPr="003916D3">
        <w:rPr>
          <w:sz w:val="28"/>
          <w:szCs w:val="28"/>
        </w:rPr>
        <w:t>набрання чинності цією Угодою»</w:t>
      </w:r>
      <w:r w:rsidRPr="003D042D">
        <w:rPr>
          <w:sz w:val="28"/>
          <w:szCs w:val="28"/>
        </w:rPr>
        <w:t>.</w:t>
      </w:r>
      <w:r w:rsidR="003916D3">
        <w:rPr>
          <w:sz w:val="28"/>
          <w:szCs w:val="28"/>
        </w:rPr>
        <w:t xml:space="preserve"> </w:t>
      </w:r>
    </w:p>
    <w:p w:rsidR="00A274F5" w:rsidRDefault="003916D3" w:rsidP="00A274F5">
      <w:pPr>
        <w:pStyle w:val="a9"/>
        <w:ind w:firstLine="540"/>
        <w:jc w:val="both"/>
        <w:rPr>
          <w:sz w:val="28"/>
          <w:szCs w:val="28"/>
        </w:rPr>
      </w:pPr>
      <w:r w:rsidRPr="004E7CFF">
        <w:rPr>
          <w:b/>
          <w:sz w:val="28"/>
          <w:szCs w:val="28"/>
        </w:rPr>
        <w:t xml:space="preserve">З огляду на те, що Угода про Асоціацію </w:t>
      </w:r>
      <w:r w:rsidR="009102C7" w:rsidRPr="004E7CFF">
        <w:rPr>
          <w:b/>
          <w:sz w:val="28"/>
          <w:szCs w:val="28"/>
        </w:rPr>
        <w:t xml:space="preserve">набрала чинності 01.09.2017, строки для України </w:t>
      </w:r>
      <w:r w:rsidR="00A137A5" w:rsidRPr="004E7CFF">
        <w:rPr>
          <w:b/>
          <w:sz w:val="28"/>
          <w:szCs w:val="28"/>
        </w:rPr>
        <w:t>для</w:t>
      </w:r>
      <w:r w:rsidR="009102C7" w:rsidRPr="004E7CFF">
        <w:rPr>
          <w:b/>
          <w:sz w:val="28"/>
          <w:szCs w:val="28"/>
        </w:rPr>
        <w:t xml:space="preserve"> виконання зобов’язань  щодо реформи </w:t>
      </w:r>
      <w:r w:rsidR="004E7CFF">
        <w:rPr>
          <w:b/>
          <w:sz w:val="28"/>
          <w:szCs w:val="28"/>
        </w:rPr>
        <w:t xml:space="preserve"> Регулятора комунікаційних послуг та </w:t>
      </w:r>
      <w:r w:rsidR="009102C7" w:rsidRPr="004E7CFF">
        <w:rPr>
          <w:b/>
          <w:sz w:val="28"/>
          <w:szCs w:val="28"/>
        </w:rPr>
        <w:t xml:space="preserve"> політики в сфері електронних комунікацій включно з посиленням незалежності </w:t>
      </w:r>
      <w:r w:rsidR="004E7CFF">
        <w:rPr>
          <w:b/>
          <w:sz w:val="28"/>
          <w:szCs w:val="28"/>
        </w:rPr>
        <w:t xml:space="preserve">Регулятора комунікаційних послуг </w:t>
      </w:r>
      <w:r w:rsidR="009102C7" w:rsidRPr="004E7CFF">
        <w:rPr>
          <w:b/>
          <w:sz w:val="28"/>
          <w:szCs w:val="28"/>
        </w:rPr>
        <w:t>- 01.09.2021 року.</w:t>
      </w:r>
      <w:r w:rsidR="009102C7">
        <w:rPr>
          <w:sz w:val="28"/>
          <w:szCs w:val="28"/>
        </w:rPr>
        <w:t xml:space="preserve"> Таким чином, після прийняття відповідного законодавства, протягом шестимісячного терміну мають бути здійснені практичні заходи із передачі повноважень від діючого органу до створеного на базі керівних принципів європейського законодавства та кращих європейських практик новому інституційно посиленому </w:t>
      </w:r>
      <w:r w:rsidR="004E7CFF">
        <w:rPr>
          <w:sz w:val="28"/>
          <w:szCs w:val="28"/>
        </w:rPr>
        <w:t>Регулятору комунікаційних послуг</w:t>
      </w:r>
      <w:r w:rsidR="009102C7">
        <w:rPr>
          <w:sz w:val="28"/>
          <w:szCs w:val="28"/>
        </w:rPr>
        <w:t>.</w:t>
      </w:r>
    </w:p>
    <w:p w:rsidR="00CE011F" w:rsidRDefault="00CE011F" w:rsidP="00A274F5">
      <w:pPr>
        <w:pStyle w:val="a9"/>
        <w:ind w:firstLine="540"/>
        <w:jc w:val="both"/>
        <w:rPr>
          <w:sz w:val="28"/>
          <w:szCs w:val="28"/>
        </w:rPr>
      </w:pPr>
      <w:bookmarkStart w:id="0" w:name="_GoBack"/>
      <w:bookmarkEnd w:id="0"/>
    </w:p>
    <w:p w:rsidR="00024A75" w:rsidRDefault="00A274F5" w:rsidP="00024A75">
      <w:pPr>
        <w:ind w:firstLine="720"/>
        <w:jc w:val="both"/>
        <w:rPr>
          <w:sz w:val="28"/>
          <w:szCs w:val="28"/>
          <w:lang w:val="uk-UA"/>
        </w:rPr>
      </w:pPr>
      <w:r w:rsidRPr="003D042D">
        <w:rPr>
          <w:sz w:val="28"/>
          <w:szCs w:val="28"/>
          <w:lang w:val="uk-UA"/>
        </w:rPr>
        <w:lastRenderedPageBreak/>
        <w:t xml:space="preserve">Отже, законодавче закріплення правового статусу </w:t>
      </w:r>
      <w:r w:rsidR="004E7CFF">
        <w:rPr>
          <w:sz w:val="28"/>
          <w:szCs w:val="28"/>
          <w:lang w:val="uk-UA"/>
        </w:rPr>
        <w:t>Регулятора комунікаційних послуг</w:t>
      </w:r>
      <w:r w:rsidRPr="003D042D">
        <w:rPr>
          <w:sz w:val="28"/>
          <w:szCs w:val="28"/>
          <w:lang w:val="uk-UA"/>
        </w:rPr>
        <w:t xml:space="preserve">, </w:t>
      </w:r>
      <w:r w:rsidR="004E7CFF">
        <w:rPr>
          <w:sz w:val="28"/>
          <w:szCs w:val="28"/>
          <w:lang w:val="uk-UA"/>
        </w:rPr>
        <w:t>його</w:t>
      </w:r>
      <w:r w:rsidRPr="003D042D">
        <w:rPr>
          <w:sz w:val="28"/>
          <w:szCs w:val="28"/>
          <w:lang w:val="uk-UA"/>
        </w:rPr>
        <w:t xml:space="preserve"> повноважень, економічної, політичної і фінансової незалежності при прийнятті рішень та забезпеченні ефективного регулювання діяльності суб’єктів природних монополій у сфері </w:t>
      </w:r>
      <w:r w:rsidR="009102C7">
        <w:rPr>
          <w:sz w:val="28"/>
          <w:szCs w:val="28"/>
          <w:lang w:val="uk-UA"/>
        </w:rPr>
        <w:t>електронних комунікацій</w:t>
      </w:r>
      <w:r w:rsidR="004E7CFF">
        <w:rPr>
          <w:sz w:val="28"/>
          <w:szCs w:val="28"/>
          <w:lang w:val="uk-UA"/>
        </w:rPr>
        <w:t xml:space="preserve">, радіочастотного спектру та </w:t>
      </w:r>
      <w:r w:rsidR="009102C7">
        <w:rPr>
          <w:sz w:val="28"/>
          <w:szCs w:val="28"/>
          <w:lang w:val="uk-UA"/>
        </w:rPr>
        <w:t>поштового зв’язку</w:t>
      </w:r>
      <w:r w:rsidRPr="003D042D">
        <w:rPr>
          <w:sz w:val="28"/>
          <w:szCs w:val="28"/>
          <w:lang w:val="uk-UA"/>
        </w:rPr>
        <w:t>, особливос</w:t>
      </w:r>
      <w:r w:rsidR="004E7CFF">
        <w:rPr>
          <w:sz w:val="28"/>
          <w:szCs w:val="28"/>
          <w:lang w:val="uk-UA"/>
        </w:rPr>
        <w:t>тей державного регулювання у цих</w:t>
      </w:r>
      <w:r w:rsidRPr="003D042D">
        <w:rPr>
          <w:sz w:val="28"/>
          <w:szCs w:val="28"/>
          <w:lang w:val="uk-UA"/>
        </w:rPr>
        <w:t xml:space="preserve"> сфер</w:t>
      </w:r>
      <w:r w:rsidR="004E7CFF">
        <w:rPr>
          <w:sz w:val="28"/>
          <w:szCs w:val="28"/>
          <w:lang w:val="uk-UA"/>
        </w:rPr>
        <w:t>ах</w:t>
      </w:r>
      <w:r w:rsidRPr="003D042D">
        <w:rPr>
          <w:sz w:val="28"/>
          <w:szCs w:val="28"/>
          <w:lang w:val="uk-UA"/>
        </w:rPr>
        <w:t xml:space="preserve">, які обумовлені специфікою самої галузі, повністю відповідає європейським підходам до статусу органів державного регулювання в </w:t>
      </w:r>
      <w:r w:rsidR="009102C7">
        <w:rPr>
          <w:sz w:val="28"/>
          <w:szCs w:val="28"/>
          <w:lang w:val="uk-UA"/>
        </w:rPr>
        <w:t>електронних комунікаціях</w:t>
      </w:r>
      <w:r w:rsidR="00024A75">
        <w:rPr>
          <w:sz w:val="28"/>
          <w:szCs w:val="28"/>
          <w:lang w:val="uk-UA"/>
        </w:rPr>
        <w:t xml:space="preserve">. </w:t>
      </w:r>
    </w:p>
    <w:p w:rsidR="00A274F5" w:rsidRPr="003D042D" w:rsidRDefault="00A274F5" w:rsidP="00A274F5">
      <w:pPr>
        <w:tabs>
          <w:tab w:val="left" w:pos="993"/>
        </w:tabs>
        <w:ind w:firstLine="540"/>
        <w:jc w:val="both"/>
        <w:rPr>
          <w:sz w:val="28"/>
          <w:szCs w:val="28"/>
          <w:lang w:val="uk-UA"/>
        </w:rPr>
      </w:pPr>
    </w:p>
    <w:p w:rsidR="00A274F5" w:rsidRPr="003D042D" w:rsidRDefault="00A274F5" w:rsidP="00A274F5">
      <w:pPr>
        <w:numPr>
          <w:ilvl w:val="0"/>
          <w:numId w:val="1"/>
        </w:numPr>
        <w:tabs>
          <w:tab w:val="left" w:pos="993"/>
        </w:tabs>
        <w:ind w:left="0" w:firstLine="540"/>
        <w:jc w:val="both"/>
        <w:rPr>
          <w:b/>
          <w:sz w:val="28"/>
          <w:szCs w:val="28"/>
          <w:lang w:val="uk-UA"/>
        </w:rPr>
      </w:pPr>
      <w:r w:rsidRPr="003D042D">
        <w:rPr>
          <w:b/>
          <w:sz w:val="28"/>
          <w:szCs w:val="28"/>
          <w:lang w:val="uk-UA"/>
        </w:rPr>
        <w:t>Мета і шляхи її досягнення</w:t>
      </w:r>
    </w:p>
    <w:p w:rsidR="00024A75" w:rsidRDefault="00A274F5" w:rsidP="00024A75">
      <w:pPr>
        <w:ind w:firstLine="720"/>
        <w:jc w:val="both"/>
        <w:rPr>
          <w:sz w:val="28"/>
          <w:szCs w:val="28"/>
          <w:lang w:val="uk-UA"/>
        </w:rPr>
      </w:pPr>
      <w:r w:rsidRPr="003D042D">
        <w:rPr>
          <w:sz w:val="28"/>
          <w:szCs w:val="28"/>
          <w:lang w:val="uk-UA"/>
        </w:rPr>
        <w:t xml:space="preserve">Метою розроблення проекту Закону є </w:t>
      </w:r>
      <w:r w:rsidR="00024A75">
        <w:rPr>
          <w:sz w:val="28"/>
          <w:szCs w:val="28"/>
          <w:lang w:val="uk-UA"/>
        </w:rPr>
        <w:t xml:space="preserve">виконання Україною зобов’язань </w:t>
      </w:r>
      <w:r w:rsidR="00024A75" w:rsidRPr="00665D56">
        <w:rPr>
          <w:sz w:val="28"/>
          <w:szCs w:val="28"/>
          <w:lang w:val="uk-UA"/>
        </w:rPr>
        <w:t xml:space="preserve">як сторони </w:t>
      </w:r>
      <w:r w:rsidR="0073038E">
        <w:rPr>
          <w:sz w:val="28"/>
          <w:szCs w:val="28"/>
          <w:lang w:val="uk-UA"/>
        </w:rPr>
        <w:t>Угоди про Асоціацію</w:t>
      </w:r>
      <w:r w:rsidR="00D8509B">
        <w:rPr>
          <w:sz w:val="28"/>
          <w:szCs w:val="28"/>
          <w:lang w:val="uk-UA"/>
        </w:rPr>
        <w:t xml:space="preserve"> та </w:t>
      </w:r>
      <w:r w:rsidR="00D8509B" w:rsidRPr="00D8509B">
        <w:rPr>
          <w:sz w:val="28"/>
          <w:szCs w:val="28"/>
          <w:lang w:val="uk-UA"/>
        </w:rPr>
        <w:t>учасниц</w:t>
      </w:r>
      <w:r w:rsidR="00D8509B">
        <w:rPr>
          <w:sz w:val="28"/>
          <w:szCs w:val="28"/>
          <w:lang w:val="uk-UA"/>
        </w:rPr>
        <w:t>і</w:t>
      </w:r>
      <w:r w:rsidR="00D8509B" w:rsidRPr="00D8509B">
        <w:rPr>
          <w:sz w:val="28"/>
          <w:szCs w:val="28"/>
          <w:lang w:val="uk-UA"/>
        </w:rPr>
        <w:t xml:space="preserve"> зовнішньополітичної ініціативи «Східне Партнерство»</w:t>
      </w:r>
      <w:r w:rsidR="00024A75">
        <w:rPr>
          <w:sz w:val="28"/>
          <w:szCs w:val="28"/>
          <w:lang w:val="uk-UA"/>
        </w:rPr>
        <w:t xml:space="preserve">. </w:t>
      </w:r>
    </w:p>
    <w:p w:rsidR="00F80009" w:rsidRDefault="00F80009" w:rsidP="00A274F5">
      <w:pPr>
        <w:pStyle w:val="a7"/>
        <w:autoSpaceDE w:val="0"/>
        <w:autoSpaceDN w:val="0"/>
        <w:spacing w:after="0"/>
        <w:ind w:left="0" w:firstLine="540"/>
        <w:jc w:val="both"/>
        <w:rPr>
          <w:sz w:val="28"/>
          <w:szCs w:val="28"/>
        </w:rPr>
      </w:pPr>
      <w:r>
        <w:rPr>
          <w:sz w:val="28"/>
          <w:szCs w:val="28"/>
        </w:rPr>
        <w:t xml:space="preserve"> </w:t>
      </w:r>
      <w:r w:rsidR="00024A75">
        <w:rPr>
          <w:sz w:val="28"/>
          <w:szCs w:val="28"/>
        </w:rPr>
        <w:t>О</w:t>
      </w:r>
      <w:r w:rsidR="00A274F5" w:rsidRPr="003D042D">
        <w:rPr>
          <w:sz w:val="28"/>
          <w:szCs w:val="28"/>
        </w:rPr>
        <w:t>дним із завдань проекту Закону</w:t>
      </w:r>
      <w:r w:rsidR="00024A75">
        <w:rPr>
          <w:sz w:val="28"/>
          <w:szCs w:val="28"/>
        </w:rPr>
        <w:t xml:space="preserve"> </w:t>
      </w:r>
      <w:r w:rsidR="00A274F5" w:rsidRPr="003D042D">
        <w:rPr>
          <w:sz w:val="28"/>
          <w:szCs w:val="28"/>
        </w:rPr>
        <w:t>є</w:t>
      </w:r>
      <w:r w:rsidR="00024A75">
        <w:rPr>
          <w:sz w:val="28"/>
          <w:szCs w:val="28"/>
        </w:rPr>
        <w:t xml:space="preserve"> </w:t>
      </w:r>
      <w:r w:rsidR="00A274F5" w:rsidRPr="003D042D">
        <w:rPr>
          <w:sz w:val="28"/>
          <w:szCs w:val="28"/>
        </w:rPr>
        <w:t xml:space="preserve">створення передумов сталості  державного регулюючого впливу на діяльність суб’єктів природних монополій у сфері </w:t>
      </w:r>
      <w:r w:rsidR="0073038E">
        <w:rPr>
          <w:sz w:val="28"/>
          <w:szCs w:val="28"/>
        </w:rPr>
        <w:t>електронних комунікацій та поштового зв’язку</w:t>
      </w:r>
      <w:r w:rsidR="004E7CFF">
        <w:rPr>
          <w:sz w:val="28"/>
          <w:szCs w:val="28"/>
        </w:rPr>
        <w:t xml:space="preserve"> через рішення Регулятора комунікаційних послуг</w:t>
      </w:r>
      <w:r w:rsidR="00A274F5" w:rsidRPr="003D042D">
        <w:rPr>
          <w:sz w:val="28"/>
          <w:szCs w:val="28"/>
        </w:rPr>
        <w:t xml:space="preserve">, що дозволить уникнути  різких коливань в  умовах господарювання суб’єктів, діяльність яких регулюється </w:t>
      </w:r>
      <w:r w:rsidR="0073038E">
        <w:rPr>
          <w:sz w:val="28"/>
          <w:szCs w:val="28"/>
        </w:rPr>
        <w:t xml:space="preserve">цим </w:t>
      </w:r>
      <w:r w:rsidR="004E7CFF">
        <w:rPr>
          <w:sz w:val="28"/>
          <w:szCs w:val="28"/>
        </w:rPr>
        <w:t>Регулятором комунікаційних послуг</w:t>
      </w:r>
      <w:r w:rsidR="00A274F5" w:rsidRPr="003D042D">
        <w:rPr>
          <w:sz w:val="28"/>
          <w:szCs w:val="28"/>
        </w:rPr>
        <w:t xml:space="preserve">, зробить таку діяльність прогнозованою на більш тривалий термін, а це є одним з основних важелів для ефективного функціонування </w:t>
      </w:r>
      <w:r w:rsidR="0073038E">
        <w:rPr>
          <w:sz w:val="28"/>
          <w:szCs w:val="28"/>
        </w:rPr>
        <w:t>електронних комунікацій</w:t>
      </w:r>
      <w:r w:rsidR="00A274F5" w:rsidRPr="003D042D">
        <w:rPr>
          <w:sz w:val="28"/>
          <w:szCs w:val="28"/>
        </w:rPr>
        <w:t xml:space="preserve"> як базової галузі </w:t>
      </w:r>
      <w:r w:rsidR="0073038E">
        <w:rPr>
          <w:sz w:val="28"/>
          <w:szCs w:val="28"/>
        </w:rPr>
        <w:t xml:space="preserve">цифрової </w:t>
      </w:r>
      <w:r w:rsidR="00A274F5" w:rsidRPr="003D042D">
        <w:rPr>
          <w:sz w:val="28"/>
          <w:szCs w:val="28"/>
        </w:rPr>
        <w:t xml:space="preserve">економіки України, забезпечення безпеки та досягнення балансу інтересів споживачів, суб’єктів господарювання у сфері </w:t>
      </w:r>
      <w:r w:rsidR="0073038E">
        <w:rPr>
          <w:sz w:val="28"/>
          <w:szCs w:val="28"/>
        </w:rPr>
        <w:t>електронних комунікацій, поштового зв’язку</w:t>
      </w:r>
      <w:r w:rsidR="00A274F5" w:rsidRPr="003D042D">
        <w:rPr>
          <w:sz w:val="28"/>
          <w:szCs w:val="28"/>
        </w:rPr>
        <w:t xml:space="preserve"> і держави.</w:t>
      </w:r>
    </w:p>
    <w:p w:rsidR="00A274F5" w:rsidRPr="003D042D" w:rsidRDefault="00F80009" w:rsidP="00F80009">
      <w:pPr>
        <w:pStyle w:val="a7"/>
        <w:autoSpaceDE w:val="0"/>
        <w:autoSpaceDN w:val="0"/>
        <w:spacing w:after="0"/>
        <w:ind w:left="0" w:firstLine="720"/>
        <w:jc w:val="both"/>
        <w:rPr>
          <w:b/>
          <w:bCs/>
          <w:sz w:val="28"/>
          <w:szCs w:val="28"/>
        </w:rPr>
      </w:pPr>
      <w:r>
        <w:rPr>
          <w:sz w:val="28"/>
          <w:szCs w:val="28"/>
        </w:rPr>
        <w:t xml:space="preserve">Законопроект містить прогресивні норми щодо прозорого призначення членів </w:t>
      </w:r>
      <w:r w:rsidR="004E7CFF">
        <w:rPr>
          <w:sz w:val="28"/>
          <w:szCs w:val="28"/>
        </w:rPr>
        <w:t>Регулятора комунікаційних послуг</w:t>
      </w:r>
      <w:r>
        <w:rPr>
          <w:sz w:val="28"/>
          <w:szCs w:val="28"/>
        </w:rPr>
        <w:t xml:space="preserve"> на відкритих конкурсних засадах, незалежності</w:t>
      </w:r>
      <w:r w:rsidR="004E7CFF">
        <w:rPr>
          <w:sz w:val="28"/>
          <w:szCs w:val="28"/>
        </w:rPr>
        <w:t xml:space="preserve">  Регулятора комунікаційних послуг</w:t>
      </w:r>
      <w:r>
        <w:rPr>
          <w:sz w:val="28"/>
          <w:szCs w:val="28"/>
        </w:rPr>
        <w:t xml:space="preserve"> в прийняті ним компетентних та справедливих рішень, відкритості та гласності процесу державного регулювання</w:t>
      </w:r>
      <w:r w:rsidR="0073038E">
        <w:rPr>
          <w:sz w:val="28"/>
          <w:szCs w:val="28"/>
        </w:rPr>
        <w:t xml:space="preserve"> з огляду на Конституцію України та прийняті Конституційним Судом України</w:t>
      </w:r>
      <w:r w:rsidR="0073038E" w:rsidRPr="0073038E">
        <w:rPr>
          <w:sz w:val="28"/>
          <w:szCs w:val="28"/>
        </w:rPr>
        <w:t xml:space="preserve"> </w:t>
      </w:r>
      <w:r w:rsidR="0073038E">
        <w:rPr>
          <w:sz w:val="28"/>
          <w:szCs w:val="28"/>
        </w:rPr>
        <w:t xml:space="preserve">Рішення в частині порядку створення </w:t>
      </w:r>
      <w:r w:rsidR="004E7CFF">
        <w:rPr>
          <w:sz w:val="28"/>
          <w:szCs w:val="28"/>
        </w:rPr>
        <w:t>Регулятора комунікаційних послуг</w:t>
      </w:r>
      <w:r w:rsidR="0073038E">
        <w:rPr>
          <w:sz w:val="28"/>
          <w:szCs w:val="28"/>
        </w:rPr>
        <w:t xml:space="preserve">ів, призначення їх  членів та їх місця в системі органів влади в Україні. </w:t>
      </w:r>
    </w:p>
    <w:p w:rsidR="00024A75" w:rsidRDefault="00024A75" w:rsidP="00024A75">
      <w:pPr>
        <w:ind w:firstLine="720"/>
        <w:jc w:val="both"/>
        <w:rPr>
          <w:sz w:val="28"/>
          <w:szCs w:val="28"/>
          <w:lang w:val="uk-UA"/>
        </w:rPr>
      </w:pPr>
      <w:r>
        <w:rPr>
          <w:sz w:val="28"/>
          <w:szCs w:val="28"/>
          <w:lang w:val="uk-UA"/>
        </w:rPr>
        <w:t xml:space="preserve">Законопроект складається з </w:t>
      </w:r>
      <w:r w:rsidR="00EA5B55">
        <w:rPr>
          <w:sz w:val="28"/>
          <w:szCs w:val="28"/>
          <w:lang w:val="uk-UA"/>
        </w:rPr>
        <w:t>чотирьох</w:t>
      </w:r>
      <w:r>
        <w:rPr>
          <w:sz w:val="28"/>
          <w:szCs w:val="28"/>
          <w:lang w:val="uk-UA"/>
        </w:rPr>
        <w:t xml:space="preserve"> розділів, статтями яких встановлюються особливості організації діяльності </w:t>
      </w:r>
      <w:r w:rsidR="004E7CFF">
        <w:rPr>
          <w:sz w:val="28"/>
          <w:szCs w:val="28"/>
          <w:lang w:val="uk-UA"/>
        </w:rPr>
        <w:t xml:space="preserve"> Регулятора комунікаційних послуг</w:t>
      </w:r>
      <w:r>
        <w:rPr>
          <w:sz w:val="28"/>
          <w:szCs w:val="28"/>
          <w:lang w:val="uk-UA"/>
        </w:rPr>
        <w:t xml:space="preserve">, </w:t>
      </w:r>
      <w:r w:rsidR="009102C7">
        <w:rPr>
          <w:sz w:val="28"/>
          <w:szCs w:val="28"/>
          <w:lang w:val="uk-UA"/>
        </w:rPr>
        <w:t>його</w:t>
      </w:r>
      <w:r>
        <w:rPr>
          <w:sz w:val="28"/>
          <w:szCs w:val="28"/>
          <w:lang w:val="uk-UA"/>
        </w:rPr>
        <w:t xml:space="preserve"> функції та повноваження</w:t>
      </w:r>
      <w:r w:rsidR="00F80009">
        <w:rPr>
          <w:sz w:val="28"/>
          <w:szCs w:val="28"/>
          <w:lang w:val="uk-UA"/>
        </w:rPr>
        <w:t xml:space="preserve">, порядок підготовки </w:t>
      </w:r>
      <w:r w:rsidR="004E7CFF">
        <w:rPr>
          <w:sz w:val="28"/>
          <w:szCs w:val="28"/>
          <w:lang w:val="uk-UA"/>
        </w:rPr>
        <w:t>актів Регулятора комунікаційних послуг</w:t>
      </w:r>
      <w:r w:rsidR="00F80009">
        <w:rPr>
          <w:sz w:val="28"/>
          <w:szCs w:val="28"/>
          <w:lang w:val="uk-UA"/>
        </w:rPr>
        <w:t xml:space="preserve">, особливості здійснення контролю на ринках </w:t>
      </w:r>
      <w:r w:rsidR="009102C7">
        <w:rPr>
          <w:sz w:val="28"/>
          <w:szCs w:val="28"/>
          <w:lang w:val="uk-UA"/>
        </w:rPr>
        <w:t>електронних комунікацій</w:t>
      </w:r>
      <w:r w:rsidR="00B20C5D">
        <w:rPr>
          <w:sz w:val="28"/>
          <w:szCs w:val="28"/>
          <w:lang w:val="uk-UA"/>
        </w:rPr>
        <w:t>, радіочастотного спектру</w:t>
      </w:r>
      <w:r w:rsidR="009102C7">
        <w:rPr>
          <w:sz w:val="28"/>
          <w:szCs w:val="28"/>
          <w:lang w:val="uk-UA"/>
        </w:rPr>
        <w:t xml:space="preserve"> та поштового зв’язку</w:t>
      </w:r>
      <w:r w:rsidR="00F80009">
        <w:rPr>
          <w:sz w:val="28"/>
          <w:szCs w:val="28"/>
          <w:lang w:val="uk-UA"/>
        </w:rPr>
        <w:t>. Р</w:t>
      </w:r>
      <w:r w:rsidR="00EA5B55">
        <w:rPr>
          <w:sz w:val="28"/>
          <w:szCs w:val="28"/>
          <w:lang w:val="uk-UA"/>
        </w:rPr>
        <w:t>озділ</w:t>
      </w:r>
      <w:r w:rsidR="00F80009">
        <w:rPr>
          <w:sz w:val="28"/>
          <w:szCs w:val="28"/>
          <w:lang w:val="uk-UA"/>
        </w:rPr>
        <w:t xml:space="preserve">ом </w:t>
      </w:r>
      <w:r w:rsidR="00EA5B55">
        <w:rPr>
          <w:sz w:val="28"/>
          <w:szCs w:val="28"/>
          <w:lang w:val="uk-UA"/>
        </w:rPr>
        <w:t>четверт</w:t>
      </w:r>
      <w:r w:rsidR="00F80009">
        <w:rPr>
          <w:sz w:val="28"/>
          <w:szCs w:val="28"/>
          <w:lang w:val="uk-UA"/>
        </w:rPr>
        <w:t xml:space="preserve">им визначаються прикінцеві та перехідні положення, включаючи порядок </w:t>
      </w:r>
      <w:r w:rsidR="009102C7">
        <w:rPr>
          <w:sz w:val="28"/>
          <w:szCs w:val="28"/>
          <w:lang w:val="uk-UA"/>
        </w:rPr>
        <w:t>набрання чинності цим Законом з огляду на необхідність узгодження термінів із іншим проектом Закону України «Про електронні комунікації»</w:t>
      </w:r>
      <w:r w:rsidR="00F80009">
        <w:rPr>
          <w:sz w:val="28"/>
          <w:szCs w:val="28"/>
          <w:lang w:val="uk-UA"/>
        </w:rPr>
        <w:t>.</w:t>
      </w:r>
      <w:r>
        <w:rPr>
          <w:sz w:val="28"/>
          <w:szCs w:val="28"/>
          <w:lang w:val="uk-UA"/>
        </w:rPr>
        <w:t xml:space="preserve"> </w:t>
      </w:r>
    </w:p>
    <w:p w:rsidR="00A274F5" w:rsidRPr="00024A75" w:rsidRDefault="00A274F5" w:rsidP="00A274F5">
      <w:pPr>
        <w:ind w:firstLine="708"/>
        <w:jc w:val="both"/>
        <w:rPr>
          <w:sz w:val="28"/>
          <w:szCs w:val="28"/>
          <w:lang w:val="uk-UA"/>
        </w:rPr>
      </w:pPr>
    </w:p>
    <w:p w:rsidR="00A274F5" w:rsidRPr="003D042D" w:rsidRDefault="00A274F5" w:rsidP="00A274F5">
      <w:pPr>
        <w:suppressAutoHyphens/>
        <w:ind w:firstLine="540"/>
        <w:jc w:val="both"/>
        <w:rPr>
          <w:b/>
          <w:sz w:val="28"/>
          <w:szCs w:val="28"/>
          <w:lang w:val="uk-UA"/>
        </w:rPr>
      </w:pPr>
      <w:r w:rsidRPr="003D042D">
        <w:rPr>
          <w:b/>
          <w:sz w:val="28"/>
          <w:szCs w:val="28"/>
          <w:lang w:val="uk-UA"/>
        </w:rPr>
        <w:t>3. Правові аспекти</w:t>
      </w:r>
    </w:p>
    <w:p w:rsidR="00964C32" w:rsidRDefault="00964C32" w:rsidP="007159ED">
      <w:pPr>
        <w:pStyle w:val="Style2"/>
        <w:widowControl/>
        <w:spacing w:line="240" w:lineRule="auto"/>
        <w:ind w:firstLine="540"/>
        <w:rPr>
          <w:rStyle w:val="FontStyle12"/>
          <w:sz w:val="28"/>
        </w:rPr>
      </w:pPr>
      <w:r w:rsidRPr="007159ED">
        <w:rPr>
          <w:rStyle w:val="FontStyle12"/>
          <w:sz w:val="28"/>
        </w:rPr>
        <w:t xml:space="preserve">У відповідній сфері суспільних відносин діє, зокрема, Конституція України, </w:t>
      </w:r>
      <w:r w:rsidR="00376836">
        <w:rPr>
          <w:rStyle w:val="FontStyle12"/>
          <w:sz w:val="28"/>
        </w:rPr>
        <w:t xml:space="preserve">Закону України «Про центральні органи виконавчої влади», </w:t>
      </w:r>
      <w:r w:rsidRPr="007159ED">
        <w:rPr>
          <w:rStyle w:val="FontStyle12"/>
          <w:sz w:val="28"/>
        </w:rPr>
        <w:t>Закон України «Про телекомунікації», Закон України «Про радіочастотний ресурс України», Закон України «Про телебачення і радіомовлення», Закон України «</w:t>
      </w:r>
      <w:r w:rsidR="0073038E" w:rsidRPr="007159ED">
        <w:rPr>
          <w:rStyle w:val="FontStyle12"/>
          <w:sz w:val="28"/>
        </w:rPr>
        <w:t xml:space="preserve">Про поштовий </w:t>
      </w:r>
      <w:r w:rsidR="0073038E" w:rsidRPr="007159ED">
        <w:rPr>
          <w:rStyle w:val="FontStyle12"/>
          <w:sz w:val="28"/>
        </w:rPr>
        <w:lastRenderedPageBreak/>
        <w:t>зв’язок</w:t>
      </w:r>
      <w:r w:rsidRPr="007159ED">
        <w:rPr>
          <w:rStyle w:val="FontStyle12"/>
          <w:sz w:val="28"/>
        </w:rPr>
        <w:t xml:space="preserve">», Закон України «Про основні засади державного нагляду (контролю) у сфері господарської діяльності», Закон України «Про ліцензування видів господарської діяльності», Закон України «Про засади державної </w:t>
      </w:r>
      <w:r w:rsidR="004E7CFF">
        <w:rPr>
          <w:rStyle w:val="FontStyle12"/>
          <w:sz w:val="28"/>
        </w:rPr>
        <w:t xml:space="preserve"> </w:t>
      </w:r>
      <w:r w:rsidR="00B20C5D">
        <w:rPr>
          <w:rStyle w:val="FontStyle12"/>
          <w:sz w:val="28"/>
        </w:rPr>
        <w:t>р</w:t>
      </w:r>
      <w:r w:rsidR="004E7CFF">
        <w:rPr>
          <w:rStyle w:val="FontStyle12"/>
          <w:sz w:val="28"/>
        </w:rPr>
        <w:t>егулятор</w:t>
      </w:r>
      <w:r w:rsidR="00B20C5D">
        <w:rPr>
          <w:rStyle w:val="FontStyle12"/>
          <w:sz w:val="28"/>
        </w:rPr>
        <w:t>н</w:t>
      </w:r>
      <w:r w:rsidRPr="007159ED">
        <w:rPr>
          <w:rStyle w:val="FontStyle12"/>
          <w:sz w:val="28"/>
        </w:rPr>
        <w:t>ої політики у сфері господарської діяльності» та інші законодавчі акти України.</w:t>
      </w:r>
    </w:p>
    <w:p w:rsidR="00376836" w:rsidRPr="007159ED" w:rsidRDefault="00376836" w:rsidP="007159ED">
      <w:pPr>
        <w:pStyle w:val="Style2"/>
        <w:widowControl/>
        <w:spacing w:line="240" w:lineRule="auto"/>
        <w:ind w:firstLine="540"/>
        <w:rPr>
          <w:rStyle w:val="FontStyle12"/>
          <w:sz w:val="28"/>
        </w:rPr>
      </w:pPr>
      <w:r>
        <w:rPr>
          <w:rStyle w:val="FontStyle12"/>
          <w:sz w:val="28"/>
        </w:rPr>
        <w:t xml:space="preserve">Закон України «Про центральні органи виконавчої влади» визначає, що </w:t>
      </w:r>
      <w:r w:rsidR="00B20C5D">
        <w:rPr>
          <w:rStyle w:val="FontStyle12"/>
          <w:sz w:val="28"/>
        </w:rPr>
        <w:t>його положення</w:t>
      </w:r>
      <w:r w:rsidRPr="00376836">
        <w:rPr>
          <w:rStyle w:val="FontStyle12"/>
          <w:sz w:val="28"/>
        </w:rPr>
        <w:t xml:space="preserve"> поширюються на Антимонопольний комітет України, Фонд державного майна України, Державний комітет телебачення і радіомовлення України, інші утворені Кабінетом Міністрів України центральні органи виконавчої влади зі спеціальним статусом, крім випадків, </w:t>
      </w:r>
      <w:r w:rsidRPr="00376836">
        <w:rPr>
          <w:rStyle w:val="FontStyle12"/>
          <w:b/>
          <w:sz w:val="28"/>
        </w:rPr>
        <w:t>коли Конституцією та законами України визначені інші особливості організації та порядку їх діяльності</w:t>
      </w:r>
      <w:r w:rsidRPr="00376836">
        <w:rPr>
          <w:rStyle w:val="FontStyle12"/>
          <w:sz w:val="28"/>
        </w:rPr>
        <w:t>.</w:t>
      </w:r>
    </w:p>
    <w:p w:rsidR="007159ED" w:rsidRDefault="00964C32" w:rsidP="007159ED">
      <w:pPr>
        <w:pStyle w:val="Style2"/>
        <w:widowControl/>
        <w:spacing w:line="240" w:lineRule="auto"/>
        <w:ind w:firstLine="540"/>
        <w:rPr>
          <w:rStyle w:val="FontStyle12"/>
          <w:sz w:val="28"/>
          <w:szCs w:val="28"/>
        </w:rPr>
      </w:pPr>
      <w:r w:rsidRPr="007159ED">
        <w:rPr>
          <w:rStyle w:val="FontStyle12"/>
          <w:sz w:val="28"/>
        </w:rPr>
        <w:t xml:space="preserve">Реалізація відповідного закону після його прийняття потребує приведення органами державної влади їх нормативно-правових актів у відповідність із цим Законом. </w:t>
      </w:r>
      <w:r w:rsidR="00A274F5" w:rsidRPr="007159ED">
        <w:rPr>
          <w:rStyle w:val="FontStyle12"/>
          <w:sz w:val="28"/>
        </w:rPr>
        <w:t xml:space="preserve">Реалізація положень проекту </w:t>
      </w:r>
      <w:r w:rsidR="007159ED" w:rsidRPr="007159ED">
        <w:rPr>
          <w:rStyle w:val="FontStyle12"/>
          <w:sz w:val="28"/>
        </w:rPr>
        <w:t xml:space="preserve">цього </w:t>
      </w:r>
      <w:r w:rsidR="00A274F5" w:rsidRPr="007159ED">
        <w:rPr>
          <w:rStyle w:val="FontStyle12"/>
          <w:sz w:val="28"/>
        </w:rPr>
        <w:t>Закону потребує змін до інших законів</w:t>
      </w:r>
      <w:r w:rsidR="00961732">
        <w:rPr>
          <w:rStyle w:val="FontStyle12"/>
          <w:sz w:val="28"/>
        </w:rPr>
        <w:t>. Також</w:t>
      </w:r>
      <w:r w:rsidR="007159ED" w:rsidRPr="007159ED">
        <w:rPr>
          <w:rStyle w:val="FontStyle12"/>
          <w:sz w:val="28"/>
        </w:rPr>
        <w:t xml:space="preserve"> </w:t>
      </w:r>
      <w:r w:rsidR="007159ED" w:rsidRPr="007159ED">
        <w:rPr>
          <w:rStyle w:val="FontStyle12"/>
          <w:b/>
          <w:sz w:val="28"/>
        </w:rPr>
        <w:t xml:space="preserve">особливими умовами розгляду даного законопроекту є необхідність його розгляду і прийняття </w:t>
      </w:r>
      <w:r w:rsidR="00961732" w:rsidRPr="007159ED">
        <w:rPr>
          <w:rStyle w:val="FontStyle12"/>
          <w:b/>
          <w:sz w:val="28"/>
        </w:rPr>
        <w:t>разом</w:t>
      </w:r>
      <w:r w:rsidR="007159ED" w:rsidRPr="007159ED">
        <w:rPr>
          <w:rStyle w:val="FontStyle12"/>
          <w:b/>
          <w:sz w:val="28"/>
        </w:rPr>
        <w:t xml:space="preserve"> із іншим зареєстрованим у Верховній Раді України проектом Закону України «Про електронні комунікації» (</w:t>
      </w:r>
      <w:r w:rsidR="007159ED" w:rsidRPr="007159ED">
        <w:rPr>
          <w:rStyle w:val="FontStyle12"/>
          <w:b/>
          <w:sz w:val="28"/>
          <w:szCs w:val="28"/>
        </w:rPr>
        <w:t xml:space="preserve">номер 3014, дата реєстрації  - 05.02.2020) з одночасним узгодженням частини статей </w:t>
      </w:r>
      <w:r w:rsidR="007159ED">
        <w:rPr>
          <w:rStyle w:val="FontStyle12"/>
          <w:b/>
          <w:sz w:val="28"/>
          <w:szCs w:val="28"/>
        </w:rPr>
        <w:t>цих двох проектів одне з одним</w:t>
      </w:r>
      <w:r w:rsidR="007159ED">
        <w:rPr>
          <w:rStyle w:val="FontStyle12"/>
          <w:sz w:val="28"/>
          <w:szCs w:val="28"/>
        </w:rPr>
        <w:t>.</w:t>
      </w:r>
      <w:r w:rsidR="00961732">
        <w:rPr>
          <w:rStyle w:val="FontStyle12"/>
          <w:sz w:val="28"/>
          <w:szCs w:val="28"/>
        </w:rPr>
        <w:t xml:space="preserve"> </w:t>
      </w:r>
    </w:p>
    <w:p w:rsidR="007E10D2" w:rsidRPr="007E10D2" w:rsidRDefault="00961732" w:rsidP="007159ED">
      <w:pPr>
        <w:pStyle w:val="Style2"/>
        <w:widowControl/>
        <w:spacing w:line="240" w:lineRule="auto"/>
        <w:ind w:firstLine="540"/>
        <w:rPr>
          <w:i/>
          <w:sz w:val="28"/>
          <w:szCs w:val="28"/>
        </w:rPr>
      </w:pPr>
      <w:r w:rsidRPr="007E10D2">
        <w:rPr>
          <w:rStyle w:val="FontStyle12"/>
          <w:i/>
          <w:sz w:val="28"/>
          <w:szCs w:val="28"/>
        </w:rPr>
        <w:t xml:space="preserve">Особливістю цих проєктів є необхідність внесення змін до Бюджетного кодексу України, Кримінального кодексу України, </w:t>
      </w:r>
      <w:r w:rsidRPr="007E10D2">
        <w:rPr>
          <w:i/>
          <w:sz w:val="28"/>
          <w:szCs w:val="28"/>
        </w:rPr>
        <w:t xml:space="preserve">Кодексу України про адміністративні правопорушення, </w:t>
      </w:r>
      <w:r w:rsidRPr="007E10D2">
        <w:rPr>
          <w:bCs/>
          <w:i/>
          <w:sz w:val="28"/>
          <w:szCs w:val="28"/>
        </w:rPr>
        <w:t xml:space="preserve">Податкового кодексу України, </w:t>
      </w:r>
      <w:r w:rsidRPr="007E10D2">
        <w:rPr>
          <w:i/>
          <w:sz w:val="28"/>
          <w:szCs w:val="28"/>
        </w:rPr>
        <w:t xml:space="preserve">Земельного кодексу України, Господарського кодексу України, Кримінального процесуального кодексу України, Цивільного процесуального кодексу України, Кримінального процесуального кодексу України, </w:t>
      </w:r>
      <w:r w:rsidRPr="007E10D2">
        <w:rPr>
          <w:i/>
          <w:sz w:val="28"/>
          <w:szCs w:val="28"/>
          <w:shd w:val="clear" w:color="auto" w:fill="FFFFFF"/>
        </w:rPr>
        <w:t xml:space="preserve">Кодексу торговельного мореплавства України та </w:t>
      </w:r>
      <w:r w:rsidRPr="007E10D2">
        <w:rPr>
          <w:i/>
          <w:sz w:val="28"/>
          <w:szCs w:val="28"/>
        </w:rPr>
        <w:t>Кодексу цивільного захисту України</w:t>
      </w:r>
      <w:r w:rsidR="007E10D2" w:rsidRPr="007E10D2">
        <w:rPr>
          <w:i/>
          <w:sz w:val="28"/>
          <w:szCs w:val="28"/>
        </w:rPr>
        <w:t>.</w:t>
      </w:r>
    </w:p>
    <w:p w:rsidR="00961732" w:rsidRPr="007E10D2" w:rsidRDefault="007E10D2" w:rsidP="00376836">
      <w:pPr>
        <w:pStyle w:val="Style2"/>
        <w:ind w:firstLine="540"/>
        <w:rPr>
          <w:i/>
          <w:sz w:val="28"/>
          <w:szCs w:val="28"/>
        </w:rPr>
      </w:pPr>
      <w:r w:rsidRPr="007E10D2">
        <w:rPr>
          <w:i/>
          <w:sz w:val="28"/>
          <w:szCs w:val="28"/>
        </w:rPr>
        <w:t>В</w:t>
      </w:r>
      <w:r w:rsidR="00961732" w:rsidRPr="007E10D2">
        <w:rPr>
          <w:i/>
          <w:sz w:val="28"/>
          <w:szCs w:val="28"/>
        </w:rPr>
        <w:t xml:space="preserve">ідповідно до Закону України </w:t>
      </w:r>
      <w:r w:rsidRPr="007E10D2">
        <w:rPr>
          <w:i/>
          <w:sz w:val="28"/>
          <w:szCs w:val="28"/>
        </w:rPr>
        <w:t>«Про внесення змін до деяких законодавчих актів України щодо удосконалення процедури внесення змін» (</w:t>
      </w:r>
      <w:r w:rsidR="00376836">
        <w:rPr>
          <w:i/>
          <w:sz w:val="28"/>
          <w:szCs w:val="28"/>
        </w:rPr>
        <w:t xml:space="preserve"> від </w:t>
      </w:r>
      <w:r w:rsidR="00376836" w:rsidRPr="00376836">
        <w:rPr>
          <w:i/>
          <w:sz w:val="28"/>
          <w:szCs w:val="28"/>
        </w:rPr>
        <w:t>19 травня 2020 року</w:t>
      </w:r>
      <w:r w:rsidR="00376836">
        <w:rPr>
          <w:i/>
          <w:sz w:val="28"/>
          <w:szCs w:val="28"/>
        </w:rPr>
        <w:t xml:space="preserve"> </w:t>
      </w:r>
      <w:r w:rsidR="00376836" w:rsidRPr="00376836">
        <w:rPr>
          <w:i/>
          <w:sz w:val="28"/>
          <w:szCs w:val="28"/>
        </w:rPr>
        <w:t>№ 619-IX</w:t>
      </w:r>
      <w:r w:rsidRPr="007E10D2">
        <w:rPr>
          <w:i/>
          <w:sz w:val="28"/>
          <w:szCs w:val="28"/>
        </w:rPr>
        <w:t xml:space="preserve">), особливі вимоги встановлено для підготовки та внесення змін до </w:t>
      </w:r>
      <w:r w:rsidRPr="007E10D2">
        <w:rPr>
          <w:rStyle w:val="FontStyle12"/>
          <w:i/>
          <w:sz w:val="28"/>
          <w:szCs w:val="28"/>
        </w:rPr>
        <w:t xml:space="preserve">Кримінального кодексу України, </w:t>
      </w:r>
      <w:r w:rsidRPr="007E10D2">
        <w:rPr>
          <w:i/>
          <w:sz w:val="28"/>
          <w:szCs w:val="28"/>
        </w:rPr>
        <w:t>Кримінального процесуального кодексу України, Кодексу України про адміністративні правопорушення, тобто потребують підготовки окремих трьох проєктів законів.</w:t>
      </w:r>
    </w:p>
    <w:p w:rsidR="007E10D2" w:rsidRPr="007E10D2" w:rsidRDefault="007E10D2" w:rsidP="007159ED">
      <w:pPr>
        <w:pStyle w:val="Style2"/>
        <w:widowControl/>
        <w:spacing w:line="240" w:lineRule="auto"/>
        <w:ind w:firstLine="540"/>
        <w:rPr>
          <w:i/>
          <w:sz w:val="28"/>
          <w:szCs w:val="28"/>
        </w:rPr>
      </w:pPr>
      <w:r w:rsidRPr="007E10D2">
        <w:rPr>
          <w:i/>
          <w:sz w:val="28"/>
          <w:szCs w:val="28"/>
        </w:rPr>
        <w:t>Внесення змін до Бюджетного кодексу здійснюється за процедурою встановленою самим Бюджетним кодексом.</w:t>
      </w:r>
    </w:p>
    <w:p w:rsidR="007E10D2" w:rsidRPr="007E10D2" w:rsidRDefault="007E10D2" w:rsidP="007159ED">
      <w:pPr>
        <w:pStyle w:val="Style2"/>
        <w:widowControl/>
        <w:spacing w:line="240" w:lineRule="auto"/>
        <w:ind w:firstLine="540"/>
        <w:rPr>
          <w:rStyle w:val="FontStyle12"/>
          <w:i/>
          <w:sz w:val="28"/>
          <w:szCs w:val="28"/>
        </w:rPr>
      </w:pPr>
      <w:r w:rsidRPr="007E10D2">
        <w:rPr>
          <w:i/>
          <w:sz w:val="28"/>
          <w:szCs w:val="28"/>
        </w:rPr>
        <w:t>Таким чино</w:t>
      </w:r>
      <w:r>
        <w:rPr>
          <w:i/>
          <w:sz w:val="28"/>
          <w:szCs w:val="28"/>
        </w:rPr>
        <w:t>м</w:t>
      </w:r>
      <w:r w:rsidRPr="007E10D2">
        <w:rPr>
          <w:i/>
          <w:sz w:val="28"/>
          <w:szCs w:val="28"/>
        </w:rPr>
        <w:t xml:space="preserve">, для здійснення </w:t>
      </w:r>
      <w:r>
        <w:rPr>
          <w:i/>
          <w:sz w:val="28"/>
          <w:szCs w:val="28"/>
        </w:rPr>
        <w:t>реформи регулювання сфер електронних комунікацій, радіочастотного спектру та поштового зв’язку, процедура розгляду в сесійному залі Верховної ради України потребуватиме окремого дня для розгляду і ухвалення цих проєктів законів. Розбалансування їх прийняття матиме катастрофічні наслідки для забезпечення ефективного регулювання.</w:t>
      </w:r>
    </w:p>
    <w:p w:rsidR="00A274F5" w:rsidRPr="003D042D" w:rsidRDefault="00A274F5" w:rsidP="00A274F5">
      <w:pPr>
        <w:tabs>
          <w:tab w:val="left" w:pos="916"/>
          <w:tab w:val="left" w:pos="1832"/>
          <w:tab w:val="left" w:pos="2748"/>
          <w:tab w:val="left" w:pos="3664"/>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p>
    <w:p w:rsidR="00A274F5" w:rsidRPr="003D042D" w:rsidRDefault="00A274F5" w:rsidP="00A274F5">
      <w:pPr>
        <w:ind w:firstLine="540"/>
        <w:rPr>
          <w:b/>
          <w:sz w:val="28"/>
          <w:szCs w:val="28"/>
          <w:lang w:val="uk-UA"/>
        </w:rPr>
      </w:pPr>
      <w:r w:rsidRPr="003D042D">
        <w:rPr>
          <w:b/>
          <w:sz w:val="28"/>
          <w:szCs w:val="28"/>
          <w:lang w:val="uk-UA"/>
        </w:rPr>
        <w:t>4. Фінансово-економічне обґрунтування</w:t>
      </w:r>
    </w:p>
    <w:p w:rsidR="00A274F5" w:rsidRPr="003D042D" w:rsidRDefault="00A274F5" w:rsidP="00A274F5">
      <w:pPr>
        <w:pStyle w:val="Style2"/>
        <w:widowControl/>
        <w:spacing w:line="240" w:lineRule="auto"/>
        <w:ind w:firstLine="540"/>
        <w:rPr>
          <w:rStyle w:val="FontStyle12"/>
          <w:sz w:val="28"/>
          <w:szCs w:val="28"/>
        </w:rPr>
      </w:pPr>
      <w:r w:rsidRPr="003D042D">
        <w:rPr>
          <w:rStyle w:val="FontStyle12"/>
          <w:sz w:val="28"/>
          <w:szCs w:val="28"/>
        </w:rPr>
        <w:t>Впровадження проекту Закону</w:t>
      </w:r>
      <w:r w:rsidRPr="003D042D">
        <w:rPr>
          <w:rStyle w:val="FontStyle11"/>
          <w:bCs/>
          <w:sz w:val="28"/>
          <w:szCs w:val="28"/>
        </w:rPr>
        <w:t xml:space="preserve"> </w:t>
      </w:r>
      <w:r w:rsidRPr="003D042D">
        <w:rPr>
          <w:rStyle w:val="FontStyle12"/>
          <w:sz w:val="28"/>
          <w:szCs w:val="28"/>
        </w:rPr>
        <w:t xml:space="preserve">не потребує додаткових матеріальних і фінансових витрат </w:t>
      </w:r>
      <w:r w:rsidRPr="003D042D">
        <w:rPr>
          <w:rStyle w:val="FontStyle13"/>
          <w:sz w:val="28"/>
          <w:szCs w:val="28"/>
        </w:rPr>
        <w:t xml:space="preserve">з </w:t>
      </w:r>
      <w:r w:rsidRPr="003D042D">
        <w:rPr>
          <w:rStyle w:val="FontStyle12"/>
          <w:sz w:val="28"/>
          <w:szCs w:val="28"/>
        </w:rPr>
        <w:t>державного бюджету</w:t>
      </w:r>
      <w:r w:rsidR="00964C32">
        <w:rPr>
          <w:rStyle w:val="FontStyle12"/>
          <w:sz w:val="28"/>
          <w:szCs w:val="28"/>
        </w:rPr>
        <w:t>, оскільки створення нового органу буде здійснюватися на базі НКРЗІ та його бюджетних асигнувань</w:t>
      </w:r>
      <w:r w:rsidR="007159ED">
        <w:rPr>
          <w:rStyle w:val="FontStyle12"/>
          <w:sz w:val="28"/>
          <w:szCs w:val="28"/>
        </w:rPr>
        <w:t xml:space="preserve">,  а також з огляду на передбачені проектом Закону України «Про електронні комунікації» </w:t>
      </w:r>
      <w:r w:rsidR="00B20C5D">
        <w:rPr>
          <w:rStyle w:val="FontStyle12"/>
          <w:sz w:val="28"/>
          <w:szCs w:val="28"/>
        </w:rPr>
        <w:t>додаткові надходження до Державного бюджету України.</w:t>
      </w:r>
    </w:p>
    <w:p w:rsidR="007159ED" w:rsidRPr="007159ED" w:rsidRDefault="007159ED" w:rsidP="007159ED">
      <w:pPr>
        <w:autoSpaceDE w:val="0"/>
        <w:autoSpaceDN w:val="0"/>
        <w:adjustRightInd w:val="0"/>
        <w:jc w:val="both"/>
        <w:rPr>
          <w:b/>
          <w:sz w:val="28"/>
          <w:szCs w:val="28"/>
          <w:lang w:val="uk-UA"/>
        </w:rPr>
      </w:pPr>
    </w:p>
    <w:p w:rsidR="007159ED" w:rsidRPr="007159ED" w:rsidRDefault="007159ED" w:rsidP="007159ED">
      <w:pPr>
        <w:ind w:firstLine="540"/>
        <w:rPr>
          <w:b/>
          <w:sz w:val="28"/>
          <w:szCs w:val="28"/>
          <w:lang w:val="uk-UA"/>
        </w:rPr>
      </w:pPr>
      <w:r>
        <w:rPr>
          <w:b/>
          <w:sz w:val="28"/>
          <w:szCs w:val="28"/>
          <w:lang w:val="uk-UA"/>
        </w:rPr>
        <w:t xml:space="preserve">5. </w:t>
      </w:r>
      <w:r w:rsidRPr="007159ED">
        <w:rPr>
          <w:b/>
          <w:sz w:val="28"/>
          <w:szCs w:val="28"/>
          <w:lang w:val="uk-UA"/>
        </w:rPr>
        <w:t>Регіональний аспект</w:t>
      </w:r>
    </w:p>
    <w:p w:rsidR="007159ED" w:rsidRPr="007159ED" w:rsidRDefault="007159ED" w:rsidP="007159ED">
      <w:pPr>
        <w:autoSpaceDE w:val="0"/>
        <w:autoSpaceDN w:val="0"/>
        <w:adjustRightInd w:val="0"/>
        <w:ind w:firstLine="709"/>
        <w:jc w:val="both"/>
        <w:rPr>
          <w:sz w:val="28"/>
          <w:szCs w:val="28"/>
          <w:lang w:val="uk-UA"/>
        </w:rPr>
      </w:pPr>
      <w:r w:rsidRPr="007159ED">
        <w:rPr>
          <w:sz w:val="28"/>
          <w:szCs w:val="28"/>
          <w:lang w:val="uk-UA"/>
        </w:rPr>
        <w:t>Проект Закону не стосується питання розвитку адміністративно-територіальних одиниць та питань функціонування місцевого самоврядування, прав та інтересів територіальних громад, місцевого та регіонального розвитку.</w:t>
      </w:r>
    </w:p>
    <w:p w:rsidR="007159ED" w:rsidRPr="007159ED" w:rsidRDefault="007159ED" w:rsidP="007159ED">
      <w:pPr>
        <w:autoSpaceDE w:val="0"/>
        <w:autoSpaceDN w:val="0"/>
        <w:adjustRightInd w:val="0"/>
        <w:jc w:val="both"/>
        <w:rPr>
          <w:b/>
          <w:bCs/>
          <w:sz w:val="28"/>
          <w:szCs w:val="28"/>
          <w:lang w:val="uk-UA"/>
        </w:rPr>
      </w:pPr>
    </w:p>
    <w:p w:rsidR="007159ED" w:rsidRPr="007159ED" w:rsidRDefault="007159ED" w:rsidP="007159ED">
      <w:pPr>
        <w:autoSpaceDE w:val="0"/>
        <w:autoSpaceDN w:val="0"/>
        <w:adjustRightInd w:val="0"/>
        <w:ind w:firstLine="709"/>
        <w:jc w:val="both"/>
        <w:rPr>
          <w:b/>
          <w:bCs/>
          <w:sz w:val="28"/>
          <w:szCs w:val="28"/>
          <w:lang w:val="uk-UA"/>
        </w:rPr>
      </w:pPr>
      <w:r w:rsidRPr="007159ED">
        <w:rPr>
          <w:b/>
          <w:bCs/>
          <w:sz w:val="28"/>
          <w:szCs w:val="28"/>
          <w:lang w:val="uk-UA"/>
        </w:rPr>
        <w:t>6. Запобігання дискримінації</w:t>
      </w:r>
    </w:p>
    <w:p w:rsidR="007159ED" w:rsidRPr="007159ED" w:rsidRDefault="007159ED" w:rsidP="007159ED">
      <w:pPr>
        <w:autoSpaceDE w:val="0"/>
        <w:autoSpaceDN w:val="0"/>
        <w:adjustRightInd w:val="0"/>
        <w:ind w:firstLine="709"/>
        <w:jc w:val="both"/>
        <w:rPr>
          <w:sz w:val="28"/>
          <w:szCs w:val="28"/>
          <w:lang w:val="uk-UA"/>
        </w:rPr>
      </w:pPr>
      <w:r w:rsidRPr="007159ED">
        <w:rPr>
          <w:sz w:val="28"/>
          <w:szCs w:val="28"/>
          <w:lang w:val="uk-UA"/>
        </w:rPr>
        <w:t xml:space="preserve">У проекті Закону відсутні положення, що містять ознаки дискримінації. Громадська </w:t>
      </w:r>
      <w:proofErr w:type="spellStart"/>
      <w:r w:rsidRPr="007159ED">
        <w:rPr>
          <w:sz w:val="28"/>
          <w:szCs w:val="28"/>
          <w:lang w:val="uk-UA"/>
        </w:rPr>
        <w:t>антидискримінаційна</w:t>
      </w:r>
      <w:proofErr w:type="spellEnd"/>
      <w:r w:rsidRPr="007159ED">
        <w:rPr>
          <w:sz w:val="28"/>
          <w:szCs w:val="28"/>
          <w:lang w:val="uk-UA"/>
        </w:rPr>
        <w:t xml:space="preserve"> експертиза не проводилась.</w:t>
      </w:r>
    </w:p>
    <w:p w:rsidR="007159ED" w:rsidRPr="007159ED" w:rsidRDefault="007159ED" w:rsidP="007159ED">
      <w:pPr>
        <w:autoSpaceDE w:val="0"/>
        <w:autoSpaceDN w:val="0"/>
        <w:adjustRightInd w:val="0"/>
        <w:ind w:firstLine="454"/>
        <w:jc w:val="both"/>
        <w:rPr>
          <w:lang w:val="uk-UA"/>
        </w:rPr>
      </w:pPr>
    </w:p>
    <w:p w:rsidR="007159ED" w:rsidRPr="007159ED" w:rsidRDefault="007159ED" w:rsidP="007159ED">
      <w:pPr>
        <w:autoSpaceDE w:val="0"/>
        <w:autoSpaceDN w:val="0"/>
        <w:adjustRightInd w:val="0"/>
        <w:ind w:firstLine="709"/>
        <w:jc w:val="both"/>
        <w:rPr>
          <w:b/>
          <w:bCs/>
          <w:sz w:val="28"/>
          <w:szCs w:val="28"/>
          <w:lang w:val="uk-UA"/>
        </w:rPr>
      </w:pPr>
      <w:r w:rsidRPr="007159ED">
        <w:rPr>
          <w:b/>
          <w:bCs/>
          <w:sz w:val="28"/>
          <w:szCs w:val="28"/>
          <w:lang w:val="uk-UA"/>
        </w:rPr>
        <w:t>7. Запобігання корупції</w:t>
      </w:r>
    </w:p>
    <w:p w:rsidR="007159ED" w:rsidRPr="007159ED" w:rsidRDefault="007159ED" w:rsidP="007159ED">
      <w:pPr>
        <w:shd w:val="clear" w:color="auto" w:fill="FFFFFF"/>
        <w:tabs>
          <w:tab w:val="num" w:pos="0"/>
          <w:tab w:val="left" w:pos="835"/>
        </w:tabs>
        <w:ind w:firstLine="709"/>
        <w:jc w:val="both"/>
        <w:rPr>
          <w:sz w:val="28"/>
          <w:szCs w:val="28"/>
          <w:lang w:val="uk-UA" w:eastAsia="en-US"/>
        </w:rPr>
      </w:pPr>
      <w:r w:rsidRPr="007159ED">
        <w:rPr>
          <w:sz w:val="28"/>
          <w:szCs w:val="28"/>
          <w:lang w:val="uk-UA" w:eastAsia="en-US"/>
        </w:rPr>
        <w:t>У проекті Закону відсутні правила і процедури, які можуть містити ризики вчинення корупційних правопорушень. Громадська антикорупційна експертиза не проводилась.</w:t>
      </w:r>
    </w:p>
    <w:p w:rsidR="007159ED" w:rsidRPr="007159ED" w:rsidRDefault="007159ED" w:rsidP="007159ED">
      <w:pPr>
        <w:shd w:val="clear" w:color="auto" w:fill="FFFFFF"/>
        <w:tabs>
          <w:tab w:val="num" w:pos="0"/>
          <w:tab w:val="left" w:pos="835"/>
        </w:tabs>
        <w:ind w:firstLine="709"/>
        <w:jc w:val="both"/>
        <w:rPr>
          <w:sz w:val="28"/>
          <w:szCs w:val="28"/>
          <w:lang w:val="uk-UA" w:eastAsia="en-US"/>
        </w:rPr>
      </w:pPr>
    </w:p>
    <w:p w:rsidR="007159ED" w:rsidRPr="007159ED" w:rsidRDefault="007159ED" w:rsidP="007159ED">
      <w:pPr>
        <w:ind w:firstLine="709"/>
        <w:jc w:val="both"/>
        <w:rPr>
          <w:b/>
          <w:sz w:val="28"/>
          <w:szCs w:val="28"/>
          <w:lang w:val="uk-UA" w:eastAsia="en-US"/>
        </w:rPr>
      </w:pPr>
      <w:r w:rsidRPr="007159ED">
        <w:rPr>
          <w:b/>
          <w:sz w:val="28"/>
          <w:szCs w:val="28"/>
          <w:lang w:val="uk-UA" w:eastAsia="en-US"/>
        </w:rPr>
        <w:t xml:space="preserve">8. Оцінка </w:t>
      </w:r>
      <w:r w:rsidR="004E7CFF">
        <w:rPr>
          <w:b/>
          <w:sz w:val="28"/>
          <w:szCs w:val="28"/>
          <w:lang w:val="uk-UA" w:eastAsia="en-US"/>
        </w:rPr>
        <w:t xml:space="preserve"> </w:t>
      </w:r>
      <w:r w:rsidR="00B20C5D">
        <w:rPr>
          <w:b/>
          <w:sz w:val="28"/>
          <w:szCs w:val="28"/>
          <w:lang w:val="uk-UA" w:eastAsia="en-US"/>
        </w:rPr>
        <w:t>регулятор</w:t>
      </w:r>
      <w:r w:rsidRPr="007159ED">
        <w:rPr>
          <w:b/>
          <w:sz w:val="28"/>
          <w:szCs w:val="28"/>
          <w:lang w:val="uk-UA" w:eastAsia="en-US"/>
        </w:rPr>
        <w:t>ного впливу</w:t>
      </w:r>
    </w:p>
    <w:p w:rsidR="007159ED" w:rsidRPr="007159ED" w:rsidRDefault="007159ED" w:rsidP="007159ED">
      <w:pPr>
        <w:ind w:firstLine="709"/>
        <w:jc w:val="both"/>
        <w:rPr>
          <w:sz w:val="28"/>
          <w:szCs w:val="28"/>
          <w:lang w:val="uk-UA" w:eastAsia="en-US"/>
        </w:rPr>
      </w:pPr>
      <w:r w:rsidRPr="007159ED">
        <w:rPr>
          <w:sz w:val="28"/>
          <w:szCs w:val="28"/>
          <w:lang w:val="uk-UA" w:eastAsia="en-US"/>
        </w:rPr>
        <w:t>Прийняття проекту Закону України «</w:t>
      </w:r>
      <w:r w:rsidR="00B20C5D">
        <w:rPr>
          <w:sz w:val="28"/>
          <w:szCs w:val="28"/>
          <w:lang w:val="uk-UA"/>
        </w:rPr>
        <w:t>Про Національну комісію, що здійснює державне регулювання у сферах електронних комунікацій, радіочастотного спектру та надання послуг поштового зв’язку України</w:t>
      </w:r>
      <w:r w:rsidRPr="007159ED">
        <w:rPr>
          <w:sz w:val="28"/>
          <w:szCs w:val="28"/>
          <w:lang w:val="uk-UA" w:eastAsia="en-US"/>
        </w:rPr>
        <w:t xml:space="preserve">» забезпечить </w:t>
      </w:r>
      <w:r w:rsidR="00D76A6F">
        <w:rPr>
          <w:sz w:val="28"/>
          <w:szCs w:val="28"/>
          <w:lang w:val="uk-UA" w:eastAsia="en-US"/>
        </w:rPr>
        <w:t>вчасно</w:t>
      </w:r>
      <w:r w:rsidRPr="007159ED">
        <w:rPr>
          <w:sz w:val="28"/>
          <w:szCs w:val="28"/>
          <w:lang w:val="uk-UA" w:eastAsia="en-US"/>
        </w:rPr>
        <w:t xml:space="preserve"> виконати зобов’язання України, передбачені Угодою </w:t>
      </w:r>
      <w:r w:rsidRPr="007159ED">
        <w:rPr>
          <w:sz w:val="28"/>
          <w:szCs w:val="28"/>
          <w:lang w:val="uk-UA" w:eastAsia="uk-UA"/>
        </w:rPr>
        <w:t>про асоціацію</w:t>
      </w:r>
      <w:r w:rsidRPr="007159ED">
        <w:rPr>
          <w:sz w:val="28"/>
          <w:szCs w:val="28"/>
          <w:lang w:val="uk-UA" w:eastAsia="en-US"/>
        </w:rPr>
        <w:t>.</w:t>
      </w:r>
    </w:p>
    <w:p w:rsidR="007159ED" w:rsidRPr="007159ED" w:rsidRDefault="007159ED" w:rsidP="007159ED">
      <w:pPr>
        <w:ind w:firstLine="709"/>
        <w:jc w:val="both"/>
        <w:rPr>
          <w:sz w:val="28"/>
          <w:szCs w:val="28"/>
          <w:lang w:val="uk-UA" w:eastAsia="en-US"/>
        </w:rPr>
      </w:pPr>
    </w:p>
    <w:p w:rsidR="007159ED" w:rsidRPr="007159ED" w:rsidRDefault="007159ED" w:rsidP="007159ED">
      <w:pPr>
        <w:ind w:firstLine="709"/>
        <w:rPr>
          <w:b/>
          <w:sz w:val="28"/>
          <w:szCs w:val="28"/>
          <w:lang w:val="uk-UA" w:eastAsia="en-US"/>
        </w:rPr>
      </w:pPr>
      <w:r w:rsidRPr="007159ED">
        <w:rPr>
          <w:b/>
          <w:sz w:val="28"/>
          <w:szCs w:val="28"/>
          <w:lang w:val="uk-UA" w:eastAsia="en-US"/>
        </w:rPr>
        <w:t>9. Прогноз результатів</w:t>
      </w:r>
    </w:p>
    <w:p w:rsidR="007159ED" w:rsidRPr="007159ED" w:rsidRDefault="007159ED" w:rsidP="007159ED">
      <w:pPr>
        <w:ind w:firstLine="709"/>
        <w:jc w:val="both"/>
        <w:rPr>
          <w:sz w:val="28"/>
          <w:szCs w:val="28"/>
          <w:lang w:val="uk-UA" w:eastAsia="en-US"/>
        </w:rPr>
      </w:pPr>
      <w:r w:rsidRPr="007159ED">
        <w:rPr>
          <w:sz w:val="28"/>
          <w:szCs w:val="28"/>
          <w:lang w:val="uk-UA" w:eastAsia="en-US"/>
        </w:rPr>
        <w:t>Прийняття проекту Закону України «</w:t>
      </w:r>
      <w:r w:rsidR="00B20C5D">
        <w:rPr>
          <w:sz w:val="28"/>
          <w:szCs w:val="28"/>
          <w:lang w:val="uk-UA"/>
        </w:rPr>
        <w:t>Про Національну комісію, що здійснює державне регулювання у сферах електронних комунікацій, радіочастотного спектру та надання послуг поштового зв’язку України</w:t>
      </w:r>
      <w:r w:rsidRPr="007159ED">
        <w:rPr>
          <w:sz w:val="28"/>
          <w:szCs w:val="28"/>
          <w:lang w:val="uk-UA" w:eastAsia="en-US"/>
        </w:rPr>
        <w:t xml:space="preserve">» дасть змогу </w:t>
      </w:r>
      <w:r w:rsidR="00D76A6F">
        <w:rPr>
          <w:sz w:val="28"/>
          <w:szCs w:val="28"/>
          <w:lang w:val="uk-UA" w:eastAsia="en-US"/>
        </w:rPr>
        <w:t xml:space="preserve">розпочати процедури з приведення у відповідність до взятих зобов’язань України створення нового конституційного незалежного </w:t>
      </w:r>
      <w:r w:rsidR="004E7CFF">
        <w:rPr>
          <w:sz w:val="28"/>
          <w:szCs w:val="28"/>
          <w:lang w:val="uk-UA" w:eastAsia="en-US"/>
        </w:rPr>
        <w:t xml:space="preserve"> Регулятор</w:t>
      </w:r>
      <w:r w:rsidR="00B20C5D">
        <w:rPr>
          <w:sz w:val="28"/>
          <w:szCs w:val="28"/>
          <w:lang w:val="uk-UA" w:eastAsia="en-US"/>
        </w:rPr>
        <w:t>а</w:t>
      </w:r>
      <w:r w:rsidR="004E7CFF">
        <w:rPr>
          <w:sz w:val="28"/>
          <w:szCs w:val="28"/>
          <w:lang w:val="uk-UA" w:eastAsia="en-US"/>
        </w:rPr>
        <w:t xml:space="preserve"> комунікаційних послуг</w:t>
      </w:r>
      <w:r w:rsidRPr="007159ED">
        <w:rPr>
          <w:sz w:val="28"/>
          <w:szCs w:val="28"/>
          <w:lang w:val="uk-UA" w:eastAsia="en-US"/>
        </w:rPr>
        <w:t xml:space="preserve">, що відповідатимуть вимогам часу та євроінтеграційним процесам, з метою розвитку сфери електронних комунікацій </w:t>
      </w:r>
      <w:r w:rsidR="00D76A6F">
        <w:rPr>
          <w:sz w:val="28"/>
          <w:szCs w:val="28"/>
          <w:lang w:val="uk-UA" w:eastAsia="en-US"/>
        </w:rPr>
        <w:t xml:space="preserve">та поштового зв’язку </w:t>
      </w:r>
      <w:r w:rsidRPr="007159ED">
        <w:rPr>
          <w:sz w:val="28"/>
          <w:szCs w:val="28"/>
          <w:lang w:val="uk-UA" w:eastAsia="en-US"/>
        </w:rPr>
        <w:t xml:space="preserve">в Україні, створить </w:t>
      </w:r>
      <w:r w:rsidR="00A137A5">
        <w:rPr>
          <w:sz w:val="28"/>
          <w:szCs w:val="28"/>
          <w:lang w:val="uk-UA" w:eastAsia="en-US"/>
        </w:rPr>
        <w:t xml:space="preserve">кращі </w:t>
      </w:r>
      <w:r w:rsidR="00D76A6F">
        <w:rPr>
          <w:sz w:val="28"/>
          <w:szCs w:val="28"/>
          <w:lang w:val="uk-UA" w:eastAsia="en-US"/>
        </w:rPr>
        <w:t>перед</w:t>
      </w:r>
      <w:r w:rsidRPr="007159ED">
        <w:rPr>
          <w:sz w:val="28"/>
          <w:szCs w:val="28"/>
          <w:lang w:val="uk-UA" w:eastAsia="en-US"/>
        </w:rPr>
        <w:t xml:space="preserve">умови для </w:t>
      </w:r>
      <w:r w:rsidR="00A137A5">
        <w:rPr>
          <w:sz w:val="28"/>
          <w:szCs w:val="28"/>
          <w:lang w:val="uk-UA" w:eastAsia="en-US"/>
        </w:rPr>
        <w:t>входу України в Єдиний європейський цифровий ринок, оскільки сфера електронних комунікацій є основою для розвитку інших цифрових послуг в Україні</w:t>
      </w:r>
      <w:r w:rsidRPr="007159ED">
        <w:rPr>
          <w:sz w:val="28"/>
          <w:szCs w:val="28"/>
          <w:lang w:val="uk-UA" w:eastAsia="en-US"/>
        </w:rPr>
        <w:t xml:space="preserve">. </w:t>
      </w:r>
    </w:p>
    <w:p w:rsidR="00A274F5" w:rsidRPr="003D042D" w:rsidRDefault="00A274F5" w:rsidP="00A274F5">
      <w:pPr>
        <w:jc w:val="both"/>
        <w:rPr>
          <w:sz w:val="28"/>
          <w:szCs w:val="28"/>
          <w:lang w:val="uk-UA"/>
        </w:rPr>
      </w:pPr>
    </w:p>
    <w:p w:rsidR="00AB0906" w:rsidRPr="003D042D" w:rsidRDefault="00AB0906" w:rsidP="0012442C">
      <w:pPr>
        <w:jc w:val="both"/>
        <w:rPr>
          <w:b/>
          <w:sz w:val="28"/>
          <w:szCs w:val="28"/>
          <w:lang w:val="uk-UA"/>
        </w:rPr>
      </w:pPr>
      <w:r>
        <w:rPr>
          <w:b/>
          <w:sz w:val="28"/>
          <w:szCs w:val="28"/>
          <w:lang w:val="uk-UA"/>
        </w:rPr>
        <w:t xml:space="preserve">Народні депутати України        </w:t>
      </w:r>
      <w:r w:rsidR="00A274F5" w:rsidRPr="003D042D">
        <w:rPr>
          <w:b/>
          <w:sz w:val="28"/>
          <w:szCs w:val="28"/>
          <w:lang w:val="uk-UA"/>
        </w:rPr>
        <w:tab/>
      </w:r>
      <w:r w:rsidR="001F3E9B">
        <w:rPr>
          <w:b/>
          <w:sz w:val="28"/>
          <w:szCs w:val="28"/>
          <w:lang w:val="uk-UA"/>
        </w:rPr>
        <w:t xml:space="preserve">            </w:t>
      </w:r>
      <w:r w:rsidR="00A274F5" w:rsidRPr="003D042D">
        <w:rPr>
          <w:b/>
          <w:sz w:val="28"/>
          <w:szCs w:val="28"/>
          <w:lang w:val="uk-UA"/>
        </w:rPr>
        <w:t xml:space="preserve">         </w:t>
      </w:r>
    </w:p>
    <w:p w:rsidR="003D3545" w:rsidRPr="003D3545" w:rsidRDefault="003D3545" w:rsidP="003D3545">
      <w:pPr>
        <w:spacing w:line="240" w:lineRule="atLeast"/>
        <w:jc w:val="right"/>
        <w:rPr>
          <w:rFonts w:eastAsia="Calibri"/>
          <w:b/>
          <w:sz w:val="28"/>
          <w:szCs w:val="22"/>
          <w:lang w:val="uk-UA" w:eastAsia="en-US"/>
        </w:rPr>
      </w:pPr>
      <w:r w:rsidRPr="003D3545">
        <w:rPr>
          <w:rFonts w:eastAsia="Calibri"/>
          <w:b/>
          <w:sz w:val="28"/>
          <w:szCs w:val="22"/>
          <w:lang w:val="uk-UA" w:eastAsia="en-US"/>
        </w:rPr>
        <w:t>Федієнко О.П. (89)</w:t>
      </w:r>
    </w:p>
    <w:p w:rsidR="003D3545" w:rsidRPr="003D3545" w:rsidRDefault="003D3545" w:rsidP="003D3545">
      <w:pPr>
        <w:spacing w:line="240" w:lineRule="atLeast"/>
        <w:jc w:val="right"/>
        <w:rPr>
          <w:rFonts w:eastAsia="Calibri"/>
          <w:b/>
          <w:sz w:val="28"/>
          <w:szCs w:val="22"/>
          <w:lang w:val="uk-UA" w:eastAsia="en-US"/>
        </w:rPr>
      </w:pPr>
      <w:r w:rsidRPr="003D3545">
        <w:rPr>
          <w:rFonts w:eastAsia="Calibri"/>
          <w:b/>
          <w:sz w:val="28"/>
          <w:szCs w:val="22"/>
          <w:lang w:val="uk-UA" w:eastAsia="en-US"/>
        </w:rPr>
        <w:t>Соха Р.В. (281)</w:t>
      </w:r>
    </w:p>
    <w:p w:rsidR="003D3545" w:rsidRPr="003D3545" w:rsidRDefault="003D3545" w:rsidP="003D3545">
      <w:pPr>
        <w:spacing w:line="240" w:lineRule="atLeast"/>
        <w:jc w:val="right"/>
        <w:rPr>
          <w:rFonts w:eastAsia="Calibri"/>
          <w:b/>
          <w:sz w:val="28"/>
          <w:szCs w:val="22"/>
          <w:lang w:val="uk-UA" w:eastAsia="en-US"/>
        </w:rPr>
      </w:pPr>
      <w:r w:rsidRPr="003D3545">
        <w:rPr>
          <w:rFonts w:eastAsia="Calibri"/>
          <w:b/>
          <w:sz w:val="28"/>
          <w:szCs w:val="22"/>
          <w:lang w:val="uk-UA" w:eastAsia="en-US"/>
        </w:rPr>
        <w:t>Крячко М.В. (60)</w:t>
      </w:r>
    </w:p>
    <w:p w:rsidR="003D3545" w:rsidRPr="003D3545" w:rsidRDefault="003D3545" w:rsidP="003D3545">
      <w:pPr>
        <w:spacing w:line="240" w:lineRule="atLeast"/>
        <w:jc w:val="right"/>
        <w:rPr>
          <w:rFonts w:eastAsia="Calibri"/>
          <w:b/>
          <w:sz w:val="28"/>
          <w:szCs w:val="22"/>
          <w:lang w:val="uk-UA" w:eastAsia="en-US"/>
        </w:rPr>
      </w:pPr>
      <w:r w:rsidRPr="003D3545">
        <w:rPr>
          <w:rFonts w:eastAsia="Calibri"/>
          <w:b/>
          <w:sz w:val="28"/>
          <w:szCs w:val="22"/>
          <w:lang w:val="uk-UA" w:eastAsia="en-US"/>
        </w:rPr>
        <w:t>Штепа С.С. (283)</w:t>
      </w:r>
    </w:p>
    <w:p w:rsidR="003D3545" w:rsidRPr="003D3545" w:rsidRDefault="003D3545" w:rsidP="003D3545">
      <w:pPr>
        <w:spacing w:line="240" w:lineRule="atLeast"/>
        <w:jc w:val="right"/>
        <w:rPr>
          <w:rFonts w:eastAsia="Calibri"/>
          <w:b/>
          <w:sz w:val="28"/>
          <w:szCs w:val="22"/>
          <w:lang w:val="uk-UA" w:eastAsia="en-US"/>
        </w:rPr>
      </w:pPr>
      <w:r w:rsidRPr="003D3545">
        <w:rPr>
          <w:rFonts w:eastAsia="Calibri"/>
          <w:b/>
          <w:sz w:val="28"/>
          <w:szCs w:val="22"/>
          <w:lang w:val="uk-UA" w:eastAsia="en-US"/>
        </w:rPr>
        <w:t>Ватрас В.А, (70)</w:t>
      </w:r>
    </w:p>
    <w:p w:rsidR="003D3545" w:rsidRPr="003D3545" w:rsidRDefault="003D3545" w:rsidP="003D3545">
      <w:pPr>
        <w:spacing w:line="240" w:lineRule="atLeast"/>
        <w:jc w:val="right"/>
        <w:rPr>
          <w:rFonts w:eastAsia="Calibri"/>
          <w:b/>
          <w:sz w:val="28"/>
          <w:szCs w:val="22"/>
          <w:lang w:val="uk-UA" w:eastAsia="en-US"/>
        </w:rPr>
      </w:pPr>
      <w:r w:rsidRPr="003D3545">
        <w:rPr>
          <w:rFonts w:eastAsia="Calibri"/>
          <w:b/>
          <w:sz w:val="28"/>
          <w:szCs w:val="22"/>
          <w:lang w:val="uk-UA" w:eastAsia="en-US"/>
        </w:rPr>
        <w:t>Калаур І.Р. (427)</w:t>
      </w:r>
    </w:p>
    <w:p w:rsidR="003D3545" w:rsidRPr="003D3545" w:rsidRDefault="003D3545" w:rsidP="003D3545">
      <w:pPr>
        <w:spacing w:line="240" w:lineRule="atLeast"/>
        <w:jc w:val="right"/>
        <w:rPr>
          <w:rFonts w:eastAsia="Calibri"/>
          <w:b/>
          <w:sz w:val="28"/>
          <w:szCs w:val="22"/>
          <w:lang w:val="uk-UA" w:eastAsia="en-US"/>
        </w:rPr>
      </w:pPr>
      <w:proofErr w:type="spellStart"/>
      <w:r w:rsidRPr="003D3545">
        <w:rPr>
          <w:rFonts w:eastAsia="Calibri"/>
          <w:b/>
          <w:sz w:val="28"/>
          <w:szCs w:val="22"/>
          <w:lang w:val="uk-UA" w:eastAsia="en-US"/>
        </w:rPr>
        <w:t>Мазуращу</w:t>
      </w:r>
      <w:proofErr w:type="spellEnd"/>
      <w:r w:rsidRPr="003D3545">
        <w:rPr>
          <w:rFonts w:eastAsia="Calibri"/>
          <w:b/>
          <w:sz w:val="28"/>
          <w:szCs w:val="22"/>
          <w:lang w:val="uk-UA" w:eastAsia="en-US"/>
        </w:rPr>
        <w:t xml:space="preserve"> Г.Г. (404)</w:t>
      </w:r>
    </w:p>
    <w:p w:rsidR="003D3545" w:rsidRPr="003D3545" w:rsidRDefault="003D3545" w:rsidP="003D3545">
      <w:pPr>
        <w:spacing w:line="240" w:lineRule="atLeast"/>
        <w:jc w:val="right"/>
        <w:rPr>
          <w:rFonts w:eastAsia="Calibri"/>
          <w:b/>
          <w:sz w:val="28"/>
          <w:szCs w:val="22"/>
          <w:lang w:val="uk-UA" w:eastAsia="en-US"/>
        </w:rPr>
      </w:pPr>
      <w:r w:rsidRPr="003D3545">
        <w:rPr>
          <w:rFonts w:eastAsia="Calibri"/>
          <w:b/>
          <w:sz w:val="28"/>
          <w:szCs w:val="22"/>
          <w:lang w:val="uk-UA" w:eastAsia="en-US"/>
        </w:rPr>
        <w:t>Ковальов О.І. (387)</w:t>
      </w:r>
    </w:p>
    <w:p w:rsidR="003D3545" w:rsidRPr="003D3545" w:rsidRDefault="003D3545" w:rsidP="003D3545">
      <w:pPr>
        <w:spacing w:line="240" w:lineRule="atLeast"/>
        <w:jc w:val="right"/>
        <w:rPr>
          <w:rFonts w:eastAsia="Calibri"/>
          <w:b/>
          <w:sz w:val="28"/>
          <w:szCs w:val="22"/>
          <w:lang w:val="uk-UA" w:eastAsia="en-US"/>
        </w:rPr>
      </w:pPr>
      <w:r w:rsidRPr="003D3545">
        <w:rPr>
          <w:rFonts w:eastAsia="Calibri"/>
          <w:b/>
          <w:sz w:val="28"/>
          <w:szCs w:val="22"/>
          <w:lang w:val="uk-UA" w:eastAsia="en-US"/>
        </w:rPr>
        <w:t>Чернєв Є.В. (26)</w:t>
      </w:r>
    </w:p>
    <w:p w:rsidR="00A274F5" w:rsidRDefault="00A274F5" w:rsidP="00A274F5">
      <w:pPr>
        <w:jc w:val="both"/>
        <w:rPr>
          <w:sz w:val="28"/>
          <w:szCs w:val="28"/>
          <w:lang w:val="uk-UA"/>
        </w:rPr>
      </w:pPr>
    </w:p>
    <w:sectPr w:rsidR="00A274F5" w:rsidSect="00942B74">
      <w:headerReference w:type="even" r:id="rId8"/>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734" w:rsidRDefault="00680734">
      <w:r>
        <w:separator/>
      </w:r>
    </w:p>
  </w:endnote>
  <w:endnote w:type="continuationSeparator" w:id="0">
    <w:p w:rsidR="00680734" w:rsidRDefault="00680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734" w:rsidRDefault="00680734">
      <w:r>
        <w:separator/>
      </w:r>
    </w:p>
  </w:footnote>
  <w:footnote w:type="continuationSeparator" w:id="0">
    <w:p w:rsidR="00680734" w:rsidRDefault="00680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670" w:rsidRDefault="00530670" w:rsidP="00942B74">
    <w:pPr>
      <w:pStyle w:val="ab"/>
      <w:framePr w:wrap="auto"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F3112F">
      <w:rPr>
        <w:rStyle w:val="ad"/>
        <w:noProof/>
      </w:rPr>
      <w:t>1</w:t>
    </w:r>
    <w:r>
      <w:rPr>
        <w:rStyle w:val="ad"/>
      </w:rPr>
      <w:fldChar w:fldCharType="end"/>
    </w:r>
  </w:p>
  <w:p w:rsidR="00530670" w:rsidRDefault="0053067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670" w:rsidRDefault="00530670" w:rsidP="00942B74">
    <w:pPr>
      <w:pStyle w:val="ab"/>
      <w:framePr w:wrap="auto"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CE011F">
      <w:rPr>
        <w:rStyle w:val="ad"/>
        <w:noProof/>
      </w:rPr>
      <w:t>5</w:t>
    </w:r>
    <w:r>
      <w:rPr>
        <w:rStyle w:val="ad"/>
      </w:rPr>
      <w:fldChar w:fldCharType="end"/>
    </w:r>
  </w:p>
  <w:p w:rsidR="00530670" w:rsidRDefault="0053067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C2753"/>
    <w:multiLevelType w:val="hybridMultilevel"/>
    <w:tmpl w:val="B018F4D6"/>
    <w:lvl w:ilvl="0" w:tplc="9B72FD00">
      <w:start w:val="5"/>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22D6180E"/>
    <w:multiLevelType w:val="singleLevel"/>
    <w:tmpl w:val="EF867744"/>
    <w:lvl w:ilvl="0">
      <w:start w:val="1"/>
      <w:numFmt w:val="decimal"/>
      <w:lvlText w:val="%1."/>
      <w:lvlJc w:val="left"/>
      <w:pPr>
        <w:tabs>
          <w:tab w:val="num" w:pos="1080"/>
        </w:tabs>
        <w:ind w:left="1080" w:hanging="360"/>
      </w:pPr>
      <w:rPr>
        <w:rFonts w:cs="Times New Roman" w:hint="default"/>
      </w:rPr>
    </w:lvl>
  </w:abstractNum>
  <w:abstractNum w:abstractNumId="2" w15:restartNumberingAfterBreak="0">
    <w:nsid w:val="53535823"/>
    <w:multiLevelType w:val="hybridMultilevel"/>
    <w:tmpl w:val="5B288616"/>
    <w:lvl w:ilvl="0" w:tplc="E8F48A70">
      <w:start w:val="4"/>
      <w:numFmt w:val="decimal"/>
      <w:lvlText w:val="%1."/>
      <w:lvlJc w:val="left"/>
      <w:pPr>
        <w:ind w:left="900" w:hanging="360"/>
      </w:pPr>
      <w:rPr>
        <w:rFonts w:cs="Times New Roman" w:hint="default"/>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4F5"/>
    <w:rsid w:val="00024A75"/>
    <w:rsid w:val="000F536C"/>
    <w:rsid w:val="0012442C"/>
    <w:rsid w:val="00197117"/>
    <w:rsid w:val="001C0553"/>
    <w:rsid w:val="001F0094"/>
    <w:rsid w:val="001F3E9B"/>
    <w:rsid w:val="002E3B37"/>
    <w:rsid w:val="002F6963"/>
    <w:rsid w:val="00310E14"/>
    <w:rsid w:val="00327EA1"/>
    <w:rsid w:val="00376836"/>
    <w:rsid w:val="003916D3"/>
    <w:rsid w:val="003D042D"/>
    <w:rsid w:val="003D3545"/>
    <w:rsid w:val="003D55FC"/>
    <w:rsid w:val="004D0659"/>
    <w:rsid w:val="004E7CFF"/>
    <w:rsid w:val="00530670"/>
    <w:rsid w:val="006140E4"/>
    <w:rsid w:val="00665D56"/>
    <w:rsid w:val="00680734"/>
    <w:rsid w:val="007159ED"/>
    <w:rsid w:val="0073038E"/>
    <w:rsid w:val="007B11C5"/>
    <w:rsid w:val="007B5518"/>
    <w:rsid w:val="007E10D2"/>
    <w:rsid w:val="008033A8"/>
    <w:rsid w:val="009102C7"/>
    <w:rsid w:val="00942B74"/>
    <w:rsid w:val="00961732"/>
    <w:rsid w:val="00964C32"/>
    <w:rsid w:val="00A137A5"/>
    <w:rsid w:val="00A274CF"/>
    <w:rsid w:val="00A274F5"/>
    <w:rsid w:val="00AB0906"/>
    <w:rsid w:val="00AE29FC"/>
    <w:rsid w:val="00B20C5D"/>
    <w:rsid w:val="00BB1980"/>
    <w:rsid w:val="00C33438"/>
    <w:rsid w:val="00CE011F"/>
    <w:rsid w:val="00D4194D"/>
    <w:rsid w:val="00D76A6F"/>
    <w:rsid w:val="00D8509B"/>
    <w:rsid w:val="00EA5B55"/>
    <w:rsid w:val="00F25B4D"/>
    <w:rsid w:val="00F3112F"/>
    <w:rsid w:val="00F80009"/>
    <w:rsid w:val="00FC7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F518F82-0C39-4960-A7B4-0CD4D853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4F5"/>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uiPriority w:val="99"/>
    <w:rsid w:val="00A274F5"/>
    <w:pPr>
      <w:keepNext/>
      <w:autoSpaceDE w:val="0"/>
      <w:autoSpaceDN w:val="0"/>
      <w:jc w:val="center"/>
    </w:pPr>
    <w:rPr>
      <w:sz w:val="28"/>
      <w:szCs w:val="28"/>
      <w:lang w:val="uk-UA"/>
    </w:rPr>
  </w:style>
  <w:style w:type="paragraph" w:styleId="a3">
    <w:name w:val="Title"/>
    <w:basedOn w:val="a"/>
    <w:link w:val="a4"/>
    <w:uiPriority w:val="99"/>
    <w:qFormat/>
    <w:rsid w:val="00A274F5"/>
    <w:pPr>
      <w:autoSpaceDE w:val="0"/>
      <w:autoSpaceDN w:val="0"/>
      <w:jc w:val="center"/>
    </w:pPr>
    <w:rPr>
      <w:b/>
      <w:bCs/>
      <w:sz w:val="28"/>
      <w:szCs w:val="28"/>
      <w:lang w:val="uk-UA"/>
    </w:rPr>
  </w:style>
  <w:style w:type="paragraph" w:styleId="a5">
    <w:name w:val="Subtitle"/>
    <w:basedOn w:val="a"/>
    <w:link w:val="a6"/>
    <w:uiPriority w:val="99"/>
    <w:qFormat/>
    <w:rsid w:val="00A274F5"/>
    <w:pPr>
      <w:autoSpaceDE w:val="0"/>
      <w:autoSpaceDN w:val="0"/>
      <w:jc w:val="center"/>
    </w:pPr>
    <w:rPr>
      <w:sz w:val="28"/>
      <w:szCs w:val="28"/>
      <w:lang w:val="uk-UA"/>
    </w:rPr>
  </w:style>
  <w:style w:type="character" w:customStyle="1" w:styleId="a4">
    <w:name w:val="Назва Знак"/>
    <w:basedOn w:val="a0"/>
    <w:link w:val="a3"/>
    <w:uiPriority w:val="99"/>
    <w:locked/>
    <w:rsid w:val="00A274F5"/>
    <w:rPr>
      <w:rFonts w:cs="Times New Roman"/>
      <w:b/>
      <w:bCs/>
      <w:sz w:val="28"/>
      <w:szCs w:val="28"/>
      <w:lang w:val="uk-UA" w:eastAsia="ru-RU" w:bidi="ar-SA"/>
    </w:rPr>
  </w:style>
  <w:style w:type="paragraph" w:styleId="a7">
    <w:name w:val="Body Text Indent"/>
    <w:basedOn w:val="a"/>
    <w:link w:val="a8"/>
    <w:uiPriority w:val="99"/>
    <w:rsid w:val="00A274F5"/>
    <w:pPr>
      <w:spacing w:after="120"/>
      <w:ind w:left="283"/>
    </w:pPr>
    <w:rPr>
      <w:lang w:val="uk-UA"/>
    </w:rPr>
  </w:style>
  <w:style w:type="character" w:customStyle="1" w:styleId="a6">
    <w:name w:val="Підзаголовок Знак"/>
    <w:basedOn w:val="a0"/>
    <w:link w:val="a5"/>
    <w:uiPriority w:val="99"/>
    <w:locked/>
    <w:rsid w:val="00A274F5"/>
    <w:rPr>
      <w:rFonts w:cs="Times New Roman"/>
      <w:sz w:val="28"/>
      <w:szCs w:val="28"/>
      <w:lang w:val="uk-UA" w:eastAsia="ru-RU" w:bidi="ar-SA"/>
    </w:rPr>
  </w:style>
  <w:style w:type="character" w:customStyle="1" w:styleId="a8">
    <w:name w:val="Основний текст з відступом Знак"/>
    <w:basedOn w:val="a0"/>
    <w:link w:val="a7"/>
    <w:uiPriority w:val="99"/>
    <w:semiHidden/>
    <w:locked/>
    <w:rsid w:val="00A274F5"/>
    <w:rPr>
      <w:rFonts w:cs="Times New Roman"/>
      <w:sz w:val="24"/>
      <w:szCs w:val="24"/>
      <w:lang w:val="uk-UA" w:eastAsia="ru-RU" w:bidi="ar-SA"/>
    </w:rPr>
  </w:style>
  <w:style w:type="paragraph" w:styleId="a9">
    <w:name w:val="Body Text"/>
    <w:basedOn w:val="a"/>
    <w:link w:val="aa"/>
    <w:uiPriority w:val="99"/>
    <w:rsid w:val="00A274F5"/>
    <w:pPr>
      <w:autoSpaceDE w:val="0"/>
      <w:autoSpaceDN w:val="0"/>
      <w:jc w:val="center"/>
    </w:pPr>
    <w:rPr>
      <w:sz w:val="20"/>
      <w:szCs w:val="20"/>
      <w:lang w:val="uk-UA"/>
    </w:rPr>
  </w:style>
  <w:style w:type="paragraph" w:styleId="ab">
    <w:name w:val="header"/>
    <w:basedOn w:val="a"/>
    <w:link w:val="ac"/>
    <w:uiPriority w:val="99"/>
    <w:rsid w:val="00A274F5"/>
    <w:pPr>
      <w:tabs>
        <w:tab w:val="center" w:pos="4677"/>
        <w:tab w:val="right" w:pos="9355"/>
      </w:tabs>
    </w:pPr>
  </w:style>
  <w:style w:type="character" w:customStyle="1" w:styleId="aa">
    <w:name w:val="Основний текст Знак"/>
    <w:basedOn w:val="a0"/>
    <w:link w:val="a9"/>
    <w:uiPriority w:val="99"/>
    <w:semiHidden/>
    <w:locked/>
    <w:rsid w:val="00A274F5"/>
    <w:rPr>
      <w:rFonts w:cs="Times New Roman"/>
      <w:lang w:val="uk-UA" w:eastAsia="ru-RU" w:bidi="ar-SA"/>
    </w:rPr>
  </w:style>
  <w:style w:type="character" w:styleId="ad">
    <w:name w:val="page number"/>
    <w:basedOn w:val="a0"/>
    <w:uiPriority w:val="99"/>
    <w:rsid w:val="00A274F5"/>
    <w:rPr>
      <w:rFonts w:cs="Times New Roman"/>
    </w:rPr>
  </w:style>
  <w:style w:type="character" w:customStyle="1" w:styleId="ac">
    <w:name w:val="Верхній колонтитул Знак"/>
    <w:basedOn w:val="a0"/>
    <w:link w:val="ab"/>
    <w:uiPriority w:val="99"/>
    <w:semiHidden/>
    <w:locked/>
    <w:rsid w:val="00A274F5"/>
    <w:rPr>
      <w:rFonts w:cs="Times New Roman"/>
      <w:sz w:val="24"/>
      <w:szCs w:val="24"/>
      <w:lang w:val="ru-RU" w:eastAsia="ru-RU" w:bidi="ar-SA"/>
    </w:rPr>
  </w:style>
  <w:style w:type="paragraph" w:styleId="HTML">
    <w:name w:val="HTML Preformatted"/>
    <w:basedOn w:val="a"/>
    <w:link w:val="HTML0"/>
    <w:uiPriority w:val="99"/>
    <w:rsid w:val="00A27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rPr>
  </w:style>
  <w:style w:type="character" w:customStyle="1" w:styleId="FontStyle11">
    <w:name w:val="Font Style11"/>
    <w:uiPriority w:val="99"/>
    <w:rsid w:val="00A274F5"/>
    <w:rPr>
      <w:rFonts w:ascii="Times New Roman" w:hAnsi="Times New Roman"/>
      <w:b/>
      <w:sz w:val="26"/>
    </w:rPr>
  </w:style>
  <w:style w:type="character" w:customStyle="1" w:styleId="HTML0">
    <w:name w:val="Стандартний HTML Знак"/>
    <w:basedOn w:val="a0"/>
    <w:link w:val="HTML"/>
    <w:uiPriority w:val="99"/>
    <w:locked/>
    <w:rsid w:val="00A274F5"/>
    <w:rPr>
      <w:rFonts w:ascii="Courier New" w:hAnsi="Courier New" w:cs="Courier New"/>
      <w:color w:val="000000"/>
      <w:sz w:val="21"/>
      <w:szCs w:val="21"/>
      <w:lang w:val="uk-UA" w:eastAsia="ru-RU" w:bidi="ar-SA"/>
    </w:rPr>
  </w:style>
  <w:style w:type="character" w:customStyle="1" w:styleId="FontStyle12">
    <w:name w:val="Font Style12"/>
    <w:uiPriority w:val="99"/>
    <w:rsid w:val="00A274F5"/>
    <w:rPr>
      <w:rFonts w:ascii="Times New Roman" w:hAnsi="Times New Roman"/>
      <w:sz w:val="26"/>
    </w:rPr>
  </w:style>
  <w:style w:type="character" w:customStyle="1" w:styleId="FontStyle13">
    <w:name w:val="Font Style13"/>
    <w:uiPriority w:val="99"/>
    <w:rsid w:val="00A274F5"/>
    <w:rPr>
      <w:rFonts w:ascii="Times New Roman" w:hAnsi="Times New Roman"/>
      <w:sz w:val="26"/>
    </w:rPr>
  </w:style>
  <w:style w:type="paragraph" w:customStyle="1" w:styleId="Style2">
    <w:name w:val="Style2"/>
    <w:basedOn w:val="a"/>
    <w:uiPriority w:val="99"/>
    <w:rsid w:val="00A274F5"/>
    <w:pPr>
      <w:widowControl w:val="0"/>
      <w:autoSpaceDE w:val="0"/>
      <w:autoSpaceDN w:val="0"/>
      <w:adjustRightInd w:val="0"/>
      <w:spacing w:line="326" w:lineRule="exact"/>
      <w:ind w:firstLine="718"/>
      <w:jc w:val="both"/>
    </w:pPr>
    <w:rPr>
      <w:lang w:val="uk-UA" w:eastAsia="uk-UA"/>
    </w:rPr>
  </w:style>
  <w:style w:type="paragraph" w:customStyle="1" w:styleId="ae">
    <w:name w:val="Знак"/>
    <w:basedOn w:val="a"/>
    <w:uiPriority w:val="99"/>
    <w:rsid w:val="00A274F5"/>
    <w:rPr>
      <w:rFonts w:ascii="Verdana" w:hAnsi="Verdana" w:cs="Verdana"/>
      <w:sz w:val="20"/>
      <w:szCs w:val="20"/>
      <w:lang w:val="en-US" w:eastAsia="en-US"/>
    </w:rPr>
  </w:style>
  <w:style w:type="character" w:customStyle="1" w:styleId="fontstyle01">
    <w:name w:val="fontstyle01"/>
    <w:basedOn w:val="a0"/>
    <w:rsid w:val="003916D3"/>
    <w:rPr>
      <w:rFonts w:ascii="Times New Roman" w:hAnsi="Times New Roman" w:cs="Times New Roman" w:hint="default"/>
      <w:b w:val="0"/>
      <w:bCs w:val="0"/>
      <w:i w:val="0"/>
      <w:iCs w:val="0"/>
      <w:color w:val="000000"/>
      <w:sz w:val="24"/>
      <w:szCs w:val="24"/>
    </w:rPr>
  </w:style>
  <w:style w:type="paragraph" w:styleId="af">
    <w:name w:val="List Paragraph"/>
    <w:basedOn w:val="a"/>
    <w:uiPriority w:val="34"/>
    <w:qFormat/>
    <w:rsid w:val="007159ED"/>
    <w:pPr>
      <w:ind w:left="720"/>
      <w:contextualSpacing/>
    </w:pPr>
  </w:style>
  <w:style w:type="paragraph" w:styleId="af0">
    <w:name w:val="Balloon Text"/>
    <w:basedOn w:val="a"/>
    <w:link w:val="af1"/>
    <w:uiPriority w:val="99"/>
    <w:semiHidden/>
    <w:unhideWhenUsed/>
    <w:rsid w:val="00CE011F"/>
    <w:rPr>
      <w:rFonts w:ascii="Segoe UI" w:hAnsi="Segoe UI" w:cs="Segoe UI"/>
      <w:sz w:val="18"/>
      <w:szCs w:val="18"/>
    </w:rPr>
  </w:style>
  <w:style w:type="character" w:customStyle="1" w:styleId="af1">
    <w:name w:val="Текст у виносці Знак"/>
    <w:basedOn w:val="a0"/>
    <w:link w:val="af0"/>
    <w:uiPriority w:val="99"/>
    <w:semiHidden/>
    <w:rsid w:val="00CE011F"/>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7255">
      <w:bodyDiv w:val="1"/>
      <w:marLeft w:val="0"/>
      <w:marRight w:val="0"/>
      <w:marTop w:val="0"/>
      <w:marBottom w:val="0"/>
      <w:divBdr>
        <w:top w:val="none" w:sz="0" w:space="0" w:color="auto"/>
        <w:left w:val="none" w:sz="0" w:space="0" w:color="auto"/>
        <w:bottom w:val="none" w:sz="0" w:space="0" w:color="auto"/>
        <w:right w:val="none" w:sz="0" w:space="0" w:color="auto"/>
      </w:divBdr>
    </w:div>
    <w:div w:id="92361259">
      <w:bodyDiv w:val="1"/>
      <w:marLeft w:val="0"/>
      <w:marRight w:val="0"/>
      <w:marTop w:val="0"/>
      <w:marBottom w:val="0"/>
      <w:divBdr>
        <w:top w:val="none" w:sz="0" w:space="0" w:color="auto"/>
        <w:left w:val="none" w:sz="0" w:space="0" w:color="auto"/>
        <w:bottom w:val="none" w:sz="0" w:space="0" w:color="auto"/>
        <w:right w:val="none" w:sz="0" w:space="0" w:color="auto"/>
      </w:divBdr>
    </w:div>
    <w:div w:id="122240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C0881-7CF6-4261-BDB7-A11482CF3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Pages>
  <Words>8478</Words>
  <Characters>4834</Characters>
  <Application>Microsoft Office Word</Application>
  <DocSecurity>0</DocSecurity>
  <Lines>40</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vt:lpstr>
      <vt:lpstr>ПОЯСНЮВАЛЬНА ЗАПИСКА</vt:lpstr>
    </vt:vector>
  </TitlesOfParts>
  <Company>RePack by SPecialiST</Company>
  <LinksUpToDate>false</LinksUpToDate>
  <CharactersWithSpaces>13286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subject/>
  <dc:creator>User</dc:creator>
  <cp:keywords/>
  <dc:description/>
  <cp:lastModifiedBy>Федієнко Олександр Павлович</cp:lastModifiedBy>
  <cp:revision>12</cp:revision>
  <cp:lastPrinted>2020-09-07T10:03:00Z</cp:lastPrinted>
  <dcterms:created xsi:type="dcterms:W3CDTF">2020-03-18T14:41:00Z</dcterms:created>
  <dcterms:modified xsi:type="dcterms:W3CDTF">2020-09-07T10:03:00Z</dcterms:modified>
</cp:coreProperties>
</file>