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C0049" w:rsidRPr="006A1DC8" w:rsidTr="002C1465">
        <w:tc>
          <w:tcPr>
            <w:tcW w:w="11957" w:type="dxa"/>
            <w:tcBorders>
              <w:top w:val="nil"/>
              <w:left w:val="nil"/>
              <w:bottom w:val="nil"/>
              <w:right w:val="nil"/>
            </w:tcBorders>
          </w:tcPr>
          <w:p w:rsidR="00CC0049" w:rsidRPr="00A5309B" w:rsidRDefault="00CC0049" w:rsidP="002C1465">
            <w:pPr>
              <w:pStyle w:val="a5"/>
              <w:rPr>
                <w:rFonts w:ascii="Times New Roman" w:hAnsi="Times New Roman"/>
                <w:color w:val="002060"/>
                <w:sz w:val="32"/>
                <w:szCs w:val="32"/>
                <w:lang w:val="ru-RU"/>
              </w:rPr>
            </w:pPr>
          </w:p>
          <w:p w:rsidR="00CC0049" w:rsidRPr="006A1DC8" w:rsidRDefault="00CC0049" w:rsidP="002C1465">
            <w:pPr>
              <w:pStyle w:val="a5"/>
              <w:rPr>
                <w:rFonts w:ascii="Times New Roman" w:hAnsi="Times New Roman"/>
                <w:color w:val="002060"/>
                <w:sz w:val="32"/>
                <w:szCs w:val="32"/>
              </w:rPr>
            </w:pPr>
          </w:p>
          <w:p w:rsidR="00CC0049" w:rsidRPr="006A1DC8" w:rsidRDefault="00CC0049" w:rsidP="002C1465">
            <w:pPr>
              <w:pStyle w:val="a5"/>
              <w:rPr>
                <w:rFonts w:ascii="Times New Roman" w:hAnsi="Times New Roman"/>
                <w:color w:val="002060"/>
                <w:sz w:val="32"/>
                <w:szCs w:val="32"/>
              </w:rPr>
            </w:pPr>
          </w:p>
          <w:p w:rsidR="00CC0049" w:rsidRPr="006A1DC8" w:rsidRDefault="00CC0049" w:rsidP="002C1465">
            <w:pPr>
              <w:pStyle w:val="a5"/>
              <w:spacing w:before="80"/>
              <w:jc w:val="center"/>
              <w:rPr>
                <w:rFonts w:ascii="Times New Roman" w:hAnsi="Times New Roman"/>
                <w:color w:val="1829A8"/>
                <w:spacing w:val="20"/>
                <w:sz w:val="34"/>
                <w:szCs w:val="34"/>
              </w:rPr>
            </w:pPr>
            <w:r w:rsidRPr="006A1DC8">
              <w:rPr>
                <w:noProof/>
                <w:spacing w:val="20"/>
                <w:sz w:val="34"/>
                <w:szCs w:val="34"/>
                <w:lang w:eastAsia="uk-UA"/>
              </w:rPr>
              <w:drawing>
                <wp:anchor distT="360045" distB="0" distL="114300" distR="114300" simplePos="0" relativeHeight="251659264" behindDoc="0" locked="0" layoutInCell="1" allowOverlap="1" wp14:anchorId="2D2B31FB" wp14:editId="6D292347">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6A1DC8">
              <w:rPr>
                <w:rFonts w:ascii="Times New Roman" w:hAnsi="Times New Roman"/>
                <w:color w:val="1829A8"/>
                <w:spacing w:val="20"/>
                <w:sz w:val="34"/>
                <w:szCs w:val="34"/>
              </w:rPr>
              <w:t>ВЕРХОВНА РАДА УКРАЇНИ</w:t>
            </w:r>
          </w:p>
          <w:p w:rsidR="00CC0049" w:rsidRPr="006A1DC8" w:rsidRDefault="00CC0049" w:rsidP="002C1465">
            <w:pPr>
              <w:pStyle w:val="a5"/>
              <w:spacing w:before="100"/>
              <w:jc w:val="center"/>
              <w:rPr>
                <w:rFonts w:ascii="Times New Roman" w:hAnsi="Times New Roman"/>
                <w:b/>
                <w:color w:val="1829A8"/>
                <w:spacing w:val="20"/>
                <w:sz w:val="24"/>
                <w:szCs w:val="24"/>
              </w:rPr>
            </w:pPr>
            <w:r w:rsidRPr="006A1DC8">
              <w:rPr>
                <w:rFonts w:ascii="Times New Roman" w:hAnsi="Times New Roman"/>
                <w:b/>
                <w:color w:val="1829A8"/>
                <w:spacing w:val="20"/>
                <w:sz w:val="24"/>
                <w:szCs w:val="24"/>
              </w:rPr>
              <w:t>Комітет з питань інтеграції України з Європейським Союзом</w:t>
            </w:r>
          </w:p>
          <w:p w:rsidR="00CC0049" w:rsidRPr="006A1DC8" w:rsidRDefault="00CC0049" w:rsidP="002C1465">
            <w:pPr>
              <w:pStyle w:val="a5"/>
              <w:spacing w:before="160" w:after="60"/>
              <w:jc w:val="center"/>
              <w:rPr>
                <w:color w:val="002060"/>
                <w:sz w:val="20"/>
                <w:szCs w:val="20"/>
              </w:rPr>
            </w:pPr>
            <w:r w:rsidRPr="006A1DC8">
              <w:rPr>
                <w:rFonts w:ascii="Times New Roman" w:hAnsi="Times New Roman"/>
                <w:color w:val="1829A8"/>
                <w:sz w:val="20"/>
                <w:szCs w:val="20"/>
              </w:rPr>
              <w:t xml:space="preserve">01008, м.Київ-8, вул. М. Грушевського, 5, </w:t>
            </w:r>
            <w:proofErr w:type="spellStart"/>
            <w:r w:rsidRPr="006A1DC8">
              <w:rPr>
                <w:rFonts w:ascii="Times New Roman" w:hAnsi="Times New Roman"/>
                <w:color w:val="1829A8"/>
                <w:sz w:val="20"/>
                <w:szCs w:val="20"/>
              </w:rPr>
              <w:t>тел</w:t>
            </w:r>
            <w:proofErr w:type="spellEnd"/>
            <w:r w:rsidRPr="006A1DC8">
              <w:rPr>
                <w:rFonts w:ascii="Times New Roman" w:hAnsi="Times New Roman"/>
                <w:color w:val="1829A8"/>
                <w:sz w:val="20"/>
                <w:szCs w:val="20"/>
              </w:rPr>
              <w:t>.: 255-34-42, факс: 255-33-13, e-</w:t>
            </w:r>
            <w:proofErr w:type="spellStart"/>
            <w:r w:rsidRPr="006A1DC8">
              <w:rPr>
                <w:rFonts w:ascii="Times New Roman" w:hAnsi="Times New Roman"/>
                <w:color w:val="1829A8"/>
                <w:sz w:val="20"/>
                <w:szCs w:val="20"/>
              </w:rPr>
              <w:t>mail</w:t>
            </w:r>
            <w:proofErr w:type="spellEnd"/>
            <w:r w:rsidRPr="006A1DC8">
              <w:rPr>
                <w:rFonts w:ascii="Times New Roman" w:hAnsi="Times New Roman"/>
                <w:color w:val="1829A8"/>
                <w:sz w:val="20"/>
                <w:szCs w:val="20"/>
              </w:rPr>
              <w:t>: comeuroint@v.rada.gov.ua</w:t>
            </w:r>
          </w:p>
        </w:tc>
      </w:tr>
    </w:tbl>
    <w:tbl>
      <w:tblPr>
        <w:tblStyle w:val="ab"/>
        <w:tblW w:w="11887" w:type="dxa"/>
        <w:tblInd w:w="-1134"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CC0049" w:rsidRPr="006A1DC8" w:rsidTr="002C1465">
        <w:tc>
          <w:tcPr>
            <w:tcW w:w="1087" w:type="dxa"/>
            <w:tcBorders>
              <w:top w:val="nil"/>
            </w:tcBorders>
          </w:tcPr>
          <w:p w:rsidR="00CC0049" w:rsidRPr="006A1DC8" w:rsidRDefault="00CC0049" w:rsidP="002C1465">
            <w:pPr>
              <w:pStyle w:val="a5"/>
              <w:rPr>
                <w:rFonts w:ascii="Times New Roman" w:hAnsi="Times New Roman"/>
                <w:color w:val="002060"/>
              </w:rPr>
            </w:pPr>
          </w:p>
        </w:tc>
        <w:tc>
          <w:tcPr>
            <w:tcW w:w="9714" w:type="dxa"/>
          </w:tcPr>
          <w:p w:rsidR="00CC0049" w:rsidRPr="006A1DC8" w:rsidRDefault="00CC0049" w:rsidP="002C1465">
            <w:pPr>
              <w:pStyle w:val="a5"/>
              <w:rPr>
                <w:rFonts w:ascii="Times New Roman" w:hAnsi="Times New Roman"/>
                <w:color w:val="002060"/>
              </w:rPr>
            </w:pPr>
          </w:p>
        </w:tc>
        <w:tc>
          <w:tcPr>
            <w:tcW w:w="1086" w:type="dxa"/>
            <w:tcBorders>
              <w:top w:val="nil"/>
            </w:tcBorders>
          </w:tcPr>
          <w:p w:rsidR="00CC0049" w:rsidRPr="006A1DC8" w:rsidRDefault="00CC0049" w:rsidP="002C1465">
            <w:pPr>
              <w:pStyle w:val="a5"/>
              <w:rPr>
                <w:rFonts w:ascii="Times New Roman" w:hAnsi="Times New Roman"/>
                <w:color w:val="002060"/>
              </w:rPr>
            </w:pPr>
          </w:p>
        </w:tc>
      </w:tr>
    </w:tbl>
    <w:p w:rsidR="008B0FBE" w:rsidRPr="003C247E" w:rsidRDefault="00F7668B" w:rsidP="002F417B">
      <w:pPr>
        <w:spacing w:after="0"/>
        <w:jc w:val="center"/>
        <w:rPr>
          <w:rFonts w:ascii="Times New Roman" w:hAnsi="Times New Roman" w:cs="Times New Roman"/>
          <w:b/>
          <w:sz w:val="28"/>
          <w:szCs w:val="28"/>
        </w:rPr>
      </w:pPr>
      <w:r w:rsidRPr="003C247E">
        <w:rPr>
          <w:rFonts w:ascii="Times New Roman" w:hAnsi="Times New Roman" w:cs="Times New Roman"/>
          <w:b/>
          <w:sz w:val="28"/>
          <w:szCs w:val="28"/>
        </w:rPr>
        <w:t>ВИСНОВОК</w:t>
      </w:r>
    </w:p>
    <w:p w:rsidR="007301F7" w:rsidRPr="003C247E" w:rsidRDefault="00F7668B" w:rsidP="002F417B">
      <w:pPr>
        <w:spacing w:after="0"/>
        <w:jc w:val="center"/>
        <w:rPr>
          <w:rFonts w:ascii="Times New Roman" w:hAnsi="Times New Roman" w:cs="Times New Roman"/>
          <w:b/>
          <w:sz w:val="28"/>
          <w:szCs w:val="28"/>
        </w:rPr>
      </w:pPr>
      <w:r w:rsidRPr="003C247E">
        <w:rPr>
          <w:rFonts w:ascii="Times New Roman" w:hAnsi="Times New Roman" w:cs="Times New Roman"/>
          <w:b/>
          <w:sz w:val="28"/>
          <w:szCs w:val="28"/>
        </w:rPr>
        <w:t xml:space="preserve">щодо проекту </w:t>
      </w:r>
      <w:r w:rsidR="007301F7" w:rsidRPr="003C247E">
        <w:rPr>
          <w:rFonts w:ascii="Times New Roman" w:hAnsi="Times New Roman" w:cs="Times New Roman"/>
          <w:b/>
          <w:sz w:val="28"/>
          <w:szCs w:val="28"/>
        </w:rPr>
        <w:t xml:space="preserve">Закону </w:t>
      </w:r>
      <w:r w:rsidR="007002EF" w:rsidRPr="003C247E">
        <w:rPr>
          <w:rFonts w:ascii="Times New Roman" w:hAnsi="Times New Roman" w:cs="Times New Roman"/>
          <w:b/>
          <w:sz w:val="28"/>
          <w:szCs w:val="28"/>
        </w:rPr>
        <w:t>про Національну комісію, що здійснює державне регулювання у сферах електронних комунікацій, радіочастотного спектру та надання послуг поштового зв'язку України</w:t>
      </w:r>
      <w:r w:rsidR="007301F7" w:rsidRPr="003C247E">
        <w:rPr>
          <w:rFonts w:ascii="Times New Roman" w:hAnsi="Times New Roman" w:cs="Times New Roman"/>
          <w:b/>
          <w:sz w:val="28"/>
          <w:szCs w:val="28"/>
        </w:rPr>
        <w:t xml:space="preserve"> </w:t>
      </w:r>
    </w:p>
    <w:p w:rsidR="00F7668B" w:rsidRPr="003C247E" w:rsidRDefault="00F7668B" w:rsidP="002F417B">
      <w:pPr>
        <w:spacing w:after="0"/>
        <w:jc w:val="center"/>
        <w:rPr>
          <w:rFonts w:ascii="Times New Roman" w:hAnsi="Times New Roman" w:cs="Times New Roman"/>
          <w:sz w:val="28"/>
          <w:szCs w:val="28"/>
        </w:rPr>
      </w:pPr>
      <w:r w:rsidRPr="003C247E">
        <w:rPr>
          <w:rFonts w:ascii="Times New Roman" w:hAnsi="Times New Roman" w:cs="Times New Roman"/>
          <w:sz w:val="28"/>
          <w:szCs w:val="28"/>
        </w:rPr>
        <w:t xml:space="preserve">(реєстр. № </w:t>
      </w:r>
      <w:r w:rsidR="007002EF" w:rsidRPr="003C247E">
        <w:rPr>
          <w:rFonts w:ascii="Times New Roman" w:hAnsi="Times New Roman" w:cs="Times New Roman"/>
          <w:sz w:val="28"/>
          <w:szCs w:val="28"/>
        </w:rPr>
        <w:t>4066</w:t>
      </w:r>
      <w:r w:rsidRPr="003C247E">
        <w:rPr>
          <w:rFonts w:ascii="Times New Roman" w:hAnsi="Times New Roman" w:cs="Times New Roman"/>
          <w:sz w:val="28"/>
          <w:szCs w:val="28"/>
        </w:rPr>
        <w:t xml:space="preserve"> від 0</w:t>
      </w:r>
      <w:r w:rsidR="007002EF" w:rsidRPr="003C247E">
        <w:rPr>
          <w:rFonts w:ascii="Times New Roman" w:hAnsi="Times New Roman" w:cs="Times New Roman"/>
          <w:sz w:val="28"/>
          <w:szCs w:val="28"/>
        </w:rPr>
        <w:t>7</w:t>
      </w:r>
      <w:r w:rsidRPr="003C247E">
        <w:rPr>
          <w:rFonts w:ascii="Times New Roman" w:hAnsi="Times New Roman" w:cs="Times New Roman"/>
          <w:sz w:val="28"/>
          <w:szCs w:val="28"/>
        </w:rPr>
        <w:t>.</w:t>
      </w:r>
      <w:r w:rsidR="007002EF" w:rsidRPr="003C247E">
        <w:rPr>
          <w:rFonts w:ascii="Times New Roman" w:hAnsi="Times New Roman" w:cs="Times New Roman"/>
          <w:sz w:val="28"/>
          <w:szCs w:val="28"/>
        </w:rPr>
        <w:t>09</w:t>
      </w:r>
      <w:r w:rsidR="00E118A3" w:rsidRPr="003C247E">
        <w:rPr>
          <w:rFonts w:ascii="Times New Roman" w:hAnsi="Times New Roman" w:cs="Times New Roman"/>
          <w:sz w:val="28"/>
          <w:szCs w:val="28"/>
        </w:rPr>
        <w:t>.</w:t>
      </w:r>
      <w:r w:rsidRPr="003C247E">
        <w:rPr>
          <w:rFonts w:ascii="Times New Roman" w:hAnsi="Times New Roman" w:cs="Times New Roman"/>
          <w:sz w:val="28"/>
          <w:szCs w:val="28"/>
        </w:rPr>
        <w:t>2020,</w:t>
      </w:r>
      <w:r w:rsidR="0024458A" w:rsidRPr="003C247E">
        <w:rPr>
          <w:rFonts w:ascii="Times New Roman" w:hAnsi="Times New Roman" w:cs="Times New Roman"/>
          <w:sz w:val="28"/>
          <w:szCs w:val="28"/>
        </w:rPr>
        <w:t xml:space="preserve"> </w:t>
      </w:r>
      <w:proofErr w:type="spellStart"/>
      <w:r w:rsidR="00925284" w:rsidRPr="003C247E">
        <w:rPr>
          <w:rFonts w:ascii="Times New Roman" w:hAnsi="Times New Roman" w:cs="Times New Roman"/>
          <w:sz w:val="28"/>
          <w:szCs w:val="28"/>
        </w:rPr>
        <w:t>н.д</w:t>
      </w:r>
      <w:proofErr w:type="spellEnd"/>
      <w:r w:rsidR="00925284" w:rsidRPr="003C247E">
        <w:rPr>
          <w:rFonts w:ascii="Times New Roman" w:hAnsi="Times New Roman" w:cs="Times New Roman"/>
          <w:sz w:val="28"/>
          <w:szCs w:val="28"/>
        </w:rPr>
        <w:t xml:space="preserve">. </w:t>
      </w:r>
      <w:r w:rsidR="008308E9" w:rsidRPr="003C247E">
        <w:rPr>
          <w:rFonts w:ascii="Times New Roman" w:hAnsi="Times New Roman" w:cs="Times New Roman"/>
          <w:sz w:val="28"/>
          <w:szCs w:val="28"/>
        </w:rPr>
        <w:t>Фе</w:t>
      </w:r>
      <w:r w:rsidR="00E118A3" w:rsidRPr="003C247E">
        <w:rPr>
          <w:rFonts w:ascii="Times New Roman" w:hAnsi="Times New Roman" w:cs="Times New Roman"/>
          <w:sz w:val="28"/>
          <w:szCs w:val="28"/>
        </w:rPr>
        <w:t xml:space="preserve">дієнко О.П., </w:t>
      </w:r>
      <w:r w:rsidR="007002EF" w:rsidRPr="003C247E">
        <w:rPr>
          <w:rFonts w:ascii="Times New Roman" w:hAnsi="Times New Roman" w:cs="Times New Roman"/>
          <w:sz w:val="28"/>
          <w:szCs w:val="28"/>
        </w:rPr>
        <w:t>Соха Р.В. та інші</w:t>
      </w:r>
      <w:r w:rsidRPr="003C247E">
        <w:rPr>
          <w:rFonts w:ascii="Times New Roman" w:hAnsi="Times New Roman" w:cs="Times New Roman"/>
          <w:sz w:val="28"/>
          <w:szCs w:val="28"/>
        </w:rPr>
        <w:t>)</w:t>
      </w:r>
    </w:p>
    <w:p w:rsidR="00B86E61" w:rsidRPr="003C247E" w:rsidRDefault="00B86E61" w:rsidP="002F417B">
      <w:pPr>
        <w:spacing w:after="0"/>
        <w:ind w:firstLine="567"/>
        <w:jc w:val="both"/>
        <w:rPr>
          <w:rFonts w:ascii="Times New Roman" w:hAnsi="Times New Roman" w:cs="Times New Roman"/>
          <w:b/>
          <w:sz w:val="28"/>
          <w:szCs w:val="28"/>
        </w:rPr>
      </w:pPr>
    </w:p>
    <w:p w:rsidR="00CC0049" w:rsidRPr="003C247E" w:rsidRDefault="00CC0049" w:rsidP="00F906AC">
      <w:pPr>
        <w:spacing w:after="0" w:line="264" w:lineRule="auto"/>
        <w:ind w:firstLine="567"/>
        <w:jc w:val="both"/>
        <w:rPr>
          <w:rFonts w:ascii="Times New Roman" w:hAnsi="Times New Roman" w:cs="Times New Roman"/>
          <w:sz w:val="28"/>
          <w:szCs w:val="28"/>
        </w:rPr>
      </w:pPr>
      <w:r w:rsidRPr="003C247E">
        <w:rPr>
          <w:rFonts w:ascii="Times New Roman" w:hAnsi="Times New Roman" w:cs="Times New Roman"/>
          <w:sz w:val="28"/>
          <w:szCs w:val="28"/>
        </w:rPr>
        <w:t xml:space="preserve">Комітет розглянув проект Закону на своєму засіданні </w:t>
      </w:r>
      <w:r w:rsidR="007002EF" w:rsidRPr="0035420B">
        <w:rPr>
          <w:rFonts w:ascii="Times New Roman" w:hAnsi="Times New Roman" w:cs="Times New Roman"/>
          <w:sz w:val="28"/>
          <w:szCs w:val="28"/>
        </w:rPr>
        <w:t>23</w:t>
      </w:r>
      <w:r w:rsidRPr="0035420B">
        <w:rPr>
          <w:rFonts w:ascii="Times New Roman" w:hAnsi="Times New Roman" w:cs="Times New Roman"/>
          <w:sz w:val="28"/>
          <w:szCs w:val="28"/>
        </w:rPr>
        <w:t xml:space="preserve"> </w:t>
      </w:r>
      <w:r w:rsidR="007301F7" w:rsidRPr="0035420B">
        <w:rPr>
          <w:rFonts w:ascii="Times New Roman" w:hAnsi="Times New Roman" w:cs="Times New Roman"/>
          <w:sz w:val="28"/>
          <w:szCs w:val="28"/>
        </w:rPr>
        <w:t>вересня</w:t>
      </w:r>
      <w:r w:rsidRPr="0035420B">
        <w:rPr>
          <w:rFonts w:ascii="Times New Roman" w:hAnsi="Times New Roman" w:cs="Times New Roman"/>
          <w:sz w:val="28"/>
          <w:szCs w:val="28"/>
        </w:rPr>
        <w:t xml:space="preserve"> 2020 року</w:t>
      </w:r>
      <w:r w:rsidR="00D30295" w:rsidRPr="0035420B">
        <w:rPr>
          <w:rFonts w:ascii="Times New Roman" w:hAnsi="Times New Roman" w:cs="Times New Roman"/>
          <w:sz w:val="28"/>
          <w:szCs w:val="28"/>
        </w:rPr>
        <w:t xml:space="preserve"> (протокол </w:t>
      </w:r>
      <w:r w:rsidR="00D30295" w:rsidRPr="001B1CFD">
        <w:rPr>
          <w:rFonts w:ascii="Times New Roman" w:hAnsi="Times New Roman" w:cs="Times New Roman"/>
          <w:sz w:val="28"/>
          <w:szCs w:val="28"/>
        </w:rPr>
        <w:t>№ 4</w:t>
      </w:r>
      <w:r w:rsidR="007002EF" w:rsidRPr="001B1CFD">
        <w:rPr>
          <w:rFonts w:ascii="Times New Roman" w:hAnsi="Times New Roman" w:cs="Times New Roman"/>
          <w:sz w:val="28"/>
          <w:szCs w:val="28"/>
        </w:rPr>
        <w:t>7</w:t>
      </w:r>
      <w:r w:rsidRPr="0035420B">
        <w:rPr>
          <w:rFonts w:ascii="Times New Roman" w:hAnsi="Times New Roman" w:cs="Times New Roman"/>
          <w:sz w:val="28"/>
          <w:szCs w:val="28"/>
        </w:rPr>
        <w:t>)</w:t>
      </w:r>
      <w:r w:rsidRPr="003C247E">
        <w:rPr>
          <w:rFonts w:ascii="Times New Roman" w:hAnsi="Times New Roman" w:cs="Times New Roman"/>
          <w:sz w:val="28"/>
          <w:szCs w:val="28"/>
        </w:rPr>
        <w:t xml:space="preserve"> відповідно до статті 93 Регламенту Верховної Ради України.</w:t>
      </w:r>
    </w:p>
    <w:p w:rsidR="00CC0049" w:rsidRPr="003C247E" w:rsidRDefault="00CC0049" w:rsidP="00F906AC">
      <w:pPr>
        <w:spacing w:after="0" w:line="264" w:lineRule="auto"/>
        <w:ind w:firstLine="567"/>
        <w:jc w:val="both"/>
        <w:rPr>
          <w:rFonts w:ascii="Times New Roman" w:hAnsi="Times New Roman" w:cs="Times New Roman"/>
          <w:sz w:val="28"/>
          <w:szCs w:val="28"/>
        </w:rPr>
      </w:pPr>
    </w:p>
    <w:p w:rsidR="00F7668B" w:rsidRPr="003C247E" w:rsidRDefault="00F7668B" w:rsidP="0011155A">
      <w:pPr>
        <w:spacing w:after="0" w:line="276" w:lineRule="auto"/>
        <w:ind w:firstLine="567"/>
        <w:jc w:val="both"/>
        <w:rPr>
          <w:rFonts w:ascii="Times New Roman" w:hAnsi="Times New Roman" w:cs="Times New Roman"/>
          <w:b/>
          <w:sz w:val="28"/>
          <w:szCs w:val="28"/>
        </w:rPr>
      </w:pPr>
      <w:r w:rsidRPr="003C247E">
        <w:rPr>
          <w:rFonts w:ascii="Times New Roman" w:hAnsi="Times New Roman" w:cs="Times New Roman"/>
          <w:b/>
          <w:sz w:val="28"/>
          <w:szCs w:val="28"/>
        </w:rPr>
        <w:t>1. Загальна характеристика законопроекту</w:t>
      </w:r>
    </w:p>
    <w:p w:rsidR="007002EF" w:rsidRPr="003C247E" w:rsidRDefault="00D30295" w:rsidP="007002EF">
      <w:pPr>
        <w:spacing w:after="0" w:line="276" w:lineRule="auto"/>
        <w:ind w:firstLine="567"/>
        <w:jc w:val="both"/>
        <w:rPr>
          <w:rFonts w:ascii="Times New Roman" w:hAnsi="Times New Roman" w:cs="Times New Roman"/>
          <w:sz w:val="28"/>
          <w:szCs w:val="28"/>
        </w:rPr>
      </w:pPr>
      <w:r w:rsidRPr="003C247E">
        <w:rPr>
          <w:rFonts w:ascii="Times New Roman" w:hAnsi="Times New Roman" w:cs="Times New Roman"/>
          <w:sz w:val="28"/>
          <w:szCs w:val="28"/>
        </w:rPr>
        <w:t xml:space="preserve">Метою законопроекту, як зазначено в пояснювальній записці до нього, </w:t>
      </w:r>
      <w:r w:rsidR="007301F7" w:rsidRPr="003C247E">
        <w:rPr>
          <w:rFonts w:ascii="Times New Roman" w:hAnsi="Times New Roman" w:cs="Times New Roman"/>
          <w:sz w:val="28"/>
          <w:szCs w:val="28"/>
        </w:rPr>
        <w:t xml:space="preserve">є </w:t>
      </w:r>
      <w:r w:rsidR="007002EF" w:rsidRPr="003C247E">
        <w:rPr>
          <w:rFonts w:ascii="Times New Roman" w:hAnsi="Times New Roman" w:cs="Times New Roman"/>
          <w:sz w:val="28"/>
          <w:szCs w:val="28"/>
        </w:rPr>
        <w:t xml:space="preserve"> виконання Україною зобов’язань як сторони Угоди про </w:t>
      </w:r>
      <w:r w:rsidR="00A5309B" w:rsidRPr="003C247E">
        <w:rPr>
          <w:rFonts w:ascii="Times New Roman" w:hAnsi="Times New Roman" w:cs="Times New Roman"/>
          <w:sz w:val="28"/>
          <w:szCs w:val="28"/>
        </w:rPr>
        <w:t>а</w:t>
      </w:r>
      <w:r w:rsidR="007002EF" w:rsidRPr="003C247E">
        <w:rPr>
          <w:rFonts w:ascii="Times New Roman" w:hAnsi="Times New Roman" w:cs="Times New Roman"/>
          <w:sz w:val="28"/>
          <w:szCs w:val="28"/>
        </w:rPr>
        <w:t xml:space="preserve">соціацію та учасниці зовнішньополітичної ініціативи «Східне Партнерство». </w:t>
      </w:r>
    </w:p>
    <w:p w:rsidR="00E95AFB" w:rsidRPr="003C247E" w:rsidRDefault="007002EF" w:rsidP="007002EF">
      <w:pPr>
        <w:spacing w:after="0" w:line="276" w:lineRule="auto"/>
        <w:ind w:firstLine="567"/>
        <w:jc w:val="both"/>
        <w:rPr>
          <w:rFonts w:ascii="Times New Roman" w:hAnsi="Times New Roman" w:cs="Times New Roman"/>
          <w:sz w:val="28"/>
          <w:szCs w:val="28"/>
        </w:rPr>
      </w:pPr>
      <w:r w:rsidRPr="003C247E">
        <w:rPr>
          <w:rFonts w:ascii="Times New Roman" w:hAnsi="Times New Roman" w:cs="Times New Roman"/>
          <w:sz w:val="28"/>
          <w:szCs w:val="28"/>
        </w:rPr>
        <w:t>Одним із завдань проекту Закону є створення передумов сталості  державного регулюючого впливу на діяльність суб’єктів природних монополій у сфері електронних комунікацій та поштового зв’язку через рішення Регулятора комунікаційних послуг, що дозволить уникнути  різких коливань в  умовах господарювання суб’єктів, діяльність яких регулюється цим Регулятором комунікаційних послуг, зробить таку діяльність прогнозованою на більш тривалий термін, а це є одним з основних важелів для ефективного функціонування електронних комунікацій як базової галузі цифрової економіки України, забезпечення безпеки та досягнення балансу інтересів споживачів, суб’єктів господарювання у сфері електронних комунікацій, поштового зв’язку і держави.</w:t>
      </w:r>
    </w:p>
    <w:p w:rsidR="007002EF" w:rsidRPr="003C247E" w:rsidRDefault="007002EF" w:rsidP="007002EF">
      <w:pPr>
        <w:spacing w:after="0" w:line="276" w:lineRule="auto"/>
        <w:ind w:firstLine="567"/>
        <w:jc w:val="both"/>
        <w:rPr>
          <w:rFonts w:ascii="Times New Roman" w:hAnsi="Times New Roman" w:cs="Times New Roman"/>
          <w:sz w:val="28"/>
          <w:szCs w:val="28"/>
        </w:rPr>
      </w:pPr>
      <w:r w:rsidRPr="003C247E">
        <w:rPr>
          <w:rFonts w:ascii="Times New Roman" w:hAnsi="Times New Roman" w:cs="Times New Roman"/>
          <w:sz w:val="28"/>
          <w:szCs w:val="28"/>
        </w:rPr>
        <w:t>Прийняття законопроекту дасть змогу розпочати процедури з приведення у відповідність до взятих зобов’язань України створення нового конституційного незалежного  Регулятора комунікаційних послуг, що відповідатимуть вимогам часу та євроінтеграційним процесам, з метою розвитку сфери електронних комунікацій та поштового зв’язку в Україні, створить кращі передумови для входу України в Єдиний європейський цифровий ринок, оскільки сфера електронних комунікацій є основою для розвитку інших цифрових послуг в Україні.</w:t>
      </w:r>
    </w:p>
    <w:p w:rsidR="007002EF" w:rsidRPr="003C247E" w:rsidRDefault="007002EF" w:rsidP="007002EF">
      <w:pPr>
        <w:spacing w:after="0" w:line="276" w:lineRule="auto"/>
        <w:ind w:firstLine="567"/>
        <w:jc w:val="both"/>
        <w:rPr>
          <w:rFonts w:ascii="Times New Roman" w:hAnsi="Times New Roman" w:cs="Times New Roman"/>
          <w:sz w:val="28"/>
          <w:szCs w:val="28"/>
        </w:rPr>
      </w:pPr>
    </w:p>
    <w:p w:rsidR="00F7668B" w:rsidRPr="003C247E" w:rsidRDefault="00F7668B" w:rsidP="0011155A">
      <w:pPr>
        <w:spacing w:after="0" w:line="276" w:lineRule="auto"/>
        <w:ind w:firstLine="567"/>
        <w:jc w:val="both"/>
        <w:rPr>
          <w:rFonts w:ascii="Times New Roman" w:hAnsi="Times New Roman" w:cs="Times New Roman"/>
          <w:b/>
          <w:sz w:val="28"/>
          <w:szCs w:val="28"/>
        </w:rPr>
      </w:pPr>
      <w:r w:rsidRPr="003C247E">
        <w:rPr>
          <w:rFonts w:ascii="Times New Roman" w:hAnsi="Times New Roman" w:cs="Times New Roman"/>
          <w:b/>
          <w:sz w:val="28"/>
          <w:szCs w:val="28"/>
        </w:rPr>
        <w:lastRenderedPageBreak/>
        <w:t>2. Належність законопроекту за предметом правового регулювання до сфери дії права Європейського Союзу</w:t>
      </w:r>
    </w:p>
    <w:p w:rsidR="000917A6" w:rsidRPr="003C247E" w:rsidRDefault="00E728B5" w:rsidP="00D26D36">
      <w:pPr>
        <w:spacing w:after="0" w:line="276" w:lineRule="auto"/>
        <w:ind w:firstLine="567"/>
        <w:jc w:val="both"/>
        <w:rPr>
          <w:rFonts w:ascii="Times New Roman" w:hAnsi="Times New Roman" w:cs="Times New Roman"/>
          <w:sz w:val="28"/>
          <w:szCs w:val="28"/>
        </w:rPr>
      </w:pPr>
      <w:r w:rsidRPr="003C247E">
        <w:rPr>
          <w:rFonts w:ascii="Times New Roman" w:hAnsi="Times New Roman" w:cs="Times New Roman"/>
          <w:sz w:val="28"/>
          <w:szCs w:val="28"/>
        </w:rPr>
        <w:t xml:space="preserve">Проект Закону за </w:t>
      </w:r>
      <w:r w:rsidR="0026285D" w:rsidRPr="003C247E">
        <w:rPr>
          <w:rFonts w:ascii="Times New Roman" w:hAnsi="Times New Roman" w:cs="Times New Roman"/>
          <w:sz w:val="28"/>
          <w:szCs w:val="28"/>
        </w:rPr>
        <w:t xml:space="preserve">предметом правового регулювання </w:t>
      </w:r>
      <w:r w:rsidRPr="003C247E">
        <w:rPr>
          <w:rFonts w:ascii="Times New Roman" w:hAnsi="Times New Roman" w:cs="Times New Roman"/>
          <w:sz w:val="28"/>
          <w:szCs w:val="28"/>
        </w:rPr>
        <w:t xml:space="preserve">охоплюється зобов’язаннями України передбаченими у рамках </w:t>
      </w:r>
      <w:r w:rsidR="0026285D" w:rsidRPr="003C247E">
        <w:rPr>
          <w:rFonts w:ascii="Times New Roman" w:hAnsi="Times New Roman" w:cs="Times New Roman"/>
          <w:sz w:val="28"/>
          <w:szCs w:val="28"/>
        </w:rPr>
        <w:t>Підрозділу 5 «</w:t>
      </w:r>
      <w:proofErr w:type="spellStart"/>
      <w:r w:rsidR="0026285D" w:rsidRPr="003C247E">
        <w:rPr>
          <w:rFonts w:ascii="Times New Roman" w:hAnsi="Times New Roman" w:cs="Times New Roman"/>
          <w:sz w:val="28"/>
          <w:szCs w:val="28"/>
        </w:rPr>
        <w:t>Тeлeкомунікаційні</w:t>
      </w:r>
      <w:proofErr w:type="spellEnd"/>
      <w:r w:rsidR="0026285D" w:rsidRPr="003C247E">
        <w:rPr>
          <w:rFonts w:ascii="Times New Roman" w:hAnsi="Times New Roman" w:cs="Times New Roman"/>
          <w:sz w:val="28"/>
          <w:szCs w:val="28"/>
        </w:rPr>
        <w:t xml:space="preserve"> послуги» </w:t>
      </w:r>
      <w:r w:rsidR="00D30295" w:rsidRPr="003C247E">
        <w:rPr>
          <w:rFonts w:ascii="Times New Roman" w:hAnsi="Times New Roman" w:cs="Times New Roman"/>
          <w:sz w:val="28"/>
          <w:szCs w:val="28"/>
        </w:rPr>
        <w:t xml:space="preserve">Глави </w:t>
      </w:r>
      <w:r w:rsidR="0026285D" w:rsidRPr="003C247E">
        <w:rPr>
          <w:rFonts w:ascii="Times New Roman" w:hAnsi="Times New Roman" w:cs="Times New Roman"/>
          <w:sz w:val="28"/>
          <w:szCs w:val="28"/>
        </w:rPr>
        <w:t>6</w:t>
      </w:r>
      <w:r w:rsidR="00D30295" w:rsidRPr="003C247E">
        <w:rPr>
          <w:rFonts w:ascii="Times New Roman" w:hAnsi="Times New Roman" w:cs="Times New Roman"/>
          <w:sz w:val="28"/>
          <w:szCs w:val="28"/>
        </w:rPr>
        <w:t xml:space="preserve"> «</w:t>
      </w:r>
      <w:r w:rsidR="0026285D" w:rsidRPr="003C247E">
        <w:rPr>
          <w:rFonts w:ascii="Times New Roman" w:hAnsi="Times New Roman" w:cs="Times New Roman"/>
          <w:sz w:val="28"/>
          <w:szCs w:val="28"/>
        </w:rPr>
        <w:t>Заснування підприємницької діяльності, торгівля послугами та електронна торгівля</w:t>
      </w:r>
      <w:r w:rsidR="00D30295" w:rsidRPr="003C247E">
        <w:rPr>
          <w:rFonts w:ascii="Times New Roman" w:hAnsi="Times New Roman" w:cs="Times New Roman"/>
          <w:sz w:val="28"/>
          <w:szCs w:val="28"/>
        </w:rPr>
        <w:t xml:space="preserve">» Розділу </w:t>
      </w:r>
      <w:r w:rsidRPr="003C247E">
        <w:rPr>
          <w:rFonts w:ascii="Times New Roman" w:hAnsi="Times New Roman" w:cs="Times New Roman"/>
          <w:sz w:val="28"/>
          <w:szCs w:val="28"/>
        </w:rPr>
        <w:t>І</w:t>
      </w:r>
      <w:r w:rsidR="00D30295" w:rsidRPr="003C247E">
        <w:rPr>
          <w:rFonts w:ascii="Times New Roman" w:hAnsi="Times New Roman" w:cs="Times New Roman"/>
          <w:sz w:val="28"/>
          <w:szCs w:val="28"/>
        </w:rPr>
        <w:t>V «</w:t>
      </w:r>
      <w:r w:rsidRPr="003C247E">
        <w:rPr>
          <w:rFonts w:ascii="Times New Roman" w:hAnsi="Times New Roman" w:cs="Times New Roman"/>
          <w:sz w:val="28"/>
          <w:szCs w:val="28"/>
        </w:rPr>
        <w:t>Торгівля і питання, пов’язані з торгівлею</w:t>
      </w:r>
      <w:r w:rsidR="00D30295" w:rsidRPr="003C247E">
        <w:rPr>
          <w:rFonts w:ascii="Times New Roman" w:hAnsi="Times New Roman" w:cs="Times New Roman"/>
          <w:sz w:val="28"/>
          <w:szCs w:val="28"/>
        </w:rPr>
        <w:t>»</w:t>
      </w:r>
      <w:r w:rsidR="00D26D36" w:rsidRPr="003C247E">
        <w:rPr>
          <w:rFonts w:ascii="Times New Roman" w:hAnsi="Times New Roman" w:cs="Times New Roman"/>
          <w:sz w:val="28"/>
          <w:szCs w:val="28"/>
        </w:rPr>
        <w:t xml:space="preserve"> та Глави 14 «Інформаційне суспільство» Розділу V «Економічне та галузеве співробітництво»</w:t>
      </w:r>
      <w:r w:rsidR="0024458A" w:rsidRPr="003C247E">
        <w:rPr>
          <w:rFonts w:ascii="Times New Roman" w:hAnsi="Times New Roman" w:cs="Times New Roman"/>
          <w:sz w:val="28"/>
          <w:szCs w:val="28"/>
        </w:rPr>
        <w:t xml:space="preserve">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w:t>
      </w:r>
      <w:r w:rsidR="000917A6" w:rsidRPr="003C247E">
        <w:rPr>
          <w:rFonts w:ascii="Times New Roman" w:hAnsi="Times New Roman" w:cs="Times New Roman"/>
          <w:sz w:val="28"/>
          <w:szCs w:val="28"/>
        </w:rPr>
        <w:t>.</w:t>
      </w:r>
    </w:p>
    <w:p w:rsidR="00E728B5" w:rsidRPr="003C247E" w:rsidRDefault="00E728B5" w:rsidP="00E728B5">
      <w:pPr>
        <w:spacing w:after="0" w:line="276" w:lineRule="auto"/>
        <w:jc w:val="both"/>
        <w:rPr>
          <w:rFonts w:ascii="Times New Roman" w:hAnsi="Times New Roman" w:cs="Times New Roman"/>
          <w:sz w:val="28"/>
          <w:szCs w:val="28"/>
        </w:rPr>
      </w:pPr>
    </w:p>
    <w:p w:rsidR="008D4F02" w:rsidRPr="003C247E" w:rsidRDefault="008D4F02" w:rsidP="0011155A">
      <w:pPr>
        <w:spacing w:after="0" w:line="276" w:lineRule="auto"/>
        <w:ind w:firstLine="567"/>
        <w:jc w:val="both"/>
        <w:rPr>
          <w:rFonts w:ascii="Times New Roman" w:hAnsi="Times New Roman" w:cs="Times New Roman"/>
          <w:b/>
          <w:sz w:val="28"/>
          <w:szCs w:val="28"/>
        </w:rPr>
      </w:pPr>
      <w:r w:rsidRPr="003C247E">
        <w:rPr>
          <w:rFonts w:ascii="Times New Roman" w:hAnsi="Times New Roman" w:cs="Times New Roman"/>
          <w:b/>
          <w:sz w:val="28"/>
          <w:szCs w:val="28"/>
        </w:rPr>
        <w:t>3. Відповідність законопроекту праву ЄС</w:t>
      </w:r>
    </w:p>
    <w:p w:rsidR="00C64F13" w:rsidRPr="003C247E" w:rsidRDefault="00C64F13" w:rsidP="00AA7BCB">
      <w:pPr>
        <w:snapToGrid w:val="0"/>
        <w:spacing w:after="0" w:line="276" w:lineRule="auto"/>
        <w:ind w:firstLine="567"/>
        <w:jc w:val="both"/>
        <w:rPr>
          <w:rFonts w:ascii="Times New Roman" w:eastAsia="Times New Roman" w:hAnsi="Times New Roman" w:cs="Times New Roman"/>
          <w:sz w:val="28"/>
          <w:szCs w:val="28"/>
          <w:lang w:eastAsia="ru-RU"/>
        </w:rPr>
      </w:pPr>
      <w:r w:rsidRPr="003C247E">
        <w:rPr>
          <w:rFonts w:ascii="Times New Roman" w:eastAsia="Times New Roman" w:hAnsi="Times New Roman" w:cs="Times New Roman"/>
          <w:sz w:val="28"/>
          <w:szCs w:val="28"/>
          <w:lang w:eastAsia="ru-RU"/>
        </w:rPr>
        <w:t xml:space="preserve">За результатами правового аналізу проекту Закону щодо його відповідності </w:t>
      </w:r>
      <w:proofErr w:type="spellStart"/>
      <w:r w:rsidRPr="003C247E">
        <w:rPr>
          <w:rFonts w:ascii="Times New Roman" w:eastAsia="Times New Roman" w:hAnsi="Times New Roman" w:cs="Times New Roman"/>
          <w:sz w:val="28"/>
          <w:szCs w:val="28"/>
          <w:lang w:eastAsia="ru-RU"/>
        </w:rPr>
        <w:t>aquis</w:t>
      </w:r>
      <w:proofErr w:type="spellEnd"/>
      <w:r w:rsidRPr="003C247E">
        <w:rPr>
          <w:rFonts w:ascii="Times New Roman" w:eastAsia="Times New Roman" w:hAnsi="Times New Roman" w:cs="Times New Roman"/>
          <w:sz w:val="28"/>
          <w:szCs w:val="28"/>
          <w:lang w:eastAsia="ru-RU"/>
        </w:rPr>
        <w:t xml:space="preserve"> ЄС та Угоді про асоціацію слід зазначити таке.</w:t>
      </w:r>
    </w:p>
    <w:p w:rsidR="00093830" w:rsidRPr="003C247E" w:rsidRDefault="0026285D"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 xml:space="preserve">Відповідно до </w:t>
      </w:r>
      <w:r w:rsidRPr="003C247E">
        <w:rPr>
          <w:rFonts w:ascii="Times New Roman" w:hAnsi="Times New Roman" w:cs="Times New Roman"/>
          <w:i/>
          <w:sz w:val="28"/>
          <w:szCs w:val="28"/>
        </w:rPr>
        <w:t>статті 116 Угоди про асоціацію,</w:t>
      </w:r>
      <w:r w:rsidRPr="003C247E">
        <w:rPr>
          <w:rFonts w:ascii="Times New Roman" w:hAnsi="Times New Roman" w:cs="Times New Roman"/>
          <w:sz w:val="28"/>
          <w:szCs w:val="28"/>
        </w:rPr>
        <w:t xml:space="preserve"> Сторони зобов’язуються забезпечити </w:t>
      </w:r>
      <w:r w:rsidRPr="003C247E">
        <w:rPr>
          <w:rFonts w:ascii="Times New Roman" w:hAnsi="Times New Roman" w:cs="Times New Roman"/>
          <w:sz w:val="28"/>
          <w:szCs w:val="28"/>
          <w:u w:val="single"/>
        </w:rPr>
        <w:t>юридичну відокремленість</w:t>
      </w:r>
      <w:r w:rsidRPr="003C247E">
        <w:rPr>
          <w:rFonts w:ascii="Times New Roman" w:hAnsi="Times New Roman" w:cs="Times New Roman"/>
          <w:sz w:val="28"/>
          <w:szCs w:val="28"/>
        </w:rPr>
        <w:t xml:space="preserve"> регуляторних органів у сфері електронних комунікаційних послуг та їх </w:t>
      </w:r>
      <w:r w:rsidRPr="003C247E">
        <w:rPr>
          <w:rFonts w:ascii="Times New Roman" w:hAnsi="Times New Roman" w:cs="Times New Roman"/>
          <w:sz w:val="28"/>
          <w:szCs w:val="28"/>
          <w:u w:val="single"/>
        </w:rPr>
        <w:t>функціональну незалежність</w:t>
      </w:r>
      <w:r w:rsidRPr="003C247E">
        <w:rPr>
          <w:rFonts w:ascii="Times New Roman" w:hAnsi="Times New Roman" w:cs="Times New Roman"/>
          <w:sz w:val="28"/>
          <w:szCs w:val="28"/>
        </w:rPr>
        <w:t xml:space="preserve"> від будь-якого постачальника послуг, що надає електронні комунікаційні послуги. Якщо певна Сторона утримує право власності або контролює постачальника послуг, який надає публічні комунікаційні мережі або послуги, то така Сторона зобов’язана забезпечити дієве структурне відокремлення регуляторної функції від діяльності, пов’язаної з правом власності або здійсненням контролю.</w:t>
      </w:r>
    </w:p>
    <w:p w:rsidR="0026285D" w:rsidRPr="003C247E" w:rsidRDefault="0026285D"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 xml:space="preserve">Згідно зі </w:t>
      </w:r>
      <w:r w:rsidRPr="003C247E">
        <w:rPr>
          <w:rFonts w:ascii="Times New Roman" w:hAnsi="Times New Roman" w:cs="Times New Roman"/>
          <w:i/>
          <w:sz w:val="28"/>
          <w:szCs w:val="28"/>
        </w:rPr>
        <w:t>статтею 124 Угоди про асоціацію</w:t>
      </w:r>
      <w:r w:rsidRPr="003C247E">
        <w:rPr>
          <w:rFonts w:ascii="Times New Roman" w:hAnsi="Times New Roman" w:cs="Times New Roman"/>
          <w:sz w:val="28"/>
          <w:szCs w:val="28"/>
        </w:rPr>
        <w:t xml:space="preserve">, Сторони визнають важливість наближення чинного законодавства України до права Європейського Союзу. Україна забезпечує поступове приведення своїх чинних законів та майбутнього законодавства у відповідність до </w:t>
      </w:r>
      <w:proofErr w:type="spellStart"/>
      <w:r w:rsidRPr="003C247E">
        <w:rPr>
          <w:rFonts w:ascii="Times New Roman" w:hAnsi="Times New Roman" w:cs="Times New Roman"/>
          <w:sz w:val="28"/>
          <w:szCs w:val="28"/>
        </w:rPr>
        <w:t>acquis</w:t>
      </w:r>
      <w:proofErr w:type="spellEnd"/>
      <w:r w:rsidRPr="003C247E">
        <w:rPr>
          <w:rFonts w:ascii="Times New Roman" w:hAnsi="Times New Roman" w:cs="Times New Roman"/>
          <w:sz w:val="28"/>
          <w:szCs w:val="28"/>
        </w:rPr>
        <w:t xml:space="preserve"> ЄС. Таке наближення розпочинається з дати підписання цієї Угоди та поступово поширюватиметься на всі елементи </w:t>
      </w:r>
      <w:proofErr w:type="spellStart"/>
      <w:r w:rsidRPr="003C247E">
        <w:rPr>
          <w:rFonts w:ascii="Times New Roman" w:hAnsi="Times New Roman" w:cs="Times New Roman"/>
          <w:sz w:val="28"/>
          <w:szCs w:val="28"/>
        </w:rPr>
        <w:t>acquis</w:t>
      </w:r>
      <w:proofErr w:type="spellEnd"/>
      <w:r w:rsidRPr="003C247E">
        <w:rPr>
          <w:rFonts w:ascii="Times New Roman" w:hAnsi="Times New Roman" w:cs="Times New Roman"/>
          <w:sz w:val="28"/>
          <w:szCs w:val="28"/>
        </w:rPr>
        <w:t xml:space="preserve"> ЄС, зазначені у </w:t>
      </w:r>
      <w:r w:rsidRPr="003C247E">
        <w:rPr>
          <w:rFonts w:ascii="Times New Roman" w:hAnsi="Times New Roman" w:cs="Times New Roman"/>
          <w:i/>
          <w:sz w:val="28"/>
          <w:szCs w:val="28"/>
        </w:rPr>
        <w:t>Додатку XVII</w:t>
      </w:r>
      <w:r w:rsidRPr="003C247E">
        <w:rPr>
          <w:rFonts w:ascii="Times New Roman" w:hAnsi="Times New Roman" w:cs="Times New Roman"/>
          <w:sz w:val="28"/>
          <w:szCs w:val="28"/>
        </w:rPr>
        <w:t xml:space="preserve"> до цієї Угоди.</w:t>
      </w:r>
    </w:p>
    <w:p w:rsidR="00A5309B" w:rsidRPr="003C247E" w:rsidRDefault="00A5309B"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Сторони сприяють поступовому наближенню до права i нормативно-правової бази ЄС у галузі регулювання інформаційного суспільства і електронних комунікацій.</w:t>
      </w:r>
    </w:p>
    <w:p w:rsidR="00A5309B" w:rsidRPr="003C247E" w:rsidRDefault="00A5309B"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 xml:space="preserve">Відповідні положення, а також </w:t>
      </w:r>
      <w:proofErr w:type="spellStart"/>
      <w:r w:rsidRPr="003C247E">
        <w:rPr>
          <w:rFonts w:ascii="Times New Roman" w:hAnsi="Times New Roman" w:cs="Times New Roman"/>
          <w:sz w:val="28"/>
          <w:szCs w:val="28"/>
        </w:rPr>
        <w:t>acquis</w:t>
      </w:r>
      <w:proofErr w:type="spellEnd"/>
      <w:r w:rsidRPr="003C247E">
        <w:rPr>
          <w:rFonts w:ascii="Times New Roman" w:hAnsi="Times New Roman" w:cs="Times New Roman"/>
          <w:sz w:val="28"/>
          <w:szCs w:val="28"/>
        </w:rPr>
        <w:t xml:space="preserve"> ЄС щодо інформаційного суспільства і електронних комунікацій, визначені у </w:t>
      </w:r>
      <w:r w:rsidRPr="003C247E">
        <w:rPr>
          <w:rFonts w:ascii="Times New Roman" w:hAnsi="Times New Roman" w:cs="Times New Roman"/>
          <w:i/>
          <w:sz w:val="28"/>
          <w:szCs w:val="28"/>
        </w:rPr>
        <w:t>Доповненні XVII-3</w:t>
      </w:r>
      <w:r w:rsidRPr="003C247E">
        <w:rPr>
          <w:rFonts w:ascii="Times New Roman" w:hAnsi="Times New Roman" w:cs="Times New Roman"/>
          <w:sz w:val="28"/>
          <w:szCs w:val="28"/>
        </w:rPr>
        <w:t xml:space="preserve"> («Правила, що застосовуються до телекомунікаційних послуг») до Глави 6 («Заснування підприємств, торгівля послугами та електронна торгівля») Розділу IV («Торгівля і питання, пов’язані з торгівлею») цієї Угоди  (</w:t>
      </w:r>
      <w:r w:rsidRPr="003C247E">
        <w:rPr>
          <w:rFonts w:ascii="Times New Roman" w:hAnsi="Times New Roman" w:cs="Times New Roman"/>
          <w:i/>
          <w:sz w:val="28"/>
          <w:szCs w:val="28"/>
        </w:rPr>
        <w:t>стаття 394 Угоди про асоціацію</w:t>
      </w:r>
      <w:r w:rsidRPr="003C247E">
        <w:rPr>
          <w:rFonts w:ascii="Times New Roman" w:hAnsi="Times New Roman" w:cs="Times New Roman"/>
          <w:sz w:val="28"/>
          <w:szCs w:val="28"/>
        </w:rPr>
        <w:t>).</w:t>
      </w:r>
    </w:p>
    <w:p w:rsidR="002E606E" w:rsidRPr="003C247E" w:rsidRDefault="002E606E" w:rsidP="00AA7BCB">
      <w:pPr>
        <w:spacing w:after="0" w:line="276" w:lineRule="auto"/>
        <w:ind w:firstLine="567"/>
        <w:jc w:val="both"/>
        <w:outlineLvl w:val="2"/>
        <w:rPr>
          <w:rFonts w:ascii="Times New Roman" w:hAnsi="Times New Roman" w:cs="Times New Roman"/>
          <w:i/>
          <w:sz w:val="28"/>
          <w:szCs w:val="28"/>
        </w:rPr>
      </w:pPr>
      <w:r w:rsidRPr="003C247E">
        <w:rPr>
          <w:rFonts w:ascii="Times New Roman" w:hAnsi="Times New Roman" w:cs="Times New Roman"/>
          <w:sz w:val="28"/>
          <w:szCs w:val="28"/>
        </w:rPr>
        <w:t xml:space="preserve">Правила, що застосовуються до телекомунікаційних послуг, що зазначені в </w:t>
      </w:r>
      <w:r w:rsidRPr="003C247E">
        <w:rPr>
          <w:rFonts w:ascii="Times New Roman" w:hAnsi="Times New Roman" w:cs="Times New Roman"/>
          <w:i/>
          <w:sz w:val="28"/>
          <w:szCs w:val="28"/>
        </w:rPr>
        <w:t xml:space="preserve">Доповненні XVII-3, </w:t>
      </w:r>
      <w:r w:rsidRPr="003C247E">
        <w:rPr>
          <w:rFonts w:ascii="Times New Roman" w:hAnsi="Times New Roman" w:cs="Times New Roman"/>
          <w:sz w:val="28"/>
          <w:szCs w:val="28"/>
        </w:rPr>
        <w:t>передбачають наступне.</w:t>
      </w:r>
    </w:p>
    <w:p w:rsidR="002E606E" w:rsidRPr="003C247E" w:rsidRDefault="002E606E"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lastRenderedPageBreak/>
        <w:t xml:space="preserve">Положення актів Європейського Союзу застосовуються відповідно до положень горизонтальної адаптації, визначених у Доповненні XVII-1 до цієї Угоди, якщо  інше  не  передбачене.  Де  це  необхідно, спеціальні  терміни  адаптації  для кожного індивідуального </w:t>
      </w:r>
      <w:proofErr w:type="spellStart"/>
      <w:r w:rsidRPr="003C247E">
        <w:rPr>
          <w:rFonts w:ascii="Times New Roman" w:hAnsi="Times New Roman" w:cs="Times New Roman"/>
          <w:sz w:val="28"/>
          <w:szCs w:val="28"/>
        </w:rPr>
        <w:t>акта</w:t>
      </w:r>
      <w:proofErr w:type="spellEnd"/>
      <w:r w:rsidRPr="003C247E">
        <w:rPr>
          <w:rFonts w:ascii="Times New Roman" w:hAnsi="Times New Roman" w:cs="Times New Roman"/>
          <w:sz w:val="28"/>
          <w:szCs w:val="28"/>
        </w:rPr>
        <w:t xml:space="preserve"> викладені нижче. </w:t>
      </w:r>
    </w:p>
    <w:p w:rsidR="002E606E" w:rsidRPr="0035420B" w:rsidRDefault="002E606E" w:rsidP="00AA7BCB">
      <w:pPr>
        <w:spacing w:after="0" w:line="276" w:lineRule="auto"/>
        <w:ind w:firstLine="567"/>
        <w:jc w:val="both"/>
        <w:outlineLvl w:val="2"/>
        <w:rPr>
          <w:rFonts w:ascii="Tahoma" w:hAnsi="Tahoma" w:cs="Tahoma"/>
          <w:sz w:val="28"/>
          <w:szCs w:val="28"/>
          <w:u w:val="single"/>
        </w:rPr>
      </w:pPr>
      <w:r w:rsidRPr="0035420B">
        <w:rPr>
          <w:rFonts w:ascii="Times New Roman" w:hAnsi="Times New Roman" w:cs="Times New Roman"/>
          <w:sz w:val="28"/>
          <w:szCs w:val="28"/>
          <w:u w:val="single"/>
        </w:rPr>
        <w:t>Застосовні положення, які повинні бути прийняті:</w:t>
      </w:r>
      <w:r w:rsidRPr="0035420B">
        <w:rPr>
          <w:rFonts w:ascii="Tahoma" w:hAnsi="Tahoma" w:cs="Tahoma"/>
          <w:sz w:val="28"/>
          <w:szCs w:val="28"/>
          <w:u w:val="single"/>
        </w:rPr>
        <w:t>﻿</w:t>
      </w:r>
    </w:p>
    <w:p w:rsidR="002E606E" w:rsidRPr="003C247E" w:rsidRDefault="002E606E"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 xml:space="preserve">Директива 2002/21/ЄС Європейського Парламенту та Ради від 7 березня 2002 року про єдину  нормативно-правову  базу  для  електронних  комунікаційних  мереж  та </w:t>
      </w:r>
      <w:r w:rsidRPr="003C247E">
        <w:rPr>
          <w:rFonts w:ascii="Tahoma" w:hAnsi="Tahoma" w:cs="Tahoma"/>
          <w:sz w:val="28"/>
          <w:szCs w:val="28"/>
        </w:rPr>
        <w:t>﻿</w:t>
      </w:r>
      <w:r w:rsidRPr="003C247E">
        <w:rPr>
          <w:rFonts w:ascii="Times New Roman" w:hAnsi="Times New Roman" w:cs="Times New Roman"/>
          <w:sz w:val="28"/>
          <w:szCs w:val="28"/>
        </w:rPr>
        <w:t>послуг  (Рамкова  Директива)  із  змінами,  внесеними Директивою 2009/140/ЄС Європейського Парламенту та Ради від 25 листопада 2009 року</w:t>
      </w:r>
      <w:r w:rsidR="00131AB6" w:rsidRPr="003C247E">
        <w:rPr>
          <w:rFonts w:ascii="Times New Roman" w:hAnsi="Times New Roman" w:cs="Times New Roman"/>
          <w:sz w:val="28"/>
          <w:szCs w:val="28"/>
        </w:rPr>
        <w:t xml:space="preserve"> </w:t>
      </w:r>
      <w:r w:rsidR="00D62C1A" w:rsidRPr="003C247E">
        <w:rPr>
          <w:rFonts w:ascii="Times New Roman" w:hAnsi="Times New Roman" w:cs="Times New Roman"/>
          <w:sz w:val="28"/>
          <w:szCs w:val="28"/>
        </w:rPr>
        <w:t xml:space="preserve">(OJ L 108, 24.4.2002, p. 33–50) </w:t>
      </w:r>
      <w:r w:rsidR="00131AB6" w:rsidRPr="003C247E">
        <w:rPr>
          <w:rFonts w:ascii="Times New Roman" w:hAnsi="Times New Roman" w:cs="Times New Roman"/>
          <w:sz w:val="28"/>
          <w:szCs w:val="28"/>
        </w:rPr>
        <w:t>(далі – Директива 2002/21)</w:t>
      </w:r>
      <w:r w:rsidRPr="003C247E">
        <w:rPr>
          <w:rFonts w:ascii="Times New Roman" w:hAnsi="Times New Roman" w:cs="Times New Roman"/>
          <w:sz w:val="28"/>
          <w:szCs w:val="28"/>
        </w:rPr>
        <w:t xml:space="preserve">, </w:t>
      </w:r>
      <w:r w:rsidRPr="003C247E">
        <w:rPr>
          <w:rFonts w:ascii="Times New Roman" w:hAnsi="Times New Roman" w:cs="Times New Roman"/>
          <w:sz w:val="28"/>
          <w:szCs w:val="28"/>
          <w:u w:val="single"/>
        </w:rPr>
        <w:t>в частині</w:t>
      </w:r>
      <w:r w:rsidRPr="003C247E">
        <w:rPr>
          <w:rFonts w:ascii="Times New Roman" w:hAnsi="Times New Roman" w:cs="Times New Roman"/>
          <w:sz w:val="28"/>
          <w:szCs w:val="28"/>
        </w:rPr>
        <w:t>:</w:t>
      </w:r>
    </w:p>
    <w:p w:rsidR="002E606E" w:rsidRPr="003C247E" w:rsidRDefault="00D0564A"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 </w:t>
      </w:r>
      <w:r w:rsidR="002E606E" w:rsidRPr="003C247E">
        <w:rPr>
          <w:rFonts w:ascii="Times New Roman" w:hAnsi="Times New Roman" w:cs="Times New Roman"/>
          <w:sz w:val="28"/>
          <w:szCs w:val="28"/>
        </w:rPr>
        <w:t xml:space="preserve">визначення відповідних  ринків  товарів  та  послуг  у секторі  електронних комунікацій, на які підпадають під процедури </w:t>
      </w:r>
      <w:proofErr w:type="spellStart"/>
      <w:r w:rsidR="002E606E" w:rsidRPr="003C247E">
        <w:rPr>
          <w:rFonts w:ascii="Times New Roman" w:hAnsi="Times New Roman" w:cs="Times New Roman"/>
          <w:sz w:val="28"/>
          <w:szCs w:val="28"/>
        </w:rPr>
        <w:t>ex-ante</w:t>
      </w:r>
      <w:proofErr w:type="spellEnd"/>
      <w:r w:rsidR="002E606E" w:rsidRPr="003C247E">
        <w:rPr>
          <w:rFonts w:ascii="Times New Roman" w:hAnsi="Times New Roman" w:cs="Times New Roman"/>
          <w:sz w:val="28"/>
          <w:szCs w:val="28"/>
        </w:rPr>
        <w:t>, та проаналізувати ці ринки з метою визначення, чи існують на них значний ринковий вплив (SMP);</w:t>
      </w:r>
    </w:p>
    <w:p w:rsidR="002E606E" w:rsidRPr="003C247E" w:rsidRDefault="00D0564A"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 </w:t>
      </w:r>
      <w:r w:rsidR="002E606E" w:rsidRPr="003C247E">
        <w:rPr>
          <w:rFonts w:ascii="Times New Roman" w:hAnsi="Times New Roman" w:cs="Times New Roman"/>
          <w:sz w:val="28"/>
          <w:szCs w:val="28"/>
        </w:rPr>
        <w:t xml:space="preserve">зміцнення незалежності та адміністративної спроможності національного регуляторного </w:t>
      </w:r>
      <w:proofErr w:type="spellStart"/>
      <w:r w:rsidR="002E606E" w:rsidRPr="003C247E">
        <w:rPr>
          <w:rFonts w:ascii="Times New Roman" w:hAnsi="Times New Roman" w:cs="Times New Roman"/>
          <w:sz w:val="28"/>
          <w:szCs w:val="28"/>
        </w:rPr>
        <w:t>органа</w:t>
      </w:r>
      <w:proofErr w:type="spellEnd"/>
      <w:r w:rsidR="002E606E" w:rsidRPr="003C247E">
        <w:rPr>
          <w:rFonts w:ascii="Times New Roman" w:hAnsi="Times New Roman" w:cs="Times New Roman"/>
          <w:sz w:val="28"/>
          <w:szCs w:val="28"/>
        </w:rPr>
        <w:t xml:space="preserve"> в секторі електронних комунікацій (стаття 3.2 цієї Директиви);</w:t>
      </w:r>
    </w:p>
    <w:p w:rsidR="002E606E" w:rsidRPr="003C247E" w:rsidRDefault="00D0564A"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 </w:t>
      </w:r>
      <w:r w:rsidR="002E606E" w:rsidRPr="003C247E">
        <w:rPr>
          <w:rFonts w:ascii="Times New Roman" w:hAnsi="Times New Roman" w:cs="Times New Roman"/>
          <w:sz w:val="28"/>
          <w:szCs w:val="28"/>
        </w:rPr>
        <w:t>запровадження  процедур  публічних  консультацій  для  нових  регуляторних заходів;</w:t>
      </w:r>
    </w:p>
    <w:p w:rsidR="002E606E" w:rsidRPr="003C247E" w:rsidRDefault="00D0564A"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 </w:t>
      </w:r>
      <w:r w:rsidR="002E606E" w:rsidRPr="003C247E">
        <w:rPr>
          <w:rFonts w:ascii="Times New Roman" w:hAnsi="Times New Roman" w:cs="Times New Roman"/>
          <w:sz w:val="28"/>
          <w:szCs w:val="28"/>
        </w:rPr>
        <w:t>створення ефективних механізмів для оскарження рішень Національного регулятора в секторі електронних комунікацій.</w:t>
      </w:r>
    </w:p>
    <w:p w:rsidR="002E606E" w:rsidRPr="003C247E" w:rsidRDefault="002E606E"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 xml:space="preserve">Також, як визначено в </w:t>
      </w:r>
      <w:r w:rsidRPr="003C247E">
        <w:rPr>
          <w:rFonts w:ascii="Times New Roman" w:hAnsi="Times New Roman" w:cs="Times New Roman"/>
          <w:i/>
          <w:sz w:val="28"/>
          <w:szCs w:val="28"/>
        </w:rPr>
        <w:t>статті 391 Угоди про асоціацію</w:t>
      </w:r>
      <w:r w:rsidRPr="003C247E">
        <w:rPr>
          <w:rFonts w:ascii="Times New Roman" w:hAnsi="Times New Roman" w:cs="Times New Roman"/>
          <w:sz w:val="28"/>
          <w:szCs w:val="28"/>
        </w:rPr>
        <w:t>, співробітництво охоплює, зокрема, посилення незалежності та адміністративної спроможності національного регулятора у галузі зв’язку з метою забезпечення його здатності вживати відповідні регуляторні заходи та впроваджувати свої рішення і всі відповідні норми, а також гарантування добросовісної конкуренції на ринках. Національний регулятор у галузі зв’язку повинен співробітничати з органом з питань конкуренції щодо моніторингу цих ринків.</w:t>
      </w:r>
    </w:p>
    <w:p w:rsidR="00A5309B" w:rsidRPr="003C247E" w:rsidRDefault="00131AB6"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Положення законопроекту, що Регулятор комунікаційних послуг є юридичною особою публічного права, має відокремлене майно, що є державною власністю, рахунки в органах, що здійснюють казначейське обслуговування бюджетних коштів, печатку із зображенням Державного Герба України та своїм найменуванням</w:t>
      </w:r>
      <w:r w:rsidR="00D126D4" w:rsidRPr="003C247E">
        <w:rPr>
          <w:rFonts w:ascii="Times New Roman" w:hAnsi="Times New Roman" w:cs="Times New Roman"/>
          <w:sz w:val="28"/>
          <w:szCs w:val="28"/>
        </w:rPr>
        <w:t xml:space="preserve"> (частина перша статті 2 законопроекту)</w:t>
      </w:r>
      <w:r w:rsidR="00CB22D7" w:rsidRPr="003C247E">
        <w:rPr>
          <w:rFonts w:ascii="Times New Roman" w:hAnsi="Times New Roman" w:cs="Times New Roman"/>
          <w:sz w:val="28"/>
          <w:szCs w:val="28"/>
        </w:rPr>
        <w:t>;</w:t>
      </w:r>
      <w:r w:rsidRPr="003C247E">
        <w:rPr>
          <w:rFonts w:ascii="Times New Roman" w:hAnsi="Times New Roman" w:cs="Times New Roman"/>
          <w:sz w:val="28"/>
          <w:szCs w:val="28"/>
        </w:rPr>
        <w:t xml:space="preserve"> </w:t>
      </w:r>
      <w:r w:rsidR="00D126D4" w:rsidRPr="003C247E">
        <w:rPr>
          <w:rFonts w:ascii="Times New Roman" w:hAnsi="Times New Roman" w:cs="Times New Roman"/>
          <w:sz w:val="28"/>
          <w:szCs w:val="28"/>
        </w:rPr>
        <w:t>під час виконання своїх функцій та повноважень Регулятор комунікаційних послуг діє самостійно у межах, визначених законом. Письмові чи усні вказівки, розпорядження, доручення органу державної влади, іншого державного органу, органу місцевого самоврядування, їх посадових та службових осіб, суб’єктів господарювання, політичних партій, громадських об’єднань, професійних спілок чи їх органів, а також інших осіб, щ</w:t>
      </w:r>
      <w:r w:rsidR="009516F7">
        <w:rPr>
          <w:rFonts w:ascii="Times New Roman" w:hAnsi="Times New Roman" w:cs="Times New Roman"/>
          <w:sz w:val="28"/>
          <w:szCs w:val="28"/>
        </w:rPr>
        <w:t>о обмежують повноваження членів</w:t>
      </w:r>
      <w:r w:rsidR="00D126D4" w:rsidRPr="003C247E">
        <w:rPr>
          <w:rFonts w:ascii="Times New Roman" w:hAnsi="Times New Roman" w:cs="Times New Roman"/>
          <w:sz w:val="28"/>
          <w:szCs w:val="28"/>
        </w:rPr>
        <w:t xml:space="preserve"> Регулятора комунікаційних послуг та посадових осіб  Регулятора комунікаційних послуг, є </w:t>
      </w:r>
      <w:r w:rsidR="00D126D4" w:rsidRPr="003C247E">
        <w:rPr>
          <w:rFonts w:ascii="Times New Roman" w:hAnsi="Times New Roman" w:cs="Times New Roman"/>
          <w:sz w:val="28"/>
          <w:szCs w:val="28"/>
        </w:rPr>
        <w:lastRenderedPageBreak/>
        <w:t>незаконним впливом (частину друга статті 5 законопроекту)</w:t>
      </w:r>
      <w:r w:rsidR="00CB22D7" w:rsidRPr="003C247E">
        <w:rPr>
          <w:rFonts w:ascii="Times New Roman" w:hAnsi="Times New Roman" w:cs="Times New Roman"/>
          <w:sz w:val="28"/>
          <w:szCs w:val="28"/>
        </w:rPr>
        <w:t xml:space="preserve">; Регулятор комунікаційних послуг має достатньо людських та фінансових ресурсів для виконання своїх завдань відповідно до цього Закону та інших законів. Регулятор комунікаційних послуг самостійно розподіляє кошти, виділені Регулятору комунікаційних послуг на відповідний рік, та розпоряджається ними (частина четверта статті 5 законопроекту), </w:t>
      </w:r>
      <w:r w:rsidRPr="003C247E">
        <w:rPr>
          <w:rFonts w:ascii="Times New Roman" w:hAnsi="Times New Roman" w:cs="Times New Roman"/>
          <w:sz w:val="28"/>
          <w:szCs w:val="28"/>
        </w:rPr>
        <w:t xml:space="preserve">– </w:t>
      </w:r>
      <w:r w:rsidR="007F56C3" w:rsidRPr="007F56C3">
        <w:rPr>
          <w:rFonts w:ascii="Times New Roman" w:hAnsi="Times New Roman" w:cs="Times New Roman"/>
          <w:sz w:val="28"/>
          <w:szCs w:val="28"/>
          <w:u w:val="single"/>
        </w:rPr>
        <w:t xml:space="preserve">не повною мірою </w:t>
      </w:r>
      <w:r w:rsidRPr="003C247E">
        <w:rPr>
          <w:rFonts w:ascii="Times New Roman" w:hAnsi="Times New Roman" w:cs="Times New Roman"/>
          <w:sz w:val="28"/>
          <w:szCs w:val="28"/>
          <w:u w:val="single"/>
        </w:rPr>
        <w:t>узгоджується</w:t>
      </w:r>
      <w:r w:rsidRPr="003C247E">
        <w:rPr>
          <w:rFonts w:ascii="Times New Roman" w:hAnsi="Times New Roman" w:cs="Times New Roman"/>
          <w:sz w:val="28"/>
          <w:szCs w:val="28"/>
        </w:rPr>
        <w:t xml:space="preserve"> з частиною другою </w:t>
      </w:r>
      <w:r w:rsidRPr="003C247E">
        <w:rPr>
          <w:rFonts w:ascii="Times New Roman" w:hAnsi="Times New Roman" w:cs="Times New Roman"/>
          <w:i/>
          <w:sz w:val="28"/>
          <w:szCs w:val="28"/>
        </w:rPr>
        <w:t>статті 3 Директиви 2002/21</w:t>
      </w:r>
      <w:r w:rsidRPr="003C247E">
        <w:rPr>
          <w:rFonts w:ascii="Times New Roman" w:hAnsi="Times New Roman" w:cs="Times New Roman"/>
          <w:sz w:val="28"/>
          <w:szCs w:val="28"/>
        </w:rPr>
        <w:t>, якою передбачено, що Держави-члени гарантують незалежність національних регулятивних органів шляхом забезпечення, що вони юридично відмінні та функціонально незалежні від всіх організацій, які забезпечують електронні комунікаційні мережі, обладнання або послуги. Держави-члени, що тримають у власності або контролюють підприємства, що забезпечують електронні комунікаційні мережі та/або послуги, забезпечують ефективне структурне відмежовування регулятивних функцій від діяльності, пов’язаної з власністю або контролем.</w:t>
      </w:r>
    </w:p>
    <w:p w:rsidR="002E606E" w:rsidRPr="003C247E" w:rsidRDefault="002A594C"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 xml:space="preserve">Стаття 15 законопроекту, якою визначено шляхи забезпечення відкритості діяльності Регулятора </w:t>
      </w:r>
      <w:r w:rsidRPr="003C247E">
        <w:rPr>
          <w:rFonts w:ascii="Times New Roman" w:hAnsi="Times New Roman" w:cs="Times New Roman"/>
          <w:sz w:val="28"/>
          <w:szCs w:val="28"/>
          <w:u w:val="single"/>
        </w:rPr>
        <w:t>відповідає</w:t>
      </w:r>
      <w:r w:rsidRPr="003C247E">
        <w:rPr>
          <w:rFonts w:ascii="Times New Roman" w:hAnsi="Times New Roman" w:cs="Times New Roman"/>
          <w:sz w:val="28"/>
          <w:szCs w:val="28"/>
        </w:rPr>
        <w:t xml:space="preserve"> вимогам </w:t>
      </w:r>
      <w:r w:rsidRPr="003C247E">
        <w:rPr>
          <w:rFonts w:ascii="Times New Roman" w:hAnsi="Times New Roman" w:cs="Times New Roman"/>
          <w:i/>
          <w:sz w:val="28"/>
          <w:szCs w:val="28"/>
        </w:rPr>
        <w:t>частини третьої статті 3 Директиви 2002/21</w:t>
      </w:r>
      <w:r w:rsidRPr="003C247E">
        <w:rPr>
          <w:rFonts w:ascii="Times New Roman" w:hAnsi="Times New Roman" w:cs="Times New Roman"/>
          <w:sz w:val="28"/>
          <w:szCs w:val="28"/>
        </w:rPr>
        <w:t xml:space="preserve">, </w:t>
      </w:r>
      <w:r w:rsidR="00155D44" w:rsidRPr="003C247E">
        <w:rPr>
          <w:rFonts w:ascii="Times New Roman" w:hAnsi="Times New Roman" w:cs="Times New Roman"/>
          <w:sz w:val="28"/>
          <w:szCs w:val="28"/>
        </w:rPr>
        <w:t xml:space="preserve">якою визначено, </w:t>
      </w:r>
      <w:r w:rsidR="00131AB6" w:rsidRPr="003C247E">
        <w:rPr>
          <w:rFonts w:ascii="Times New Roman" w:hAnsi="Times New Roman" w:cs="Times New Roman"/>
          <w:sz w:val="28"/>
          <w:szCs w:val="28"/>
        </w:rPr>
        <w:t>Держави-члени забезпечують, що національні регулятивні органи здійснюють свої повноваження неупереджено та прозоро.</w:t>
      </w:r>
    </w:p>
    <w:p w:rsidR="00A5309B" w:rsidRPr="003C247E" w:rsidRDefault="002A594C"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Статт</w:t>
      </w:r>
      <w:r w:rsidR="00E44B6D" w:rsidRPr="003C247E">
        <w:rPr>
          <w:rFonts w:ascii="Times New Roman" w:hAnsi="Times New Roman" w:cs="Times New Roman"/>
          <w:sz w:val="28"/>
          <w:szCs w:val="28"/>
        </w:rPr>
        <w:t>ями 4 та</w:t>
      </w:r>
      <w:r w:rsidRPr="003C247E">
        <w:rPr>
          <w:rFonts w:ascii="Times New Roman" w:hAnsi="Times New Roman" w:cs="Times New Roman"/>
          <w:sz w:val="28"/>
          <w:szCs w:val="28"/>
        </w:rPr>
        <w:t xml:space="preserve"> 16 законопроекту визначаються </w:t>
      </w:r>
      <w:r w:rsidR="00E44B6D" w:rsidRPr="003C247E">
        <w:rPr>
          <w:rFonts w:ascii="Times New Roman" w:hAnsi="Times New Roman" w:cs="Times New Roman"/>
          <w:sz w:val="28"/>
          <w:szCs w:val="28"/>
        </w:rPr>
        <w:t xml:space="preserve">основні завдання,  повноваження </w:t>
      </w:r>
      <w:r w:rsidRPr="003C247E">
        <w:rPr>
          <w:rFonts w:ascii="Times New Roman" w:hAnsi="Times New Roman" w:cs="Times New Roman"/>
          <w:sz w:val="28"/>
          <w:szCs w:val="28"/>
        </w:rPr>
        <w:t xml:space="preserve">та </w:t>
      </w:r>
      <w:r w:rsidR="00E44B6D" w:rsidRPr="003C247E">
        <w:rPr>
          <w:rFonts w:ascii="Times New Roman" w:hAnsi="Times New Roman" w:cs="Times New Roman"/>
          <w:sz w:val="28"/>
          <w:szCs w:val="28"/>
        </w:rPr>
        <w:t>функції</w:t>
      </w:r>
      <w:r w:rsidRPr="003C247E">
        <w:rPr>
          <w:rFonts w:ascii="Times New Roman" w:hAnsi="Times New Roman" w:cs="Times New Roman"/>
          <w:sz w:val="28"/>
          <w:szCs w:val="28"/>
        </w:rPr>
        <w:t xml:space="preserve"> Регулятора комунікаційних послуг, що </w:t>
      </w:r>
      <w:r w:rsidR="00E44B6D" w:rsidRPr="003C247E">
        <w:rPr>
          <w:rFonts w:ascii="Times New Roman" w:hAnsi="Times New Roman" w:cs="Times New Roman"/>
          <w:sz w:val="28"/>
          <w:szCs w:val="28"/>
          <w:u w:val="single"/>
        </w:rPr>
        <w:t>відповідає</w:t>
      </w:r>
      <w:r w:rsidR="00E44B6D" w:rsidRPr="003C247E">
        <w:rPr>
          <w:rFonts w:ascii="Times New Roman" w:hAnsi="Times New Roman" w:cs="Times New Roman"/>
          <w:sz w:val="28"/>
          <w:szCs w:val="28"/>
        </w:rPr>
        <w:t xml:space="preserve"> положенням</w:t>
      </w:r>
      <w:r w:rsidRPr="003C247E">
        <w:rPr>
          <w:rFonts w:ascii="Times New Roman" w:hAnsi="Times New Roman" w:cs="Times New Roman"/>
          <w:sz w:val="28"/>
          <w:szCs w:val="28"/>
        </w:rPr>
        <w:t xml:space="preserve"> </w:t>
      </w:r>
      <w:r w:rsidRPr="003C247E">
        <w:rPr>
          <w:rFonts w:ascii="Times New Roman" w:hAnsi="Times New Roman" w:cs="Times New Roman"/>
          <w:i/>
          <w:sz w:val="28"/>
          <w:szCs w:val="28"/>
        </w:rPr>
        <w:t>частини четвертої статті 3 Директиви 2002/21</w:t>
      </w:r>
      <w:r w:rsidRPr="003C247E">
        <w:rPr>
          <w:rFonts w:ascii="Times New Roman" w:hAnsi="Times New Roman" w:cs="Times New Roman"/>
          <w:sz w:val="28"/>
          <w:szCs w:val="28"/>
        </w:rPr>
        <w:t xml:space="preserve">, в якій зазначено, що Держави-члени публікують завдання, що виконуються національними регулятивними органами у </w:t>
      </w:r>
      <w:proofErr w:type="spellStart"/>
      <w:r w:rsidRPr="003C247E">
        <w:rPr>
          <w:rFonts w:ascii="Times New Roman" w:hAnsi="Times New Roman" w:cs="Times New Roman"/>
          <w:sz w:val="28"/>
          <w:szCs w:val="28"/>
        </w:rPr>
        <w:t>вільнодоступній</w:t>
      </w:r>
      <w:proofErr w:type="spellEnd"/>
      <w:r w:rsidRPr="003C247E">
        <w:rPr>
          <w:rFonts w:ascii="Times New Roman" w:hAnsi="Times New Roman" w:cs="Times New Roman"/>
          <w:sz w:val="28"/>
          <w:szCs w:val="28"/>
        </w:rPr>
        <w:t xml:space="preserve"> формі, зокрема якщо такі завдання покладені на більш ніж один орган.</w:t>
      </w:r>
    </w:p>
    <w:p w:rsidR="002A594C" w:rsidRPr="003C247E" w:rsidRDefault="00E44B6D"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 xml:space="preserve">Положеннями пункту 18 частини четвертої статті 4 </w:t>
      </w:r>
      <w:r w:rsidR="00263E9B" w:rsidRPr="003C247E">
        <w:rPr>
          <w:rFonts w:ascii="Times New Roman" w:hAnsi="Times New Roman" w:cs="Times New Roman"/>
          <w:sz w:val="28"/>
          <w:szCs w:val="28"/>
        </w:rPr>
        <w:t xml:space="preserve">законопроекту </w:t>
      </w:r>
      <w:r w:rsidRPr="003C247E">
        <w:rPr>
          <w:rFonts w:ascii="Times New Roman" w:hAnsi="Times New Roman" w:cs="Times New Roman"/>
          <w:sz w:val="28"/>
          <w:szCs w:val="28"/>
        </w:rPr>
        <w:t>д</w:t>
      </w:r>
      <w:r w:rsidR="00263E9B" w:rsidRPr="003C247E">
        <w:rPr>
          <w:rFonts w:ascii="Times New Roman" w:hAnsi="Times New Roman" w:cs="Times New Roman"/>
          <w:sz w:val="28"/>
          <w:szCs w:val="28"/>
        </w:rPr>
        <w:t xml:space="preserve">о повноважень </w:t>
      </w:r>
      <w:r w:rsidRPr="003C247E">
        <w:rPr>
          <w:rFonts w:ascii="Times New Roman" w:hAnsi="Times New Roman" w:cs="Times New Roman"/>
          <w:sz w:val="28"/>
          <w:szCs w:val="28"/>
        </w:rPr>
        <w:t xml:space="preserve">Регулятора комунікаційних послуг віднесено повідомлення Антимонопольного комітету України про факти, що можуть свідчити про порушення законодавства про захист економічної конкуренції на ринках електронних комунікацій та надання послуг поштового зв’язку, – що </w:t>
      </w:r>
      <w:r w:rsidRPr="003C247E">
        <w:rPr>
          <w:rFonts w:ascii="Times New Roman" w:hAnsi="Times New Roman" w:cs="Times New Roman"/>
          <w:sz w:val="28"/>
          <w:szCs w:val="28"/>
          <w:u w:val="single"/>
        </w:rPr>
        <w:t xml:space="preserve">узгоджується </w:t>
      </w:r>
      <w:r w:rsidRPr="003C247E">
        <w:rPr>
          <w:rFonts w:ascii="Times New Roman" w:hAnsi="Times New Roman" w:cs="Times New Roman"/>
          <w:sz w:val="28"/>
          <w:szCs w:val="28"/>
        </w:rPr>
        <w:t xml:space="preserve">з </w:t>
      </w:r>
      <w:r w:rsidRPr="003C247E">
        <w:rPr>
          <w:rFonts w:ascii="Times New Roman" w:hAnsi="Times New Roman" w:cs="Times New Roman"/>
          <w:i/>
          <w:sz w:val="28"/>
          <w:szCs w:val="28"/>
        </w:rPr>
        <w:t>частиною п’ятою статті 3 Директиви 2002/21</w:t>
      </w:r>
      <w:r w:rsidRPr="003C247E">
        <w:rPr>
          <w:rFonts w:ascii="Times New Roman" w:hAnsi="Times New Roman" w:cs="Times New Roman"/>
          <w:sz w:val="28"/>
          <w:szCs w:val="28"/>
        </w:rPr>
        <w:t>, в якій зазначено, що н</w:t>
      </w:r>
      <w:r w:rsidR="002A594C" w:rsidRPr="003C247E">
        <w:rPr>
          <w:rFonts w:ascii="Times New Roman" w:hAnsi="Times New Roman" w:cs="Times New Roman"/>
          <w:sz w:val="28"/>
          <w:szCs w:val="28"/>
        </w:rPr>
        <w:t>аціональні регулятивні органи та національні органи з питань конкуренції надають один одному інформацію, необхідну для застосування положень цієї Директиви та Спеціальних Директив.</w:t>
      </w:r>
    </w:p>
    <w:p w:rsidR="00D126D4" w:rsidRPr="003C247E" w:rsidRDefault="00D126D4"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 xml:space="preserve">Завдання Регулятора щодо забезпечення інвестиційної привабливості для розвитку інфраструктури, реалізація тарифної політики у сферах електронних комунікацій, радіочастотного спектра  та надання послуг поштового зв’язку, створення сприятливих умов для залучення інвестицій у розвиток ринків у сферах електронних комунікацій, та надання послуг поштового зв’язку, </w:t>
      </w:r>
      <w:r w:rsidRPr="003C247E">
        <w:rPr>
          <w:rFonts w:ascii="Times New Roman" w:hAnsi="Times New Roman" w:cs="Times New Roman"/>
          <w:sz w:val="28"/>
          <w:szCs w:val="28"/>
        </w:rPr>
        <w:lastRenderedPageBreak/>
        <w:t xml:space="preserve">сприяння розвитку конкуренції на ринках електронних комунікацій та надання послуг поштового зв’язку (частина третя статті 4 законопроекту) </w:t>
      </w:r>
      <w:r w:rsidRPr="003C247E">
        <w:rPr>
          <w:rFonts w:ascii="Times New Roman" w:hAnsi="Times New Roman" w:cs="Times New Roman"/>
          <w:sz w:val="28"/>
          <w:szCs w:val="28"/>
          <w:u w:val="single"/>
        </w:rPr>
        <w:t>відповідає</w:t>
      </w:r>
      <w:r w:rsidRPr="003C247E">
        <w:rPr>
          <w:rFonts w:ascii="Times New Roman" w:hAnsi="Times New Roman" w:cs="Times New Roman"/>
          <w:sz w:val="28"/>
          <w:szCs w:val="28"/>
        </w:rPr>
        <w:t xml:space="preserve"> положенням </w:t>
      </w:r>
      <w:r w:rsidRPr="003C247E">
        <w:rPr>
          <w:rFonts w:ascii="Times New Roman" w:hAnsi="Times New Roman" w:cs="Times New Roman"/>
          <w:i/>
          <w:sz w:val="28"/>
          <w:szCs w:val="28"/>
        </w:rPr>
        <w:t>частини другої статті 8 Директиви 2002/21</w:t>
      </w:r>
      <w:r w:rsidRPr="003C247E">
        <w:rPr>
          <w:rFonts w:ascii="Times New Roman" w:hAnsi="Times New Roman" w:cs="Times New Roman"/>
          <w:sz w:val="28"/>
          <w:szCs w:val="28"/>
        </w:rPr>
        <w:t xml:space="preserve">, якою встановлено, що національні регулятивні органи сприяють конкуренції у забезпеченні електронних комунікаційних мереж, електронних комунікаційних послуг та пов’язаного оснащення, між іншим: </w:t>
      </w:r>
    </w:p>
    <w:p w:rsidR="00D126D4" w:rsidRPr="003C247E" w:rsidRDefault="00D126D4"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 xml:space="preserve">(a) забезпечуючи, що користувачі, включаючи відключених користувачів, отримують максимальні переваги у показниках вибору, ціни та якості; </w:t>
      </w:r>
    </w:p>
    <w:p w:rsidR="00D126D4" w:rsidRPr="003C247E" w:rsidRDefault="00D126D4"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 xml:space="preserve">(b) забезпечуючи, що не існує спотворень або обмежень конкуренції в електронному комунікаційному секторі; </w:t>
      </w:r>
    </w:p>
    <w:p w:rsidR="00D126D4" w:rsidRPr="003C247E" w:rsidRDefault="00D126D4"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(c) підтримуючи ефективні інвестиції в інфраструктуру, та сприяючи інноваціям; та</w:t>
      </w:r>
    </w:p>
    <w:p w:rsidR="002A594C" w:rsidRPr="003C247E" w:rsidRDefault="00D126D4"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(d) підтримуючи ефективне використання та гарантуючи ефективне керування радіочастотами та номерними ресурсами.</w:t>
      </w:r>
    </w:p>
    <w:p w:rsidR="00263E9B" w:rsidRPr="003C247E" w:rsidRDefault="00CB22D7" w:rsidP="00AA7BCB">
      <w:pPr>
        <w:spacing w:after="0" w:line="276" w:lineRule="auto"/>
        <w:ind w:firstLine="567"/>
        <w:jc w:val="both"/>
        <w:outlineLvl w:val="2"/>
        <w:rPr>
          <w:rFonts w:ascii="Times New Roman" w:hAnsi="Times New Roman" w:cs="Times New Roman"/>
          <w:sz w:val="28"/>
          <w:szCs w:val="28"/>
        </w:rPr>
      </w:pPr>
      <w:r w:rsidRPr="003C247E">
        <w:rPr>
          <w:rFonts w:ascii="Times New Roman" w:hAnsi="Times New Roman" w:cs="Times New Roman"/>
          <w:sz w:val="28"/>
          <w:szCs w:val="28"/>
        </w:rPr>
        <w:t xml:space="preserve">В частині п’ятій статті 6 законопроекту визначено, що Регулятор комунікаційних послуг взаємодіє з центральним органом виконавчої влади, що реалізує державну політику у сфері державного контролю за додержанням законодавства про захист прав споживачів, з іншими органами  державної влади у випадках передбачених законом. Таке положення </w:t>
      </w:r>
      <w:r w:rsidRPr="003C247E">
        <w:rPr>
          <w:rFonts w:ascii="Times New Roman" w:hAnsi="Times New Roman" w:cs="Times New Roman"/>
          <w:sz w:val="28"/>
          <w:szCs w:val="28"/>
          <w:u w:val="single"/>
        </w:rPr>
        <w:t>відповідає</w:t>
      </w:r>
      <w:r w:rsidRPr="003C247E">
        <w:rPr>
          <w:rFonts w:ascii="Times New Roman" w:hAnsi="Times New Roman" w:cs="Times New Roman"/>
          <w:sz w:val="28"/>
          <w:szCs w:val="28"/>
        </w:rPr>
        <w:t xml:space="preserve"> вимогам </w:t>
      </w:r>
      <w:r w:rsidRPr="003C247E">
        <w:rPr>
          <w:rFonts w:ascii="Times New Roman" w:hAnsi="Times New Roman" w:cs="Times New Roman"/>
          <w:i/>
          <w:sz w:val="28"/>
          <w:szCs w:val="28"/>
        </w:rPr>
        <w:t>пункту (b) частини четвертої статті 8 Директиви 2002/21</w:t>
      </w:r>
      <w:r w:rsidRPr="003C247E">
        <w:rPr>
          <w:rFonts w:ascii="Times New Roman" w:hAnsi="Times New Roman" w:cs="Times New Roman"/>
          <w:sz w:val="28"/>
          <w:szCs w:val="28"/>
        </w:rPr>
        <w:t>, а саме, Національні регулятивні органи підтримують інтереси громадян Європейського Союзу, між іншим забезпечуючи високий рівень захисту споживачів у їхніх операціях з постачальниками, зокрема шляхом забезпечення доступності простих та економічних процедур вирішення спору, що здійснюються органом, який є незалежним від залучених сторін.</w:t>
      </w:r>
    </w:p>
    <w:p w:rsidR="006B76E5" w:rsidRPr="003C247E" w:rsidRDefault="00EE3FE7" w:rsidP="00AA7BCB">
      <w:pPr>
        <w:spacing w:after="0" w:line="276" w:lineRule="auto"/>
        <w:ind w:firstLine="709"/>
        <w:jc w:val="both"/>
        <w:rPr>
          <w:rFonts w:ascii="Times New Roman" w:eastAsia="Times New Roman" w:hAnsi="Times New Roman" w:cs="Times New Roman"/>
          <w:sz w:val="28"/>
          <w:szCs w:val="28"/>
        </w:rPr>
      </w:pPr>
      <w:r w:rsidRPr="003C247E">
        <w:rPr>
          <w:rFonts w:ascii="Times New Roman" w:eastAsia="Times New Roman" w:hAnsi="Times New Roman" w:cs="Times New Roman"/>
          <w:sz w:val="28"/>
          <w:szCs w:val="28"/>
        </w:rPr>
        <w:t xml:space="preserve">Директива 2018/1972 Європейського Парламенту і Ради від 11 грудня 2018 року про запровадження Європейського кодексу електронних комунікацій (далі – Директива 2018/1972) є складовою частиною </w:t>
      </w:r>
      <w:r w:rsidR="006B76E5" w:rsidRPr="003C247E">
        <w:rPr>
          <w:rFonts w:ascii="Times New Roman" w:eastAsia="Times New Roman" w:hAnsi="Times New Roman" w:cs="Times New Roman"/>
          <w:sz w:val="28"/>
          <w:szCs w:val="28"/>
        </w:rPr>
        <w:t>«Дерегуляції» (REFIT)</w:t>
      </w:r>
      <w:r w:rsidRPr="003C247E">
        <w:rPr>
          <w:rFonts w:ascii="Times New Roman" w:eastAsia="Times New Roman" w:hAnsi="Times New Roman" w:cs="Times New Roman"/>
          <w:sz w:val="28"/>
          <w:szCs w:val="28"/>
        </w:rPr>
        <w:t xml:space="preserve">, сфера дії якої включає чотири </w:t>
      </w:r>
      <w:r w:rsidR="006B76E5" w:rsidRPr="003C247E">
        <w:rPr>
          <w:rFonts w:ascii="Times New Roman" w:eastAsia="Times New Roman" w:hAnsi="Times New Roman" w:cs="Times New Roman"/>
          <w:sz w:val="28"/>
          <w:szCs w:val="28"/>
        </w:rPr>
        <w:t>директиви, а саме: 2002/1</w:t>
      </w:r>
      <w:r w:rsidRPr="003C247E">
        <w:rPr>
          <w:rFonts w:ascii="Times New Roman" w:eastAsia="Times New Roman" w:hAnsi="Times New Roman" w:cs="Times New Roman"/>
          <w:sz w:val="28"/>
          <w:szCs w:val="28"/>
        </w:rPr>
        <w:t xml:space="preserve">9/ЄC, 2002/20/ЄC, </w:t>
      </w:r>
      <w:r w:rsidR="006B76E5" w:rsidRPr="003C247E">
        <w:rPr>
          <w:rFonts w:ascii="Times New Roman" w:eastAsia="Times New Roman" w:hAnsi="Times New Roman" w:cs="Times New Roman"/>
          <w:sz w:val="28"/>
          <w:szCs w:val="28"/>
        </w:rPr>
        <w:t xml:space="preserve">2002/21/ЄC та </w:t>
      </w:r>
      <w:r w:rsidRPr="003C247E">
        <w:rPr>
          <w:rFonts w:ascii="Times New Roman" w:eastAsia="Times New Roman" w:hAnsi="Times New Roman" w:cs="Times New Roman"/>
          <w:sz w:val="28"/>
          <w:szCs w:val="28"/>
        </w:rPr>
        <w:t>2002/22/ЄC, та Регламент (ЄС) №</w:t>
      </w:r>
      <w:r w:rsidR="006B76E5" w:rsidRPr="003C247E">
        <w:rPr>
          <w:rFonts w:ascii="Times New Roman" w:eastAsia="Times New Roman" w:hAnsi="Times New Roman" w:cs="Times New Roman"/>
          <w:sz w:val="28"/>
          <w:szCs w:val="28"/>
        </w:rPr>
        <w:t>1211/2009 Європейського Парламенту і Ради</w:t>
      </w:r>
      <w:r w:rsidRPr="003C247E">
        <w:rPr>
          <w:rFonts w:ascii="Times New Roman" w:eastAsia="Times New Roman" w:hAnsi="Times New Roman" w:cs="Times New Roman"/>
          <w:sz w:val="28"/>
          <w:szCs w:val="28"/>
        </w:rPr>
        <w:t xml:space="preserve">. </w:t>
      </w:r>
      <w:r w:rsidR="006B76E5" w:rsidRPr="003C247E">
        <w:rPr>
          <w:rFonts w:ascii="Times New Roman" w:eastAsia="Times New Roman" w:hAnsi="Times New Roman" w:cs="Times New Roman"/>
          <w:sz w:val="28"/>
          <w:szCs w:val="28"/>
        </w:rPr>
        <w:t xml:space="preserve"> </w:t>
      </w:r>
    </w:p>
    <w:p w:rsidR="000D0AFD" w:rsidRPr="003C247E" w:rsidRDefault="000D0AFD" w:rsidP="00155D44">
      <w:pPr>
        <w:spacing w:after="0" w:line="276" w:lineRule="auto"/>
        <w:ind w:firstLine="709"/>
        <w:jc w:val="both"/>
        <w:rPr>
          <w:rFonts w:ascii="Times New Roman" w:eastAsia="Times New Roman" w:hAnsi="Times New Roman" w:cs="Times New Roman"/>
          <w:sz w:val="28"/>
          <w:szCs w:val="28"/>
        </w:rPr>
      </w:pPr>
      <w:r w:rsidRPr="003C247E">
        <w:rPr>
          <w:rFonts w:ascii="Times New Roman" w:eastAsia="Times New Roman" w:hAnsi="Times New Roman" w:cs="Times New Roman"/>
          <w:i/>
          <w:sz w:val="28"/>
          <w:szCs w:val="28"/>
        </w:rPr>
        <w:t xml:space="preserve">Пунктом 39 преамбули </w:t>
      </w:r>
      <w:r w:rsidR="00155D44" w:rsidRPr="003C247E">
        <w:rPr>
          <w:rFonts w:ascii="Times New Roman" w:eastAsia="Times New Roman" w:hAnsi="Times New Roman" w:cs="Times New Roman"/>
          <w:i/>
          <w:sz w:val="28"/>
          <w:szCs w:val="28"/>
        </w:rPr>
        <w:t xml:space="preserve">та статтею 8 </w:t>
      </w:r>
      <w:r w:rsidRPr="003C247E">
        <w:rPr>
          <w:rFonts w:ascii="Times New Roman" w:eastAsia="Times New Roman" w:hAnsi="Times New Roman" w:cs="Times New Roman"/>
          <w:i/>
          <w:sz w:val="28"/>
          <w:szCs w:val="28"/>
        </w:rPr>
        <w:t>Директиви 2018/1972</w:t>
      </w:r>
      <w:r w:rsidRPr="003C247E">
        <w:rPr>
          <w:rFonts w:ascii="Times New Roman" w:eastAsia="Times New Roman" w:hAnsi="Times New Roman" w:cs="Times New Roman"/>
          <w:sz w:val="28"/>
          <w:szCs w:val="28"/>
        </w:rPr>
        <w:t xml:space="preserve"> встановлено, що </w:t>
      </w:r>
      <w:r w:rsidR="00155D44" w:rsidRPr="003C247E">
        <w:rPr>
          <w:rFonts w:ascii="Times New Roman" w:eastAsia="Times New Roman" w:hAnsi="Times New Roman" w:cs="Times New Roman"/>
          <w:sz w:val="28"/>
          <w:szCs w:val="28"/>
        </w:rPr>
        <w:t>Національні регуляторні органи щорічно звітують, зокрема, про стан ринку електронних комунікацій, про рішення, які вони вирішують, про їхні людські та фінансові ресурси та про те, як ці ресурси розподіляються, а також про майбутні плани. Їхні звіти повинні бути оприлюднені.</w:t>
      </w:r>
      <w:r w:rsidRPr="003C247E">
        <w:rPr>
          <w:rFonts w:ascii="Times New Roman" w:eastAsia="Times New Roman" w:hAnsi="Times New Roman" w:cs="Times New Roman"/>
          <w:sz w:val="28"/>
          <w:szCs w:val="28"/>
        </w:rPr>
        <w:t xml:space="preserve"> Це </w:t>
      </w:r>
      <w:r w:rsidRPr="003C247E">
        <w:rPr>
          <w:rFonts w:ascii="Times New Roman" w:eastAsia="Times New Roman" w:hAnsi="Times New Roman" w:cs="Times New Roman"/>
          <w:sz w:val="28"/>
          <w:szCs w:val="28"/>
          <w:u w:val="single"/>
        </w:rPr>
        <w:t>положення враховано</w:t>
      </w:r>
      <w:r w:rsidRPr="003C247E">
        <w:rPr>
          <w:rFonts w:ascii="Times New Roman" w:eastAsia="Times New Roman" w:hAnsi="Times New Roman" w:cs="Times New Roman"/>
          <w:sz w:val="28"/>
          <w:szCs w:val="28"/>
        </w:rPr>
        <w:t xml:space="preserve"> в статті 15 законопроекту, якою серед іншого передбачено, представлення Головою  Регулятора комунікаційних послуг річного звіту про роботу  Регулятора комунікаційних послуг на засіданні Комітету Верховної Ради України до предмета відання якого належать питання електронних комунікацій, сфери </w:t>
      </w:r>
      <w:r w:rsidRPr="003C247E">
        <w:rPr>
          <w:rFonts w:ascii="Times New Roman" w:eastAsia="Times New Roman" w:hAnsi="Times New Roman" w:cs="Times New Roman"/>
          <w:sz w:val="28"/>
          <w:szCs w:val="28"/>
        </w:rPr>
        <w:lastRenderedPageBreak/>
        <w:t>радіочастотного спектру та надання послуг поштового зв’язку, на пленарному засіданні Верховної Ради України та засіданні Кабінету Міністрів України.</w:t>
      </w:r>
    </w:p>
    <w:p w:rsidR="00862E18" w:rsidRPr="003C247E" w:rsidRDefault="000D0AFD" w:rsidP="00AA7BCB">
      <w:pPr>
        <w:spacing w:after="0" w:line="276" w:lineRule="auto"/>
        <w:ind w:firstLine="709"/>
        <w:jc w:val="both"/>
        <w:rPr>
          <w:rFonts w:ascii="Times New Roman" w:eastAsia="Times New Roman" w:hAnsi="Times New Roman" w:cs="Times New Roman"/>
          <w:sz w:val="28"/>
          <w:szCs w:val="28"/>
        </w:rPr>
      </w:pPr>
      <w:r w:rsidRPr="003C247E">
        <w:rPr>
          <w:rFonts w:ascii="Times New Roman" w:eastAsia="Times New Roman" w:hAnsi="Times New Roman" w:cs="Times New Roman"/>
          <w:sz w:val="28"/>
          <w:szCs w:val="28"/>
        </w:rPr>
        <w:t>Положення законопроекту щодо порядку призначення Голови та членів Регулятора</w:t>
      </w:r>
      <w:r w:rsidR="00F54399" w:rsidRPr="003C247E">
        <w:rPr>
          <w:rFonts w:ascii="Times New Roman" w:eastAsia="Times New Roman" w:hAnsi="Times New Roman" w:cs="Times New Roman"/>
          <w:sz w:val="28"/>
          <w:szCs w:val="28"/>
        </w:rPr>
        <w:t xml:space="preserve"> (статті 7-10 законопроекту) </w:t>
      </w:r>
      <w:r w:rsidR="00F54399" w:rsidRPr="003C247E">
        <w:rPr>
          <w:rFonts w:ascii="Times New Roman" w:eastAsia="Times New Roman" w:hAnsi="Times New Roman" w:cs="Times New Roman"/>
          <w:sz w:val="28"/>
          <w:szCs w:val="28"/>
          <w:u w:val="single"/>
        </w:rPr>
        <w:t>враховують</w:t>
      </w:r>
      <w:r w:rsidR="00F54399" w:rsidRPr="003C247E">
        <w:rPr>
          <w:rFonts w:ascii="Times New Roman" w:eastAsia="Times New Roman" w:hAnsi="Times New Roman" w:cs="Times New Roman"/>
          <w:sz w:val="28"/>
          <w:szCs w:val="28"/>
        </w:rPr>
        <w:t xml:space="preserve"> положення</w:t>
      </w:r>
      <w:r w:rsidRPr="003C247E">
        <w:rPr>
          <w:rFonts w:ascii="Times New Roman" w:eastAsia="Times New Roman" w:hAnsi="Times New Roman" w:cs="Times New Roman"/>
          <w:sz w:val="28"/>
          <w:szCs w:val="28"/>
        </w:rPr>
        <w:t xml:space="preserve"> </w:t>
      </w:r>
      <w:r w:rsidR="00862E18" w:rsidRPr="003C247E">
        <w:rPr>
          <w:rFonts w:ascii="Times New Roman" w:eastAsia="Times New Roman" w:hAnsi="Times New Roman" w:cs="Times New Roman"/>
          <w:i/>
          <w:sz w:val="28"/>
          <w:szCs w:val="28"/>
        </w:rPr>
        <w:t xml:space="preserve">частини першої статті 7 </w:t>
      </w:r>
      <w:r w:rsidRPr="003C247E">
        <w:rPr>
          <w:rFonts w:ascii="Times New Roman" w:eastAsia="Times New Roman" w:hAnsi="Times New Roman" w:cs="Times New Roman"/>
          <w:i/>
          <w:sz w:val="28"/>
          <w:szCs w:val="28"/>
        </w:rPr>
        <w:t>Директиви 2018/1972</w:t>
      </w:r>
      <w:r w:rsidRPr="003C247E">
        <w:rPr>
          <w:rFonts w:ascii="Times New Roman" w:eastAsia="Times New Roman" w:hAnsi="Times New Roman" w:cs="Times New Roman"/>
          <w:sz w:val="28"/>
          <w:szCs w:val="28"/>
        </w:rPr>
        <w:t xml:space="preserve">, </w:t>
      </w:r>
      <w:r w:rsidR="00862E18" w:rsidRPr="003C247E">
        <w:rPr>
          <w:rFonts w:ascii="Times New Roman" w:eastAsia="Times New Roman" w:hAnsi="Times New Roman" w:cs="Times New Roman"/>
          <w:sz w:val="28"/>
          <w:szCs w:val="28"/>
        </w:rPr>
        <w:t>якими</w:t>
      </w:r>
      <w:r w:rsidRPr="003C247E">
        <w:rPr>
          <w:rFonts w:ascii="Times New Roman" w:eastAsia="Times New Roman" w:hAnsi="Times New Roman" w:cs="Times New Roman"/>
          <w:sz w:val="28"/>
          <w:szCs w:val="28"/>
        </w:rPr>
        <w:t xml:space="preserve"> передбачено, що  </w:t>
      </w:r>
      <w:r w:rsidR="00862E18" w:rsidRPr="003C247E">
        <w:rPr>
          <w:rFonts w:ascii="Times New Roman" w:eastAsia="Times New Roman" w:hAnsi="Times New Roman" w:cs="Times New Roman"/>
          <w:sz w:val="28"/>
          <w:szCs w:val="28"/>
        </w:rPr>
        <w:t xml:space="preserve">Голова національного регулюючого органу, або, де це доречно, члени колегіального органу, що виконує цю функцію в межах національного регулюючого органу або їх заступників, призначається на строк </w:t>
      </w:r>
      <w:r w:rsidR="00862E18" w:rsidRPr="003C247E">
        <w:rPr>
          <w:rFonts w:ascii="Times New Roman" w:eastAsia="Times New Roman" w:hAnsi="Times New Roman" w:cs="Times New Roman"/>
          <w:sz w:val="28"/>
          <w:szCs w:val="28"/>
          <w:u w:val="single"/>
        </w:rPr>
        <w:t>не менше трьох років</w:t>
      </w:r>
      <w:r w:rsidR="00862E18" w:rsidRPr="003C247E">
        <w:rPr>
          <w:rFonts w:ascii="Times New Roman" w:eastAsia="Times New Roman" w:hAnsi="Times New Roman" w:cs="Times New Roman"/>
          <w:sz w:val="28"/>
          <w:szCs w:val="28"/>
        </w:rPr>
        <w:t xml:space="preserve"> з числа осіб з підтвердженим та професійним досвідом на основі заслуг, навичок, знань та досвіду, а також </w:t>
      </w:r>
      <w:r w:rsidR="00862E18" w:rsidRPr="003C247E">
        <w:rPr>
          <w:rFonts w:ascii="Times New Roman" w:eastAsia="Times New Roman" w:hAnsi="Times New Roman" w:cs="Times New Roman"/>
          <w:sz w:val="28"/>
          <w:szCs w:val="28"/>
          <w:u w:val="single"/>
        </w:rPr>
        <w:t>після відкритої та прозорої процедури відбору</w:t>
      </w:r>
      <w:r w:rsidR="00862E18" w:rsidRPr="003C247E">
        <w:rPr>
          <w:rFonts w:ascii="Times New Roman" w:eastAsia="Times New Roman" w:hAnsi="Times New Roman" w:cs="Times New Roman"/>
          <w:sz w:val="28"/>
          <w:szCs w:val="28"/>
        </w:rPr>
        <w:t>. Держави-члени забезпечують безперервність прийняття рішень.</w:t>
      </w:r>
    </w:p>
    <w:p w:rsidR="00862E18" w:rsidRPr="003C247E" w:rsidRDefault="00AA7BCB" w:rsidP="00AA7BCB">
      <w:pPr>
        <w:spacing w:after="0" w:line="276" w:lineRule="auto"/>
        <w:ind w:firstLine="709"/>
        <w:jc w:val="both"/>
        <w:rPr>
          <w:rFonts w:ascii="Times New Roman" w:eastAsia="Times New Roman" w:hAnsi="Times New Roman" w:cs="Times New Roman"/>
          <w:sz w:val="28"/>
          <w:szCs w:val="28"/>
        </w:rPr>
      </w:pPr>
      <w:r w:rsidRPr="003C247E">
        <w:rPr>
          <w:rFonts w:ascii="Times New Roman" w:eastAsia="Times New Roman" w:hAnsi="Times New Roman" w:cs="Times New Roman"/>
          <w:sz w:val="28"/>
          <w:szCs w:val="28"/>
        </w:rPr>
        <w:t xml:space="preserve">Частина третя статті 7 законопроекту надає вичерпний перелік умов за яких громадянин не може бути призначений членом Регулятора комунікаційних послуг. Серед цих умов, для </w:t>
      </w:r>
      <w:r w:rsidRPr="003C247E">
        <w:rPr>
          <w:rFonts w:ascii="Times New Roman" w:eastAsia="Times New Roman" w:hAnsi="Times New Roman" w:cs="Times New Roman"/>
          <w:i/>
          <w:sz w:val="28"/>
          <w:szCs w:val="28"/>
        </w:rPr>
        <w:t>врахування положень статті 8 Директиви 2018/1972</w:t>
      </w:r>
      <w:r w:rsidRPr="003C247E">
        <w:rPr>
          <w:rFonts w:ascii="Times New Roman" w:eastAsia="Times New Roman" w:hAnsi="Times New Roman" w:cs="Times New Roman"/>
          <w:sz w:val="28"/>
          <w:szCs w:val="28"/>
        </w:rPr>
        <w:t xml:space="preserve"> щодо політичної незалежності</w:t>
      </w:r>
      <w:r w:rsidR="009516F7">
        <w:rPr>
          <w:rFonts w:ascii="Times New Roman" w:eastAsia="Times New Roman" w:hAnsi="Times New Roman" w:cs="Times New Roman"/>
          <w:sz w:val="28"/>
          <w:szCs w:val="28"/>
        </w:rPr>
        <w:t>,</w:t>
      </w:r>
      <w:r w:rsidRPr="003C247E">
        <w:rPr>
          <w:rFonts w:ascii="Times New Roman" w:eastAsia="Times New Roman" w:hAnsi="Times New Roman" w:cs="Times New Roman"/>
          <w:sz w:val="28"/>
          <w:szCs w:val="28"/>
        </w:rPr>
        <w:t xml:space="preserve"> встановлена заборона кандидатам у члени  Регулятора комунікаційних послуг мати представницький мандат, брати участь у діяльності політичних партій, бути членом політичної партії або  не менш як три місяці протягом одного року до дня подання заявки на відкритий конкурс входити до складу керівних органів політичної партії або перебувати у трудових чи інших договірних відносинах з політичною партією.</w:t>
      </w:r>
    </w:p>
    <w:p w:rsidR="00F92E6C" w:rsidRPr="003C247E" w:rsidRDefault="00F92E6C" w:rsidP="00F92E6C">
      <w:pPr>
        <w:spacing w:after="0" w:line="276" w:lineRule="auto"/>
        <w:ind w:firstLine="709"/>
        <w:jc w:val="both"/>
        <w:rPr>
          <w:rFonts w:ascii="Times New Roman" w:eastAsia="Times New Roman" w:hAnsi="Times New Roman" w:cs="Times New Roman"/>
          <w:sz w:val="28"/>
          <w:szCs w:val="28"/>
        </w:rPr>
      </w:pPr>
      <w:r w:rsidRPr="003C247E">
        <w:rPr>
          <w:rFonts w:ascii="Times New Roman" w:eastAsia="Times New Roman" w:hAnsi="Times New Roman" w:cs="Times New Roman"/>
          <w:sz w:val="28"/>
          <w:szCs w:val="28"/>
        </w:rPr>
        <w:t xml:space="preserve">Відповідно </w:t>
      </w:r>
      <w:r w:rsidRPr="003C247E">
        <w:rPr>
          <w:rFonts w:ascii="Times New Roman" w:eastAsia="Times New Roman" w:hAnsi="Times New Roman" w:cs="Times New Roman"/>
          <w:i/>
          <w:sz w:val="28"/>
          <w:szCs w:val="28"/>
        </w:rPr>
        <w:t>до статті 8 Директиви 2018/1972</w:t>
      </w:r>
      <w:r w:rsidRPr="003C247E">
        <w:rPr>
          <w:rFonts w:ascii="Times New Roman" w:eastAsia="Times New Roman" w:hAnsi="Times New Roman" w:cs="Times New Roman"/>
          <w:sz w:val="28"/>
          <w:szCs w:val="28"/>
        </w:rPr>
        <w:t xml:space="preserve"> національні регуляторні органи діють незалежно та об'єктивно, включаючи розробку внутрішніх процедур та призначення персоналу, діють прозоро та </w:t>
      </w:r>
      <w:proofErr w:type="spellStart"/>
      <w:r w:rsidRPr="003C247E">
        <w:rPr>
          <w:rFonts w:ascii="Times New Roman" w:eastAsia="Times New Roman" w:hAnsi="Times New Roman" w:cs="Times New Roman"/>
          <w:sz w:val="28"/>
          <w:szCs w:val="28"/>
        </w:rPr>
        <w:t>підзвітно</w:t>
      </w:r>
      <w:proofErr w:type="spellEnd"/>
      <w:r w:rsidRPr="003C247E">
        <w:rPr>
          <w:rFonts w:ascii="Times New Roman" w:eastAsia="Times New Roman" w:hAnsi="Times New Roman" w:cs="Times New Roman"/>
          <w:sz w:val="28"/>
          <w:szCs w:val="28"/>
        </w:rPr>
        <w:t xml:space="preserve"> у відповідності до законодавства Союзу і не прагнуть та не приймають інструкції від будь-якого іншого органу стосовно виконання завдань, покладених на них відповідно до національного законодавства, що застосовує право Союзу. Це положення  </w:t>
      </w:r>
      <w:r w:rsidRPr="003C247E">
        <w:rPr>
          <w:rFonts w:ascii="Times New Roman" w:eastAsia="Times New Roman" w:hAnsi="Times New Roman" w:cs="Times New Roman"/>
          <w:sz w:val="28"/>
          <w:szCs w:val="28"/>
          <w:u w:val="single"/>
        </w:rPr>
        <w:t>враховано</w:t>
      </w:r>
      <w:r w:rsidRPr="003C247E">
        <w:rPr>
          <w:rFonts w:ascii="Times New Roman" w:eastAsia="Times New Roman" w:hAnsi="Times New Roman" w:cs="Times New Roman"/>
          <w:sz w:val="28"/>
          <w:szCs w:val="28"/>
        </w:rPr>
        <w:t xml:space="preserve"> в статті 2 законопроекту.</w:t>
      </w:r>
    </w:p>
    <w:p w:rsidR="006B76E5" w:rsidRPr="003C247E" w:rsidRDefault="00F92E6C" w:rsidP="00F92E6C">
      <w:pPr>
        <w:spacing w:after="0" w:line="276" w:lineRule="auto"/>
        <w:ind w:firstLine="709"/>
        <w:jc w:val="both"/>
        <w:rPr>
          <w:rFonts w:ascii="Times New Roman" w:eastAsia="Times New Roman" w:hAnsi="Times New Roman" w:cs="Times New Roman"/>
          <w:sz w:val="28"/>
          <w:szCs w:val="28"/>
        </w:rPr>
      </w:pPr>
      <w:r w:rsidRPr="003C247E">
        <w:rPr>
          <w:rFonts w:ascii="Times New Roman" w:eastAsia="Times New Roman" w:hAnsi="Times New Roman" w:cs="Times New Roman"/>
          <w:sz w:val="28"/>
          <w:szCs w:val="28"/>
        </w:rPr>
        <w:t xml:space="preserve">Положеннями </w:t>
      </w:r>
      <w:r w:rsidRPr="003C247E">
        <w:rPr>
          <w:rFonts w:ascii="Times New Roman" w:eastAsia="Times New Roman" w:hAnsi="Times New Roman" w:cs="Times New Roman"/>
          <w:i/>
          <w:sz w:val="28"/>
          <w:szCs w:val="28"/>
        </w:rPr>
        <w:t>частини другої статті 9 Директиви 2018/1972</w:t>
      </w:r>
      <w:r w:rsidRPr="003C247E">
        <w:rPr>
          <w:rFonts w:ascii="Times New Roman" w:eastAsia="Times New Roman" w:hAnsi="Times New Roman" w:cs="Times New Roman"/>
          <w:sz w:val="28"/>
          <w:szCs w:val="28"/>
        </w:rPr>
        <w:t xml:space="preserve"> визначено, що Держави-члени також забезпечують наявність у національних регуляторних органів адекватних фінансових та людських ресурсів, які дозволять їм брати активну участь у роботі BEREC та робити свій внесок до неї. Така норма </w:t>
      </w:r>
      <w:r w:rsidRPr="003C247E">
        <w:rPr>
          <w:rFonts w:ascii="Times New Roman" w:eastAsia="Times New Roman" w:hAnsi="Times New Roman" w:cs="Times New Roman"/>
          <w:sz w:val="28"/>
          <w:szCs w:val="28"/>
          <w:u w:val="single"/>
        </w:rPr>
        <w:t>кореспондується:</w:t>
      </w:r>
      <w:r w:rsidRPr="003C247E">
        <w:rPr>
          <w:rFonts w:ascii="Times New Roman" w:eastAsia="Times New Roman" w:hAnsi="Times New Roman" w:cs="Times New Roman"/>
          <w:sz w:val="28"/>
          <w:szCs w:val="28"/>
        </w:rPr>
        <w:t xml:space="preserve"> з положеннями частини  першої статті 21 законопроекту, якою встановлено, що Регулятор комунікаційних послуг підтримує співробітництво з питань регулювання у сферах, зазначених в частині першій статті 2 цього Закону з Органом європейських регуляторів для електронних комунікацій (BEREC), національними органами регулювання інших держав, іншими всесвітніми, європейськими та регіональними організаціями у відповідних сферах; та з положеннями частини четвертої статті 2 законопроекту –</w:t>
      </w:r>
      <w:r w:rsidRPr="003C247E">
        <w:t xml:space="preserve"> </w:t>
      </w:r>
      <w:r w:rsidRPr="003C247E">
        <w:rPr>
          <w:rFonts w:ascii="Times New Roman" w:eastAsia="Times New Roman" w:hAnsi="Times New Roman" w:cs="Times New Roman"/>
          <w:sz w:val="28"/>
          <w:szCs w:val="28"/>
        </w:rPr>
        <w:t>Регулятор комунікаційних послуг може брати участь в якості спостерігача в роботі BEREC.</w:t>
      </w:r>
    </w:p>
    <w:p w:rsidR="00F92E6C" w:rsidRPr="003C247E" w:rsidRDefault="00182E6E" w:rsidP="00F92E6C">
      <w:pPr>
        <w:spacing w:after="0" w:line="276" w:lineRule="auto"/>
        <w:ind w:firstLine="709"/>
        <w:jc w:val="both"/>
        <w:rPr>
          <w:rFonts w:ascii="Times New Roman" w:eastAsia="Times New Roman" w:hAnsi="Times New Roman" w:cs="Times New Roman"/>
          <w:i/>
          <w:sz w:val="28"/>
          <w:szCs w:val="28"/>
        </w:rPr>
      </w:pPr>
      <w:r w:rsidRPr="003C247E">
        <w:rPr>
          <w:rFonts w:ascii="Times New Roman" w:eastAsia="Times New Roman" w:hAnsi="Times New Roman" w:cs="Times New Roman"/>
          <w:sz w:val="28"/>
          <w:szCs w:val="28"/>
        </w:rPr>
        <w:lastRenderedPageBreak/>
        <w:t xml:space="preserve">Згідно з положеннями пунктів 4-6 частини першої статті 15 законопроекту, якими визначено, що Регулятор комунікаційних послуг забезпечує відкритість своєї діяльності, зокрема, шляхом проведення консультацій з громадськістю та забезпечення урахування позиції інститутів громадянського суспільства під час прийняття рішень з питань, що стосуються суспільно-економічного розвитку держави, реалізації та захисту прав і свобод громадян, задоволення їх політичних, економічних, соціальних, культурних та інших інтересів; проведення громадських обговорень та громадських слухань; залучення представників громадськості до підготовки річного та фінансового звітів та проведенням їх громадського обговорення до направлення у Верховну Раду України та Кабінет Міністрів України. Такі положення </w:t>
      </w:r>
      <w:r w:rsidR="007F56C3" w:rsidRPr="007F56C3">
        <w:rPr>
          <w:rFonts w:ascii="Times New Roman" w:eastAsia="Times New Roman" w:hAnsi="Times New Roman" w:cs="Times New Roman"/>
          <w:sz w:val="28"/>
          <w:szCs w:val="28"/>
          <w:u w:val="single"/>
        </w:rPr>
        <w:t xml:space="preserve">частково </w:t>
      </w:r>
      <w:r w:rsidR="007F56C3">
        <w:rPr>
          <w:rFonts w:ascii="Times New Roman" w:eastAsia="Times New Roman" w:hAnsi="Times New Roman" w:cs="Times New Roman"/>
          <w:sz w:val="28"/>
          <w:szCs w:val="28"/>
          <w:u w:val="single"/>
        </w:rPr>
        <w:t>враховують</w:t>
      </w:r>
      <w:r w:rsidRPr="003C247E">
        <w:rPr>
          <w:rFonts w:ascii="Times New Roman" w:eastAsia="Times New Roman" w:hAnsi="Times New Roman" w:cs="Times New Roman"/>
          <w:sz w:val="28"/>
          <w:szCs w:val="28"/>
        </w:rPr>
        <w:t xml:space="preserve"> вимог</w:t>
      </w:r>
      <w:r w:rsidR="005E49B5">
        <w:rPr>
          <w:rFonts w:ascii="Times New Roman" w:eastAsia="Times New Roman" w:hAnsi="Times New Roman" w:cs="Times New Roman"/>
          <w:sz w:val="28"/>
          <w:szCs w:val="28"/>
        </w:rPr>
        <w:t>и</w:t>
      </w:r>
      <w:r w:rsidRPr="003C247E">
        <w:rPr>
          <w:rFonts w:ascii="Times New Roman" w:eastAsia="Times New Roman" w:hAnsi="Times New Roman" w:cs="Times New Roman"/>
          <w:sz w:val="28"/>
          <w:szCs w:val="28"/>
        </w:rPr>
        <w:t xml:space="preserve"> пункт</w:t>
      </w:r>
      <w:r w:rsidR="008F0800" w:rsidRPr="003C247E">
        <w:rPr>
          <w:rFonts w:ascii="Times New Roman" w:eastAsia="Times New Roman" w:hAnsi="Times New Roman" w:cs="Times New Roman"/>
          <w:sz w:val="28"/>
          <w:szCs w:val="28"/>
        </w:rPr>
        <w:t>ів</w:t>
      </w:r>
      <w:r w:rsidRPr="003C247E">
        <w:rPr>
          <w:rFonts w:ascii="Times New Roman" w:eastAsia="Times New Roman" w:hAnsi="Times New Roman" w:cs="Times New Roman"/>
          <w:sz w:val="28"/>
          <w:szCs w:val="28"/>
        </w:rPr>
        <w:t xml:space="preserve"> 66, 67</w:t>
      </w:r>
      <w:r w:rsidR="008F0800" w:rsidRPr="003C247E">
        <w:rPr>
          <w:rFonts w:ascii="Times New Roman" w:eastAsia="Times New Roman" w:hAnsi="Times New Roman" w:cs="Times New Roman"/>
          <w:sz w:val="28"/>
          <w:szCs w:val="28"/>
        </w:rPr>
        <w:t>, 81, 116, 136, 206</w:t>
      </w:r>
      <w:r w:rsidRPr="003C247E">
        <w:rPr>
          <w:rFonts w:ascii="Times New Roman" w:eastAsia="Times New Roman" w:hAnsi="Times New Roman" w:cs="Times New Roman"/>
          <w:sz w:val="28"/>
          <w:szCs w:val="28"/>
        </w:rPr>
        <w:t xml:space="preserve"> преамбули </w:t>
      </w:r>
      <w:r w:rsidR="008F0800" w:rsidRPr="003C247E">
        <w:rPr>
          <w:rFonts w:ascii="Times New Roman" w:eastAsia="Times New Roman" w:hAnsi="Times New Roman" w:cs="Times New Roman"/>
          <w:sz w:val="28"/>
          <w:szCs w:val="28"/>
        </w:rPr>
        <w:t xml:space="preserve">та статей 5, 19, 20, 23, 24 </w:t>
      </w:r>
      <w:r w:rsidRPr="003C247E">
        <w:rPr>
          <w:rFonts w:ascii="Times New Roman" w:eastAsia="Times New Roman" w:hAnsi="Times New Roman" w:cs="Times New Roman"/>
          <w:i/>
          <w:sz w:val="28"/>
          <w:szCs w:val="28"/>
        </w:rPr>
        <w:t>Директив</w:t>
      </w:r>
      <w:r w:rsidR="008F0800" w:rsidRPr="003C247E">
        <w:rPr>
          <w:rFonts w:ascii="Times New Roman" w:eastAsia="Times New Roman" w:hAnsi="Times New Roman" w:cs="Times New Roman"/>
          <w:i/>
          <w:sz w:val="28"/>
          <w:szCs w:val="28"/>
        </w:rPr>
        <w:t>и 2018/1972.</w:t>
      </w:r>
    </w:p>
    <w:p w:rsidR="003253E5" w:rsidRPr="003C247E" w:rsidRDefault="003253E5" w:rsidP="008F0800">
      <w:pPr>
        <w:spacing w:after="0" w:line="240" w:lineRule="auto"/>
        <w:ind w:firstLine="709"/>
        <w:jc w:val="both"/>
        <w:rPr>
          <w:rFonts w:ascii="Times New Roman" w:eastAsia="Times New Roman" w:hAnsi="Times New Roman" w:cs="Times New Roman"/>
          <w:sz w:val="28"/>
          <w:szCs w:val="28"/>
        </w:rPr>
      </w:pPr>
      <w:r w:rsidRPr="003C247E">
        <w:rPr>
          <w:rFonts w:ascii="Times New Roman" w:eastAsia="Times New Roman" w:hAnsi="Times New Roman" w:cs="Times New Roman"/>
          <w:sz w:val="28"/>
          <w:szCs w:val="28"/>
        </w:rPr>
        <w:t>Ринок послуг поштового зв’язку має важливе значення для України, яка з урахуванням вигідного географічного розташування може отримати перспективний ринок транзитера поштової логістики для країн Європейського Союзу.</w:t>
      </w:r>
    </w:p>
    <w:p w:rsidR="008F0800" w:rsidRPr="003C247E" w:rsidRDefault="008F0800" w:rsidP="008F0800">
      <w:pPr>
        <w:spacing w:after="0" w:line="240" w:lineRule="auto"/>
        <w:ind w:firstLine="709"/>
        <w:jc w:val="both"/>
        <w:rPr>
          <w:rFonts w:ascii="Times New Roman" w:eastAsia="Times New Roman" w:hAnsi="Times New Roman" w:cs="Times New Roman"/>
          <w:sz w:val="28"/>
          <w:szCs w:val="28"/>
        </w:rPr>
      </w:pPr>
      <w:r w:rsidRPr="003C247E">
        <w:rPr>
          <w:rFonts w:ascii="Times New Roman" w:eastAsia="Times New Roman" w:hAnsi="Times New Roman" w:cs="Times New Roman"/>
          <w:sz w:val="28"/>
          <w:szCs w:val="28"/>
        </w:rPr>
        <w:t xml:space="preserve">Відповідно до </w:t>
      </w:r>
      <w:r w:rsidRPr="003C247E">
        <w:rPr>
          <w:rFonts w:ascii="Times New Roman" w:eastAsia="Times New Roman" w:hAnsi="Times New Roman" w:cs="Times New Roman"/>
          <w:i/>
          <w:sz w:val="28"/>
          <w:szCs w:val="28"/>
        </w:rPr>
        <w:t>статті 113 Угоди про асоціацію</w:t>
      </w:r>
      <w:r w:rsidR="003253E5" w:rsidRPr="003C247E">
        <w:rPr>
          <w:rFonts w:ascii="Times New Roman" w:eastAsia="Times New Roman" w:hAnsi="Times New Roman" w:cs="Times New Roman"/>
          <w:sz w:val="28"/>
          <w:szCs w:val="28"/>
        </w:rPr>
        <w:t>,</w:t>
      </w:r>
      <w:r w:rsidRPr="003C247E">
        <w:rPr>
          <w:rFonts w:ascii="Times New Roman" w:eastAsia="Times New Roman" w:hAnsi="Times New Roman" w:cs="Times New Roman"/>
          <w:sz w:val="28"/>
          <w:szCs w:val="28"/>
        </w:rPr>
        <w:t xml:space="preserve"> Регуляторний орган повинен бути юридично відокремлений та не підзвітний жодному постачальнику поштових та кур’єрських послуг. Рішення та процедури регуляторного органу повинні бути неупередженими стосовно всіх учасників ринку.</w:t>
      </w:r>
    </w:p>
    <w:p w:rsidR="008F0800" w:rsidRPr="003C247E" w:rsidRDefault="008F0800" w:rsidP="003253E5">
      <w:pPr>
        <w:spacing w:after="0" w:line="276" w:lineRule="auto"/>
        <w:ind w:firstLine="709"/>
        <w:jc w:val="both"/>
        <w:rPr>
          <w:rFonts w:ascii="Times New Roman" w:eastAsia="Times New Roman" w:hAnsi="Times New Roman" w:cs="Times New Roman"/>
          <w:sz w:val="28"/>
          <w:szCs w:val="28"/>
        </w:rPr>
      </w:pPr>
      <w:r w:rsidRPr="003C247E">
        <w:rPr>
          <w:rFonts w:ascii="Times New Roman" w:eastAsia="Times New Roman" w:hAnsi="Times New Roman" w:cs="Times New Roman"/>
          <w:sz w:val="28"/>
          <w:szCs w:val="28"/>
        </w:rPr>
        <w:t xml:space="preserve">Згідно з положеннями </w:t>
      </w:r>
      <w:r w:rsidRPr="003C247E">
        <w:rPr>
          <w:rFonts w:ascii="Times New Roman" w:eastAsia="Times New Roman" w:hAnsi="Times New Roman" w:cs="Times New Roman"/>
          <w:i/>
          <w:sz w:val="28"/>
          <w:szCs w:val="28"/>
        </w:rPr>
        <w:t xml:space="preserve">статті 114 </w:t>
      </w:r>
      <w:r w:rsidR="003253E5" w:rsidRPr="003C247E">
        <w:rPr>
          <w:rFonts w:ascii="Times New Roman" w:eastAsia="Times New Roman" w:hAnsi="Times New Roman" w:cs="Times New Roman"/>
          <w:i/>
          <w:sz w:val="28"/>
          <w:szCs w:val="28"/>
        </w:rPr>
        <w:t>Угоди про асоціацію</w:t>
      </w:r>
      <w:r w:rsidR="003253E5" w:rsidRPr="003C247E">
        <w:rPr>
          <w:rFonts w:ascii="Times New Roman" w:eastAsia="Times New Roman" w:hAnsi="Times New Roman" w:cs="Times New Roman"/>
          <w:sz w:val="28"/>
          <w:szCs w:val="28"/>
        </w:rPr>
        <w:t xml:space="preserve">, </w:t>
      </w:r>
      <w:r w:rsidRPr="003C247E">
        <w:rPr>
          <w:rFonts w:ascii="Times New Roman" w:eastAsia="Times New Roman" w:hAnsi="Times New Roman" w:cs="Times New Roman"/>
          <w:sz w:val="28"/>
          <w:szCs w:val="28"/>
        </w:rPr>
        <w:t xml:space="preserve">Сторони визнають важливість адаптації чинного законодавства України до законодавства Європейського Союзу. Україна забезпечує, щоб існуючі закони та майбутнє законодавство поступово </w:t>
      </w:r>
      <w:r w:rsidR="003253E5" w:rsidRPr="003C247E">
        <w:rPr>
          <w:rFonts w:ascii="Times New Roman" w:eastAsia="Times New Roman" w:hAnsi="Times New Roman" w:cs="Times New Roman"/>
          <w:sz w:val="28"/>
          <w:szCs w:val="28"/>
        </w:rPr>
        <w:t xml:space="preserve">досягли сумісності з </w:t>
      </w:r>
      <w:proofErr w:type="spellStart"/>
      <w:r w:rsidR="003253E5" w:rsidRPr="003C247E">
        <w:rPr>
          <w:rFonts w:ascii="Times New Roman" w:eastAsia="Times New Roman" w:hAnsi="Times New Roman" w:cs="Times New Roman"/>
          <w:sz w:val="28"/>
          <w:szCs w:val="28"/>
        </w:rPr>
        <w:t>acquis</w:t>
      </w:r>
      <w:proofErr w:type="spellEnd"/>
      <w:r w:rsidR="003253E5" w:rsidRPr="003C247E">
        <w:rPr>
          <w:rFonts w:ascii="Times New Roman" w:eastAsia="Times New Roman" w:hAnsi="Times New Roman" w:cs="Times New Roman"/>
          <w:sz w:val="28"/>
          <w:szCs w:val="28"/>
        </w:rPr>
        <w:t xml:space="preserve"> ЄС. </w:t>
      </w:r>
      <w:r w:rsidRPr="003C247E">
        <w:rPr>
          <w:rFonts w:ascii="Times New Roman" w:eastAsia="Times New Roman" w:hAnsi="Times New Roman" w:cs="Times New Roman"/>
          <w:sz w:val="28"/>
          <w:szCs w:val="28"/>
        </w:rPr>
        <w:t xml:space="preserve">Ця адаптація розпочнеться з дати підписання цієї Угоди і поступово пошириться на всі елементи </w:t>
      </w:r>
      <w:proofErr w:type="spellStart"/>
      <w:r w:rsidRPr="003C247E">
        <w:rPr>
          <w:rFonts w:ascii="Times New Roman" w:eastAsia="Times New Roman" w:hAnsi="Times New Roman" w:cs="Times New Roman"/>
          <w:sz w:val="28"/>
          <w:szCs w:val="28"/>
        </w:rPr>
        <w:t>acquis</w:t>
      </w:r>
      <w:proofErr w:type="spellEnd"/>
      <w:r w:rsidRPr="003C247E">
        <w:rPr>
          <w:rFonts w:ascii="Times New Roman" w:eastAsia="Times New Roman" w:hAnsi="Times New Roman" w:cs="Times New Roman"/>
          <w:sz w:val="28"/>
          <w:szCs w:val="28"/>
        </w:rPr>
        <w:t xml:space="preserve"> ЄС, зазначені </w:t>
      </w:r>
      <w:r w:rsidRPr="003C247E">
        <w:rPr>
          <w:rFonts w:ascii="Times New Roman" w:eastAsia="Times New Roman" w:hAnsi="Times New Roman" w:cs="Times New Roman"/>
          <w:i/>
          <w:sz w:val="28"/>
          <w:szCs w:val="28"/>
        </w:rPr>
        <w:t>у Додатку XVІІ до цієї Угоди</w:t>
      </w:r>
      <w:r w:rsidRPr="003C247E">
        <w:rPr>
          <w:rFonts w:ascii="Times New Roman" w:eastAsia="Times New Roman" w:hAnsi="Times New Roman" w:cs="Times New Roman"/>
          <w:sz w:val="28"/>
          <w:szCs w:val="28"/>
        </w:rPr>
        <w:t>.</w:t>
      </w:r>
    </w:p>
    <w:p w:rsidR="003253E5" w:rsidRPr="003C247E" w:rsidRDefault="003253E5" w:rsidP="003253E5">
      <w:pPr>
        <w:spacing w:after="0" w:line="276" w:lineRule="auto"/>
        <w:ind w:firstLine="709"/>
        <w:jc w:val="both"/>
        <w:rPr>
          <w:rFonts w:ascii="Times New Roman" w:eastAsia="Times New Roman" w:hAnsi="Times New Roman" w:cs="Times New Roman"/>
          <w:sz w:val="28"/>
          <w:szCs w:val="28"/>
        </w:rPr>
      </w:pPr>
      <w:r w:rsidRPr="003C247E">
        <w:rPr>
          <w:rFonts w:ascii="Times New Roman" w:eastAsia="Times New Roman" w:hAnsi="Times New Roman" w:cs="Times New Roman"/>
          <w:sz w:val="28"/>
          <w:szCs w:val="28"/>
        </w:rPr>
        <w:t>Згідно з доповненням XVII-4 «</w:t>
      </w:r>
      <w:r w:rsidR="008F0800" w:rsidRPr="003C247E">
        <w:rPr>
          <w:rFonts w:ascii="Times New Roman" w:eastAsia="Times New Roman" w:hAnsi="Times New Roman" w:cs="Times New Roman"/>
          <w:sz w:val="28"/>
          <w:szCs w:val="28"/>
        </w:rPr>
        <w:t>Правила, що застосовуються до</w:t>
      </w:r>
      <w:r w:rsidRPr="003C247E">
        <w:rPr>
          <w:rFonts w:ascii="Times New Roman" w:eastAsia="Times New Roman" w:hAnsi="Times New Roman" w:cs="Times New Roman"/>
          <w:sz w:val="28"/>
          <w:szCs w:val="28"/>
        </w:rPr>
        <w:t xml:space="preserve"> поштових та кур’єрських послуг»</w:t>
      </w:r>
      <w:r w:rsidR="008F0800" w:rsidRPr="003C247E">
        <w:rPr>
          <w:rFonts w:ascii="Times New Roman" w:eastAsia="Times New Roman" w:hAnsi="Times New Roman" w:cs="Times New Roman"/>
          <w:sz w:val="28"/>
          <w:szCs w:val="28"/>
        </w:rPr>
        <w:t xml:space="preserve"> до Угоди про асоціацію повинні бути впроваджені положення </w:t>
      </w:r>
      <w:r w:rsidRPr="003C247E">
        <w:rPr>
          <w:rFonts w:ascii="Times New Roman" w:eastAsia="Times New Roman" w:hAnsi="Times New Roman" w:cs="Times New Roman"/>
          <w:sz w:val="28"/>
          <w:szCs w:val="28"/>
        </w:rPr>
        <w:t xml:space="preserve">актів Європейського Союзу, зокрема, Директиви </w:t>
      </w:r>
      <w:r w:rsidR="008F0800" w:rsidRPr="003C247E">
        <w:rPr>
          <w:rFonts w:ascii="Times New Roman" w:eastAsia="Times New Roman" w:hAnsi="Times New Roman" w:cs="Times New Roman"/>
          <w:sz w:val="28"/>
          <w:szCs w:val="28"/>
        </w:rPr>
        <w:t>97/67/ЄС Європейського Парламенту та Ради від 15 грудня 1997 р. про спільні правила розвитку внутрішнього ринку поштових послуг Співтовариства та вдосконалення якості послу</w:t>
      </w:r>
      <w:r w:rsidRPr="003C247E">
        <w:rPr>
          <w:rFonts w:ascii="Times New Roman" w:eastAsia="Times New Roman" w:hAnsi="Times New Roman" w:cs="Times New Roman"/>
          <w:sz w:val="28"/>
          <w:szCs w:val="28"/>
        </w:rPr>
        <w:t xml:space="preserve"> (OJ L 15, 21.1.1998, p. 14–25) (далі – Директива 97/67)</w:t>
      </w:r>
      <w:r w:rsidR="008F0800" w:rsidRPr="003C247E">
        <w:rPr>
          <w:rFonts w:ascii="Times New Roman" w:eastAsia="Times New Roman" w:hAnsi="Times New Roman" w:cs="Times New Roman"/>
          <w:sz w:val="28"/>
          <w:szCs w:val="28"/>
        </w:rPr>
        <w:t xml:space="preserve">. </w:t>
      </w:r>
    </w:p>
    <w:p w:rsidR="007F56C3" w:rsidRPr="007F56C3" w:rsidRDefault="007F56C3" w:rsidP="007F56C3">
      <w:pPr>
        <w:spacing w:after="0" w:line="276" w:lineRule="auto"/>
        <w:ind w:firstLine="709"/>
        <w:jc w:val="both"/>
        <w:rPr>
          <w:rFonts w:ascii="Times New Roman" w:eastAsia="Times New Roman" w:hAnsi="Times New Roman" w:cs="Times New Roman"/>
          <w:sz w:val="28"/>
          <w:szCs w:val="28"/>
        </w:rPr>
      </w:pPr>
      <w:r w:rsidRPr="007F56C3">
        <w:rPr>
          <w:rFonts w:ascii="Times New Roman" w:eastAsia="Times New Roman" w:hAnsi="Times New Roman" w:cs="Times New Roman"/>
          <w:sz w:val="28"/>
          <w:szCs w:val="28"/>
        </w:rPr>
        <w:t>Згідно з абзацом пер</w:t>
      </w:r>
      <w:r>
        <w:rPr>
          <w:rFonts w:ascii="Times New Roman" w:eastAsia="Times New Roman" w:hAnsi="Times New Roman" w:cs="Times New Roman"/>
          <w:sz w:val="28"/>
          <w:szCs w:val="28"/>
        </w:rPr>
        <w:t>шим статті 16 Директиви 97/67</w:t>
      </w:r>
      <w:r w:rsidRPr="007F56C3">
        <w:rPr>
          <w:rFonts w:ascii="Times New Roman" w:eastAsia="Times New Roman" w:hAnsi="Times New Roman" w:cs="Times New Roman"/>
          <w:sz w:val="28"/>
          <w:szCs w:val="28"/>
        </w:rPr>
        <w:t xml:space="preserve"> держави-члени стежать за тим, щоб стандарти в галузі якості обслуговування були встановленими та опублікованими для загального обслуговування з метою забезпечення поштового обслуговування належної якості. Під загальним обслуговуванням у Директиві маються на увазі послуги, що в українському законодавстві позначаються як «універсальні послуги».</w:t>
      </w:r>
    </w:p>
    <w:p w:rsidR="007F56C3" w:rsidRPr="007F56C3" w:rsidRDefault="007F56C3" w:rsidP="007F56C3">
      <w:pPr>
        <w:spacing w:after="0" w:line="276" w:lineRule="auto"/>
        <w:ind w:firstLine="709"/>
        <w:jc w:val="both"/>
        <w:rPr>
          <w:rFonts w:ascii="Times New Roman" w:eastAsia="Times New Roman" w:hAnsi="Times New Roman" w:cs="Times New Roman"/>
          <w:sz w:val="28"/>
          <w:szCs w:val="28"/>
        </w:rPr>
      </w:pPr>
      <w:r w:rsidRPr="007F56C3">
        <w:rPr>
          <w:rFonts w:ascii="Times New Roman" w:eastAsia="Times New Roman" w:hAnsi="Times New Roman" w:cs="Times New Roman"/>
          <w:sz w:val="28"/>
          <w:szCs w:val="28"/>
        </w:rPr>
        <w:lastRenderedPageBreak/>
        <w:t>Абзац четвер</w:t>
      </w:r>
      <w:r>
        <w:rPr>
          <w:rFonts w:ascii="Times New Roman" w:eastAsia="Times New Roman" w:hAnsi="Times New Roman" w:cs="Times New Roman"/>
          <w:sz w:val="28"/>
          <w:szCs w:val="28"/>
        </w:rPr>
        <w:t>тий статті 16 Директиви 97/67</w:t>
      </w:r>
      <w:r w:rsidRPr="007F56C3">
        <w:rPr>
          <w:rFonts w:ascii="Times New Roman" w:eastAsia="Times New Roman" w:hAnsi="Times New Roman" w:cs="Times New Roman"/>
          <w:sz w:val="28"/>
          <w:szCs w:val="28"/>
        </w:rPr>
        <w:t xml:space="preserve"> передбачає обов’язковість незалежного контролю щонайменше один раз на рік за провайдерами загального обслуговування.</w:t>
      </w:r>
    </w:p>
    <w:p w:rsidR="007F56C3" w:rsidRPr="007F56C3" w:rsidRDefault="007F56C3" w:rsidP="007F56C3">
      <w:pPr>
        <w:spacing w:after="0" w:line="276" w:lineRule="auto"/>
        <w:ind w:firstLine="709"/>
        <w:jc w:val="both"/>
        <w:rPr>
          <w:rFonts w:ascii="Times New Roman" w:eastAsia="Times New Roman" w:hAnsi="Times New Roman" w:cs="Times New Roman"/>
          <w:sz w:val="28"/>
          <w:szCs w:val="28"/>
        </w:rPr>
      </w:pPr>
      <w:r w:rsidRPr="007F56C3">
        <w:rPr>
          <w:rFonts w:ascii="Times New Roman" w:eastAsia="Times New Roman" w:hAnsi="Times New Roman" w:cs="Times New Roman"/>
          <w:sz w:val="28"/>
          <w:szCs w:val="28"/>
        </w:rPr>
        <w:t>Відповідно до частини дру</w:t>
      </w:r>
      <w:r>
        <w:rPr>
          <w:rFonts w:ascii="Times New Roman" w:eastAsia="Times New Roman" w:hAnsi="Times New Roman" w:cs="Times New Roman"/>
          <w:sz w:val="28"/>
          <w:szCs w:val="28"/>
        </w:rPr>
        <w:t>гої статті 22 Директиви 97/67</w:t>
      </w:r>
      <w:r w:rsidRPr="007F56C3">
        <w:rPr>
          <w:rFonts w:ascii="Times New Roman" w:eastAsia="Times New Roman" w:hAnsi="Times New Roman" w:cs="Times New Roman"/>
          <w:sz w:val="28"/>
          <w:szCs w:val="28"/>
        </w:rPr>
        <w:t xml:space="preserve"> національні регуляторні органи мають завдання забезпечувати дотримання зобов’язань, передбачених цією Директивою, зокрема, шляхом запровадження процедур моніторингу та нормативно-правових процедур з метою гарантування здійснення загального обслуговування. На них також можуть бути покладені зобов’язання щодо забезпечення дотримання правил конкуренції в поштовому секторі.</w:t>
      </w:r>
    </w:p>
    <w:p w:rsidR="007F56C3" w:rsidRDefault="007F56C3" w:rsidP="007F56C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Директива 97/67</w:t>
      </w:r>
      <w:r w:rsidRPr="007F56C3">
        <w:rPr>
          <w:rFonts w:ascii="Times New Roman" w:eastAsia="Times New Roman" w:hAnsi="Times New Roman" w:cs="Times New Roman"/>
          <w:sz w:val="28"/>
          <w:szCs w:val="28"/>
        </w:rPr>
        <w:t xml:space="preserve"> передбачає повноваження національного регулятора по забезпеченню дотримання стандартів надання лише універсальних послуг (загального обс</w:t>
      </w:r>
      <w:r>
        <w:rPr>
          <w:rFonts w:ascii="Times New Roman" w:eastAsia="Times New Roman" w:hAnsi="Times New Roman" w:cs="Times New Roman"/>
          <w:sz w:val="28"/>
          <w:szCs w:val="28"/>
        </w:rPr>
        <w:t>луговування). Директива 97/67</w:t>
      </w:r>
      <w:r w:rsidRPr="007F56C3">
        <w:rPr>
          <w:rFonts w:ascii="Times New Roman" w:eastAsia="Times New Roman" w:hAnsi="Times New Roman" w:cs="Times New Roman"/>
          <w:sz w:val="28"/>
          <w:szCs w:val="28"/>
        </w:rPr>
        <w:t xml:space="preserve"> не містить норм щодо обов’язковості запровадження контролю щодо послуг, які не входять до переліку універсальних.  </w:t>
      </w:r>
    </w:p>
    <w:p w:rsidR="003C247E" w:rsidRDefault="00560EDE" w:rsidP="007F56C3">
      <w:pPr>
        <w:spacing w:after="0" w:line="276" w:lineRule="auto"/>
        <w:ind w:firstLine="709"/>
        <w:jc w:val="both"/>
        <w:rPr>
          <w:rFonts w:ascii="Times New Roman" w:eastAsia="Times New Roman" w:hAnsi="Times New Roman" w:cs="Times New Roman"/>
          <w:sz w:val="28"/>
          <w:szCs w:val="28"/>
        </w:rPr>
      </w:pPr>
      <w:r w:rsidRPr="003C247E">
        <w:rPr>
          <w:rFonts w:ascii="Times New Roman" w:eastAsia="Times New Roman" w:hAnsi="Times New Roman" w:cs="Times New Roman"/>
          <w:sz w:val="28"/>
          <w:szCs w:val="28"/>
        </w:rPr>
        <w:t xml:space="preserve">Відповідно до </w:t>
      </w:r>
      <w:r w:rsidRPr="003C247E">
        <w:rPr>
          <w:rFonts w:ascii="Times New Roman" w:eastAsia="Times New Roman" w:hAnsi="Times New Roman" w:cs="Times New Roman"/>
          <w:i/>
          <w:sz w:val="28"/>
          <w:szCs w:val="28"/>
        </w:rPr>
        <w:t>частини третьої статті 22 Директиви 97/67</w:t>
      </w:r>
      <w:r w:rsidRPr="003C247E">
        <w:rPr>
          <w:rFonts w:ascii="Times New Roman" w:eastAsia="Times New Roman" w:hAnsi="Times New Roman" w:cs="Times New Roman"/>
          <w:sz w:val="28"/>
          <w:szCs w:val="28"/>
        </w:rPr>
        <w:t xml:space="preserve">, </w:t>
      </w:r>
      <w:r w:rsidR="003838D3" w:rsidRPr="003C247E">
        <w:rPr>
          <w:rFonts w:ascii="Times New Roman" w:eastAsia="Times New Roman" w:hAnsi="Times New Roman" w:cs="Times New Roman"/>
          <w:sz w:val="28"/>
          <w:szCs w:val="28"/>
        </w:rPr>
        <w:t>Держави-члени стежать за тим, щоб на національному рівні існували ефективні механізми, які дозволяють будь-якому користувачу або будь-якому провайдеру поштових послуг, якому було завдано шкоди рішенням, прийнятим національним регуляторним органом, подавати оскарження до незалежного від зацікавлених сторін органу. Протягом періоду очікування завершення процедури рішення національного регуляторного органу залишається чинним, за винятком ситуацій, коли орган, до якого подається оскарження, приймає інше рішення.</w:t>
      </w:r>
      <w:r w:rsidR="00D62C1A" w:rsidRPr="003C247E">
        <w:rPr>
          <w:rFonts w:ascii="Times New Roman" w:eastAsia="Times New Roman" w:hAnsi="Times New Roman" w:cs="Times New Roman"/>
          <w:sz w:val="28"/>
          <w:szCs w:val="28"/>
        </w:rPr>
        <w:t xml:space="preserve"> </w:t>
      </w:r>
    </w:p>
    <w:p w:rsidR="00A46AF7" w:rsidRPr="003C247E" w:rsidRDefault="00D62C1A" w:rsidP="00D62C1A">
      <w:pPr>
        <w:spacing w:after="0" w:line="276" w:lineRule="auto"/>
        <w:ind w:firstLine="709"/>
        <w:jc w:val="both"/>
        <w:rPr>
          <w:rFonts w:ascii="Times New Roman" w:eastAsia="Times New Roman" w:hAnsi="Times New Roman" w:cs="Times New Roman"/>
          <w:sz w:val="28"/>
          <w:szCs w:val="28"/>
        </w:rPr>
      </w:pPr>
      <w:r w:rsidRPr="003C247E">
        <w:rPr>
          <w:rFonts w:ascii="Times New Roman" w:eastAsia="Times New Roman" w:hAnsi="Times New Roman" w:cs="Times New Roman"/>
          <w:sz w:val="28"/>
          <w:szCs w:val="28"/>
        </w:rPr>
        <w:t xml:space="preserve">Ці положення </w:t>
      </w:r>
      <w:r w:rsidRPr="003C247E">
        <w:rPr>
          <w:rFonts w:ascii="Times New Roman" w:eastAsia="Times New Roman" w:hAnsi="Times New Roman" w:cs="Times New Roman"/>
          <w:sz w:val="28"/>
          <w:szCs w:val="28"/>
          <w:u w:val="single"/>
        </w:rPr>
        <w:t>враховано</w:t>
      </w:r>
      <w:r w:rsidRPr="003C247E">
        <w:rPr>
          <w:rFonts w:ascii="Times New Roman" w:eastAsia="Times New Roman" w:hAnsi="Times New Roman" w:cs="Times New Roman"/>
          <w:sz w:val="28"/>
          <w:szCs w:val="28"/>
        </w:rPr>
        <w:t xml:space="preserve"> в частині десятій статті 14 законопроекту, а саме, що  рішення  Регулятора комунікаційних послуг можуть бути оскаржені в судовому порядку. Оскарження рішень Регулятора комунікаційних послуг не зупиняє їх виконання.</w:t>
      </w:r>
    </w:p>
    <w:p w:rsidR="00093830" w:rsidRPr="003C247E" w:rsidRDefault="00093830" w:rsidP="00D62C1A">
      <w:pPr>
        <w:spacing w:after="0" w:line="276" w:lineRule="auto"/>
        <w:jc w:val="both"/>
        <w:outlineLvl w:val="2"/>
        <w:rPr>
          <w:rFonts w:ascii="Times New Roman" w:eastAsia="Times New Roman" w:hAnsi="Times New Roman" w:cs="Times New Roman"/>
          <w:sz w:val="28"/>
          <w:szCs w:val="28"/>
          <w:lang w:eastAsia="ru-RU"/>
        </w:rPr>
      </w:pPr>
    </w:p>
    <w:p w:rsidR="002D5498" w:rsidRPr="001F310E" w:rsidRDefault="002D5498" w:rsidP="001F310E">
      <w:pPr>
        <w:spacing w:after="0" w:line="276" w:lineRule="auto"/>
        <w:ind w:firstLine="567"/>
        <w:jc w:val="both"/>
        <w:outlineLvl w:val="2"/>
        <w:rPr>
          <w:rFonts w:ascii="Times New Roman" w:eastAsia="Times New Roman" w:hAnsi="Times New Roman" w:cs="Times New Roman"/>
          <w:sz w:val="28"/>
          <w:szCs w:val="28"/>
          <w:lang w:eastAsia="ru-RU"/>
        </w:rPr>
      </w:pPr>
      <w:r w:rsidRPr="003C247E">
        <w:rPr>
          <w:rFonts w:ascii="Times New Roman" w:eastAsia="Times New Roman" w:hAnsi="Times New Roman" w:cs="Times New Roman"/>
          <w:sz w:val="28"/>
          <w:szCs w:val="28"/>
          <w:lang w:eastAsia="ru-RU"/>
        </w:rPr>
        <w:t>З огл</w:t>
      </w:r>
      <w:r w:rsidR="00FA2218" w:rsidRPr="003C247E">
        <w:rPr>
          <w:rFonts w:ascii="Times New Roman" w:eastAsia="Times New Roman" w:hAnsi="Times New Roman" w:cs="Times New Roman"/>
          <w:sz w:val="28"/>
          <w:szCs w:val="28"/>
          <w:lang w:eastAsia="ru-RU"/>
        </w:rPr>
        <w:t xml:space="preserve">яду на зазначене, проект Закону </w:t>
      </w:r>
      <w:r w:rsidR="00862E18" w:rsidRPr="003C247E">
        <w:rPr>
          <w:rFonts w:ascii="Times New Roman" w:eastAsia="Times New Roman" w:hAnsi="Times New Roman" w:cs="Times New Roman"/>
          <w:b/>
          <w:sz w:val="28"/>
          <w:szCs w:val="28"/>
          <w:lang w:eastAsia="ru-RU"/>
        </w:rPr>
        <w:t xml:space="preserve">не </w:t>
      </w:r>
      <w:r w:rsidR="00AA6DBF" w:rsidRPr="003C247E">
        <w:rPr>
          <w:rFonts w:ascii="Times New Roman" w:eastAsia="Times New Roman" w:hAnsi="Times New Roman" w:cs="Times New Roman"/>
          <w:b/>
          <w:sz w:val="28"/>
          <w:szCs w:val="28"/>
          <w:lang w:eastAsia="ru-RU"/>
        </w:rPr>
        <w:t xml:space="preserve">суперечить </w:t>
      </w:r>
      <w:r w:rsidR="00AA6DBF" w:rsidRPr="003C247E">
        <w:rPr>
          <w:rFonts w:ascii="Times New Roman" w:eastAsia="Times New Roman" w:hAnsi="Times New Roman" w:cs="Times New Roman"/>
          <w:sz w:val="28"/>
          <w:szCs w:val="28"/>
          <w:lang w:eastAsia="ru-RU"/>
        </w:rPr>
        <w:t>міжнародно-правовим зобов’язанням України в сфері європейської інтеграції</w:t>
      </w:r>
      <w:r w:rsidR="00805D52" w:rsidRPr="007F56C3">
        <w:rPr>
          <w:rFonts w:ascii="Times New Roman" w:eastAsia="Times New Roman" w:hAnsi="Times New Roman" w:cs="Times New Roman"/>
          <w:sz w:val="28"/>
          <w:szCs w:val="28"/>
          <w:lang w:eastAsia="ru-RU"/>
        </w:rPr>
        <w:t xml:space="preserve">, </w:t>
      </w:r>
      <w:r w:rsidR="00805D52" w:rsidRPr="007F56C3">
        <w:rPr>
          <w:rFonts w:ascii="Times New Roman" w:eastAsia="Times New Roman" w:hAnsi="Times New Roman" w:cs="Times New Roman"/>
          <w:b/>
          <w:sz w:val="28"/>
          <w:szCs w:val="28"/>
          <w:lang w:eastAsia="ru-RU"/>
        </w:rPr>
        <w:t xml:space="preserve">але потребує </w:t>
      </w:r>
      <w:r w:rsidR="00456318">
        <w:rPr>
          <w:rFonts w:ascii="Times New Roman" w:eastAsia="Times New Roman" w:hAnsi="Times New Roman" w:cs="Times New Roman"/>
          <w:b/>
          <w:sz w:val="28"/>
          <w:szCs w:val="28"/>
          <w:lang w:eastAsia="ru-RU"/>
        </w:rPr>
        <w:t xml:space="preserve">суттєвого </w:t>
      </w:r>
      <w:r w:rsidR="00805D52" w:rsidRPr="007F56C3">
        <w:rPr>
          <w:rFonts w:ascii="Times New Roman" w:eastAsia="Times New Roman" w:hAnsi="Times New Roman" w:cs="Times New Roman"/>
          <w:b/>
          <w:sz w:val="28"/>
          <w:szCs w:val="28"/>
          <w:lang w:eastAsia="ru-RU"/>
        </w:rPr>
        <w:t>доопрацювання</w:t>
      </w:r>
      <w:r w:rsidR="00805D52" w:rsidRPr="007F56C3">
        <w:rPr>
          <w:rFonts w:ascii="Times New Roman" w:eastAsia="Times New Roman" w:hAnsi="Times New Roman" w:cs="Times New Roman"/>
          <w:sz w:val="28"/>
          <w:szCs w:val="28"/>
          <w:lang w:eastAsia="ru-RU"/>
        </w:rPr>
        <w:t xml:space="preserve"> з мет</w:t>
      </w:r>
      <w:r w:rsidR="00456318">
        <w:rPr>
          <w:rFonts w:ascii="Times New Roman" w:eastAsia="Times New Roman" w:hAnsi="Times New Roman" w:cs="Times New Roman"/>
          <w:sz w:val="28"/>
          <w:szCs w:val="28"/>
          <w:lang w:eastAsia="ru-RU"/>
        </w:rPr>
        <w:t>ою врахування положень Директив</w:t>
      </w:r>
      <w:r w:rsidR="001F310E">
        <w:rPr>
          <w:rFonts w:ascii="Times New Roman" w:eastAsia="Times New Roman" w:hAnsi="Times New Roman" w:cs="Times New Roman"/>
          <w:sz w:val="28"/>
          <w:szCs w:val="28"/>
          <w:lang w:eastAsia="ru-RU"/>
        </w:rPr>
        <w:t>и</w:t>
      </w:r>
      <w:r w:rsidR="00805D52" w:rsidRPr="007F56C3">
        <w:rPr>
          <w:rFonts w:ascii="Times New Roman" w:eastAsia="Times New Roman" w:hAnsi="Times New Roman" w:cs="Times New Roman"/>
          <w:sz w:val="28"/>
          <w:szCs w:val="28"/>
          <w:lang w:eastAsia="ru-RU"/>
        </w:rPr>
        <w:t xml:space="preserve"> </w:t>
      </w:r>
      <w:r w:rsidR="007F56C3" w:rsidRPr="007F56C3">
        <w:rPr>
          <w:rFonts w:ascii="Times New Roman" w:eastAsia="Times New Roman" w:hAnsi="Times New Roman" w:cs="Times New Roman"/>
          <w:sz w:val="28"/>
          <w:szCs w:val="28"/>
          <w:lang w:eastAsia="ru-RU"/>
        </w:rPr>
        <w:t xml:space="preserve">2002/21, </w:t>
      </w:r>
      <w:r w:rsidR="001F310E">
        <w:rPr>
          <w:rFonts w:ascii="Times New Roman" w:eastAsia="Times New Roman" w:hAnsi="Times New Roman" w:cs="Times New Roman"/>
          <w:sz w:val="28"/>
          <w:szCs w:val="28"/>
          <w:lang w:eastAsia="ru-RU"/>
        </w:rPr>
        <w:t xml:space="preserve">Директиви </w:t>
      </w:r>
      <w:r w:rsidR="00456318">
        <w:rPr>
          <w:rFonts w:ascii="Times New Roman" w:eastAsia="Times New Roman" w:hAnsi="Times New Roman" w:cs="Times New Roman"/>
          <w:sz w:val="28"/>
          <w:szCs w:val="28"/>
          <w:lang w:eastAsia="ru-RU"/>
        </w:rPr>
        <w:t>2018/1972</w:t>
      </w:r>
      <w:r w:rsidR="001F310E">
        <w:rPr>
          <w:rFonts w:ascii="Times New Roman" w:eastAsia="Times New Roman" w:hAnsi="Times New Roman" w:cs="Times New Roman"/>
          <w:sz w:val="28"/>
          <w:szCs w:val="28"/>
          <w:lang w:eastAsia="ru-RU"/>
        </w:rPr>
        <w:t xml:space="preserve"> </w:t>
      </w:r>
      <w:r w:rsidR="001F310E" w:rsidRPr="001F310E">
        <w:rPr>
          <w:rFonts w:ascii="Times New Roman" w:eastAsia="Times New Roman" w:hAnsi="Times New Roman" w:cs="Times New Roman"/>
          <w:sz w:val="28"/>
          <w:szCs w:val="28"/>
          <w:lang w:eastAsia="ru-RU"/>
        </w:rPr>
        <w:t>(про запровадження Європейського кодексу електронних</w:t>
      </w:r>
      <w:r w:rsidR="001F310E">
        <w:rPr>
          <w:rFonts w:ascii="Times New Roman" w:eastAsia="Times New Roman" w:hAnsi="Times New Roman" w:cs="Times New Roman"/>
          <w:sz w:val="28"/>
          <w:szCs w:val="28"/>
          <w:lang w:eastAsia="ru-RU"/>
        </w:rPr>
        <w:t xml:space="preserve"> </w:t>
      </w:r>
      <w:r w:rsidR="001F310E" w:rsidRPr="001F310E">
        <w:rPr>
          <w:rFonts w:ascii="Times New Roman" w:eastAsia="Times New Roman" w:hAnsi="Times New Roman" w:cs="Times New Roman"/>
          <w:sz w:val="28"/>
          <w:szCs w:val="28"/>
          <w:lang w:eastAsia="ru-RU"/>
        </w:rPr>
        <w:t>комунікацій)</w:t>
      </w:r>
      <w:r w:rsidR="00456318">
        <w:rPr>
          <w:rFonts w:ascii="Times New Roman" w:eastAsia="Times New Roman" w:hAnsi="Times New Roman" w:cs="Times New Roman"/>
          <w:sz w:val="28"/>
          <w:szCs w:val="28"/>
          <w:lang w:eastAsia="ru-RU"/>
        </w:rPr>
        <w:t xml:space="preserve">, </w:t>
      </w:r>
      <w:r w:rsidR="001F310E">
        <w:rPr>
          <w:rFonts w:ascii="Times New Roman" w:eastAsia="Times New Roman" w:hAnsi="Times New Roman" w:cs="Times New Roman"/>
          <w:sz w:val="28"/>
          <w:szCs w:val="28"/>
          <w:lang w:eastAsia="ru-RU"/>
        </w:rPr>
        <w:t xml:space="preserve">Директиви </w:t>
      </w:r>
      <w:bookmarkStart w:id="0" w:name="_GoBack"/>
      <w:bookmarkEnd w:id="0"/>
      <w:r w:rsidR="00805D52" w:rsidRPr="007F56C3">
        <w:rPr>
          <w:rFonts w:ascii="Times New Roman" w:eastAsia="Times New Roman" w:hAnsi="Times New Roman" w:cs="Times New Roman"/>
          <w:sz w:val="28"/>
          <w:szCs w:val="28"/>
          <w:lang w:eastAsia="ru-RU"/>
        </w:rPr>
        <w:t>97/67</w:t>
      </w:r>
      <w:r w:rsidR="00456318">
        <w:rPr>
          <w:rFonts w:ascii="Times New Roman" w:eastAsia="Times New Roman" w:hAnsi="Times New Roman" w:cs="Times New Roman"/>
          <w:sz w:val="28"/>
          <w:szCs w:val="28"/>
          <w:lang w:eastAsia="ru-RU"/>
        </w:rPr>
        <w:t>, зокрема,</w:t>
      </w:r>
      <w:r w:rsidR="007F56C3" w:rsidRPr="007F56C3">
        <w:rPr>
          <w:rFonts w:ascii="Times New Roman" w:eastAsia="Times New Roman" w:hAnsi="Times New Roman" w:cs="Times New Roman"/>
          <w:sz w:val="28"/>
          <w:szCs w:val="28"/>
          <w:lang w:eastAsia="ru-RU"/>
        </w:rPr>
        <w:t xml:space="preserve"> в частині </w:t>
      </w:r>
      <w:r w:rsidR="00456318">
        <w:rPr>
          <w:rFonts w:ascii="Times New Roman" w:eastAsia="Times New Roman" w:hAnsi="Times New Roman" w:cs="Times New Roman"/>
          <w:sz w:val="28"/>
          <w:szCs w:val="28"/>
          <w:lang w:eastAsia="ru-RU"/>
        </w:rPr>
        <w:t xml:space="preserve">розділення питання вироблення політики від регуляторної функції, та </w:t>
      </w:r>
      <w:r w:rsidR="007F56C3" w:rsidRPr="007F56C3">
        <w:rPr>
          <w:rFonts w:ascii="Times New Roman" w:eastAsia="Times New Roman" w:hAnsi="Times New Roman" w:cs="Times New Roman"/>
          <w:sz w:val="28"/>
          <w:szCs w:val="28"/>
          <w:lang w:eastAsia="ru-RU"/>
        </w:rPr>
        <w:t>поширення повноваження національного регулятора по забезпеченню дотримання стан</w:t>
      </w:r>
      <w:r w:rsidR="007F56C3">
        <w:rPr>
          <w:rFonts w:ascii="Times New Roman" w:eastAsia="Times New Roman" w:hAnsi="Times New Roman" w:cs="Times New Roman"/>
          <w:sz w:val="28"/>
          <w:szCs w:val="28"/>
          <w:lang w:eastAsia="ru-RU"/>
        </w:rPr>
        <w:t>дартів послуг поштового зв’язку лише на універсальні послуги</w:t>
      </w:r>
      <w:r w:rsidR="00456318">
        <w:rPr>
          <w:rFonts w:ascii="Times New Roman" w:eastAsia="Times New Roman" w:hAnsi="Times New Roman" w:cs="Times New Roman"/>
          <w:sz w:val="28"/>
          <w:szCs w:val="28"/>
          <w:lang w:eastAsia="ru-RU"/>
        </w:rPr>
        <w:t xml:space="preserve">. </w:t>
      </w:r>
    </w:p>
    <w:p w:rsidR="00805D52" w:rsidRPr="003C247E" w:rsidRDefault="00805D52" w:rsidP="007F56C3">
      <w:pPr>
        <w:spacing w:after="0" w:line="276" w:lineRule="auto"/>
        <w:jc w:val="both"/>
        <w:outlineLvl w:val="2"/>
        <w:rPr>
          <w:rFonts w:ascii="Times New Roman" w:hAnsi="Times New Roman" w:cs="Times New Roman"/>
          <w:b/>
          <w:sz w:val="28"/>
          <w:szCs w:val="28"/>
        </w:rPr>
      </w:pPr>
    </w:p>
    <w:p w:rsidR="00093830" w:rsidRPr="003C247E" w:rsidRDefault="001B1CFD" w:rsidP="00AA6DBF">
      <w:pPr>
        <w:spacing w:after="0" w:line="276" w:lineRule="auto"/>
        <w:ind w:firstLine="567"/>
        <w:jc w:val="both"/>
        <w:rPr>
          <w:rFonts w:ascii="Times New Roman" w:hAnsi="Times New Roman" w:cs="Times New Roman"/>
          <w:sz w:val="28"/>
          <w:szCs w:val="28"/>
        </w:rPr>
      </w:pPr>
      <w:r>
        <w:rPr>
          <w:rFonts w:ascii="Times New Roman" w:hAnsi="Times New Roman"/>
          <w:b/>
          <w:sz w:val="28"/>
          <w:szCs w:val="28"/>
        </w:rPr>
        <w:t>Голова Комітету                                               І.О. КЛИМПУШ-ЦИНЦАДЗЕ</w:t>
      </w:r>
    </w:p>
    <w:sectPr w:rsidR="00093830" w:rsidRPr="003C247E" w:rsidSect="009B6357">
      <w:headerReference w:type="default" r:id="rId9"/>
      <w:headerReference w:type="first" r:id="rId10"/>
      <w:pgSz w:w="11906" w:h="16838"/>
      <w:pgMar w:top="426" w:right="850"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36E" w:rsidRDefault="00D3036E" w:rsidP="008A5974">
      <w:pPr>
        <w:spacing w:after="0" w:line="240" w:lineRule="auto"/>
      </w:pPr>
      <w:r>
        <w:separator/>
      </w:r>
    </w:p>
  </w:endnote>
  <w:endnote w:type="continuationSeparator" w:id="0">
    <w:p w:rsidR="00D3036E" w:rsidRDefault="00D3036E" w:rsidP="008A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36E" w:rsidRDefault="00D3036E" w:rsidP="008A5974">
      <w:pPr>
        <w:spacing w:after="0" w:line="240" w:lineRule="auto"/>
      </w:pPr>
      <w:r>
        <w:separator/>
      </w:r>
    </w:p>
  </w:footnote>
  <w:footnote w:type="continuationSeparator" w:id="0">
    <w:p w:rsidR="00D3036E" w:rsidRDefault="00D3036E" w:rsidP="008A5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74805"/>
      <w:docPartObj>
        <w:docPartGallery w:val="Page Numbers (Top of Page)"/>
        <w:docPartUnique/>
      </w:docPartObj>
    </w:sdtPr>
    <w:sdtEndPr/>
    <w:sdtContent>
      <w:p w:rsidR="00131AB6" w:rsidRDefault="00131AB6">
        <w:pPr>
          <w:pStyle w:val="a5"/>
          <w:jc w:val="center"/>
        </w:pPr>
        <w:r>
          <w:fldChar w:fldCharType="begin"/>
        </w:r>
        <w:r>
          <w:instrText>PAGE   \* MERGEFORMAT</w:instrText>
        </w:r>
        <w:r>
          <w:fldChar w:fldCharType="separate"/>
        </w:r>
        <w:r w:rsidR="001F310E">
          <w:rPr>
            <w:noProof/>
          </w:rPr>
          <w:t>8</w:t>
        </w:r>
        <w:r>
          <w:fldChar w:fldCharType="end"/>
        </w:r>
      </w:p>
    </w:sdtContent>
  </w:sdt>
  <w:p w:rsidR="00131AB6" w:rsidRDefault="00131A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B6" w:rsidRPr="004E0F28" w:rsidRDefault="00131AB6" w:rsidP="00DC3562">
    <w:pPr>
      <w:pStyle w:val="a5"/>
      <w:jc w:val="right"/>
      <w:rPr>
        <w:rFonts w:ascii="Times New Roman" w:hAnsi="Times New Roman" w:cs="Times New Roman"/>
        <w:b/>
        <w:color w:val="FF0000"/>
        <w:sz w:val="2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D06"/>
    <w:multiLevelType w:val="hybridMultilevel"/>
    <w:tmpl w:val="A79EC5B4"/>
    <w:lvl w:ilvl="0" w:tplc="582C1CE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0CA5058"/>
    <w:multiLevelType w:val="hybridMultilevel"/>
    <w:tmpl w:val="DD023D30"/>
    <w:lvl w:ilvl="0" w:tplc="4D60DC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76B265C"/>
    <w:multiLevelType w:val="hybridMultilevel"/>
    <w:tmpl w:val="33B4C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BEE72F5"/>
    <w:multiLevelType w:val="hybridMultilevel"/>
    <w:tmpl w:val="29505128"/>
    <w:lvl w:ilvl="0" w:tplc="E8AEE80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D3224A9"/>
    <w:multiLevelType w:val="hybridMultilevel"/>
    <w:tmpl w:val="581CA774"/>
    <w:lvl w:ilvl="0" w:tplc="CA6413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1425FA0"/>
    <w:multiLevelType w:val="hybridMultilevel"/>
    <w:tmpl w:val="021681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C3F037E"/>
    <w:multiLevelType w:val="hybridMultilevel"/>
    <w:tmpl w:val="D3061C78"/>
    <w:lvl w:ilvl="0" w:tplc="A1C46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45A92694"/>
    <w:multiLevelType w:val="hybridMultilevel"/>
    <w:tmpl w:val="05366782"/>
    <w:lvl w:ilvl="0" w:tplc="4914FCF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45F75E39"/>
    <w:multiLevelType w:val="hybridMultilevel"/>
    <w:tmpl w:val="E398FDBE"/>
    <w:lvl w:ilvl="0" w:tplc="68E46BE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84248D6"/>
    <w:multiLevelType w:val="hybridMultilevel"/>
    <w:tmpl w:val="42A8B5C4"/>
    <w:lvl w:ilvl="0" w:tplc="6FB6FE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54CC53B6"/>
    <w:multiLevelType w:val="hybridMultilevel"/>
    <w:tmpl w:val="744AD482"/>
    <w:lvl w:ilvl="0" w:tplc="E946DC7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54CD11CB"/>
    <w:multiLevelType w:val="multilevel"/>
    <w:tmpl w:val="AFB2CA26"/>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2" w15:restartNumberingAfterBreak="0">
    <w:nsid w:val="56D03B8C"/>
    <w:multiLevelType w:val="hybridMultilevel"/>
    <w:tmpl w:val="6FE41BAA"/>
    <w:lvl w:ilvl="0" w:tplc="11BA88EC">
      <w:start w:val="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581561F3"/>
    <w:multiLevelType w:val="hybridMultilevel"/>
    <w:tmpl w:val="91F863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1110AA"/>
    <w:multiLevelType w:val="hybridMultilevel"/>
    <w:tmpl w:val="3BE8AD26"/>
    <w:lvl w:ilvl="0" w:tplc="71E6F62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631A22D3"/>
    <w:multiLevelType w:val="hybridMultilevel"/>
    <w:tmpl w:val="B9CC6C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A3594F"/>
    <w:multiLevelType w:val="hybridMultilevel"/>
    <w:tmpl w:val="412A6E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16"/>
  </w:num>
  <w:num w:numId="3">
    <w:abstractNumId w:val="2"/>
  </w:num>
  <w:num w:numId="4">
    <w:abstractNumId w:val="5"/>
  </w:num>
  <w:num w:numId="5">
    <w:abstractNumId w:val="13"/>
  </w:num>
  <w:num w:numId="6">
    <w:abstractNumId w:val="4"/>
  </w:num>
  <w:num w:numId="7">
    <w:abstractNumId w:val="6"/>
  </w:num>
  <w:num w:numId="8">
    <w:abstractNumId w:val="3"/>
  </w:num>
  <w:num w:numId="9">
    <w:abstractNumId w:val="7"/>
  </w:num>
  <w:num w:numId="10">
    <w:abstractNumId w:val="14"/>
  </w:num>
  <w:num w:numId="11">
    <w:abstractNumId w:val="10"/>
  </w:num>
  <w:num w:numId="12">
    <w:abstractNumId w:val="0"/>
  </w:num>
  <w:num w:numId="13">
    <w:abstractNumId w:val="8"/>
  </w:num>
  <w:num w:numId="14">
    <w:abstractNumId w:val="11"/>
  </w:num>
  <w:num w:numId="15">
    <w:abstractNumId w:val="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8B"/>
    <w:rsid w:val="00012B42"/>
    <w:rsid w:val="00020049"/>
    <w:rsid w:val="000350A4"/>
    <w:rsid w:val="000404FC"/>
    <w:rsid w:val="00042672"/>
    <w:rsid w:val="00045A57"/>
    <w:rsid w:val="000713E8"/>
    <w:rsid w:val="00071697"/>
    <w:rsid w:val="00073385"/>
    <w:rsid w:val="00077B7E"/>
    <w:rsid w:val="00090188"/>
    <w:rsid w:val="000917A6"/>
    <w:rsid w:val="00093432"/>
    <w:rsid w:val="00093830"/>
    <w:rsid w:val="0009456C"/>
    <w:rsid w:val="000958BB"/>
    <w:rsid w:val="000A6EB1"/>
    <w:rsid w:val="000B4D40"/>
    <w:rsid w:val="000C0C7F"/>
    <w:rsid w:val="000C2FCA"/>
    <w:rsid w:val="000D0AFD"/>
    <w:rsid w:val="000E4390"/>
    <w:rsid w:val="000F51AD"/>
    <w:rsid w:val="000F788B"/>
    <w:rsid w:val="00105F68"/>
    <w:rsid w:val="0011155A"/>
    <w:rsid w:val="0011284D"/>
    <w:rsid w:val="0012685C"/>
    <w:rsid w:val="00127DB5"/>
    <w:rsid w:val="00131AB6"/>
    <w:rsid w:val="0013359B"/>
    <w:rsid w:val="00141B35"/>
    <w:rsid w:val="001420B5"/>
    <w:rsid w:val="001423BE"/>
    <w:rsid w:val="001478C7"/>
    <w:rsid w:val="00155D44"/>
    <w:rsid w:val="0016128F"/>
    <w:rsid w:val="00162C28"/>
    <w:rsid w:val="00165313"/>
    <w:rsid w:val="00172243"/>
    <w:rsid w:val="00181763"/>
    <w:rsid w:val="00182E6E"/>
    <w:rsid w:val="00186931"/>
    <w:rsid w:val="00196CBA"/>
    <w:rsid w:val="001B1CFD"/>
    <w:rsid w:val="001B1E02"/>
    <w:rsid w:val="001B4B66"/>
    <w:rsid w:val="001C5F6A"/>
    <w:rsid w:val="001C7070"/>
    <w:rsid w:val="001D201A"/>
    <w:rsid w:val="001D76B2"/>
    <w:rsid w:val="001E2700"/>
    <w:rsid w:val="001E3F1B"/>
    <w:rsid w:val="001E5D0B"/>
    <w:rsid w:val="001F0091"/>
    <w:rsid w:val="001F310E"/>
    <w:rsid w:val="001F6E5A"/>
    <w:rsid w:val="00203C97"/>
    <w:rsid w:val="00213DD7"/>
    <w:rsid w:val="00214D39"/>
    <w:rsid w:val="00220451"/>
    <w:rsid w:val="00221FA1"/>
    <w:rsid w:val="0022520C"/>
    <w:rsid w:val="00237958"/>
    <w:rsid w:val="0024458A"/>
    <w:rsid w:val="00246DF0"/>
    <w:rsid w:val="00252014"/>
    <w:rsid w:val="0026285D"/>
    <w:rsid w:val="00263E9B"/>
    <w:rsid w:val="00275C66"/>
    <w:rsid w:val="00275CFB"/>
    <w:rsid w:val="00283B93"/>
    <w:rsid w:val="002845F8"/>
    <w:rsid w:val="00285458"/>
    <w:rsid w:val="00285853"/>
    <w:rsid w:val="0029087B"/>
    <w:rsid w:val="00293717"/>
    <w:rsid w:val="00293F12"/>
    <w:rsid w:val="0029766D"/>
    <w:rsid w:val="002A594C"/>
    <w:rsid w:val="002A6059"/>
    <w:rsid w:val="002B2488"/>
    <w:rsid w:val="002B446C"/>
    <w:rsid w:val="002C1465"/>
    <w:rsid w:val="002C3623"/>
    <w:rsid w:val="002D5498"/>
    <w:rsid w:val="002E28D2"/>
    <w:rsid w:val="002E606E"/>
    <w:rsid w:val="002F417B"/>
    <w:rsid w:val="003104C5"/>
    <w:rsid w:val="00310819"/>
    <w:rsid w:val="00310E3E"/>
    <w:rsid w:val="003126AB"/>
    <w:rsid w:val="003207EC"/>
    <w:rsid w:val="00323EE1"/>
    <w:rsid w:val="003253E5"/>
    <w:rsid w:val="00325678"/>
    <w:rsid w:val="00335085"/>
    <w:rsid w:val="003417C7"/>
    <w:rsid w:val="0035170C"/>
    <w:rsid w:val="0035420B"/>
    <w:rsid w:val="00356995"/>
    <w:rsid w:val="00360895"/>
    <w:rsid w:val="00364E23"/>
    <w:rsid w:val="00377C98"/>
    <w:rsid w:val="003838D3"/>
    <w:rsid w:val="00384409"/>
    <w:rsid w:val="00395C1B"/>
    <w:rsid w:val="003C0D9C"/>
    <w:rsid w:val="003C247E"/>
    <w:rsid w:val="003C7FD5"/>
    <w:rsid w:val="003D246D"/>
    <w:rsid w:val="003D49F6"/>
    <w:rsid w:val="003D5517"/>
    <w:rsid w:val="003E49C0"/>
    <w:rsid w:val="00400AD3"/>
    <w:rsid w:val="00402CFB"/>
    <w:rsid w:val="00410F0A"/>
    <w:rsid w:val="00416D33"/>
    <w:rsid w:val="00426AC7"/>
    <w:rsid w:val="00433932"/>
    <w:rsid w:val="00436F99"/>
    <w:rsid w:val="00451257"/>
    <w:rsid w:val="00456318"/>
    <w:rsid w:val="00461D97"/>
    <w:rsid w:val="00466370"/>
    <w:rsid w:val="00486767"/>
    <w:rsid w:val="00490B8F"/>
    <w:rsid w:val="004928BF"/>
    <w:rsid w:val="00494C5F"/>
    <w:rsid w:val="00496036"/>
    <w:rsid w:val="004A0A08"/>
    <w:rsid w:val="004A41FC"/>
    <w:rsid w:val="004B1B79"/>
    <w:rsid w:val="004B2D2E"/>
    <w:rsid w:val="004B71DE"/>
    <w:rsid w:val="004C26F1"/>
    <w:rsid w:val="004C2B83"/>
    <w:rsid w:val="004C44B9"/>
    <w:rsid w:val="004C69D5"/>
    <w:rsid w:val="004D01D8"/>
    <w:rsid w:val="004E0F28"/>
    <w:rsid w:val="004E11AF"/>
    <w:rsid w:val="004E3305"/>
    <w:rsid w:val="004F0300"/>
    <w:rsid w:val="004F5AE0"/>
    <w:rsid w:val="00505D0B"/>
    <w:rsid w:val="00511ADD"/>
    <w:rsid w:val="005152C7"/>
    <w:rsid w:val="005252F3"/>
    <w:rsid w:val="005350F4"/>
    <w:rsid w:val="00542242"/>
    <w:rsid w:val="00542ECF"/>
    <w:rsid w:val="005438EA"/>
    <w:rsid w:val="00550B14"/>
    <w:rsid w:val="00554E16"/>
    <w:rsid w:val="00560EDE"/>
    <w:rsid w:val="00561982"/>
    <w:rsid w:val="00564671"/>
    <w:rsid w:val="00567F37"/>
    <w:rsid w:val="00567F82"/>
    <w:rsid w:val="00570D77"/>
    <w:rsid w:val="0057278A"/>
    <w:rsid w:val="0058135F"/>
    <w:rsid w:val="00590187"/>
    <w:rsid w:val="005B2BAB"/>
    <w:rsid w:val="005C4FF3"/>
    <w:rsid w:val="005D27FB"/>
    <w:rsid w:val="005D2EE4"/>
    <w:rsid w:val="005D6F12"/>
    <w:rsid w:val="005E49B5"/>
    <w:rsid w:val="005F06F1"/>
    <w:rsid w:val="0063633E"/>
    <w:rsid w:val="00653AA5"/>
    <w:rsid w:val="006757BE"/>
    <w:rsid w:val="00684A74"/>
    <w:rsid w:val="00695337"/>
    <w:rsid w:val="0069769A"/>
    <w:rsid w:val="006A1DC8"/>
    <w:rsid w:val="006B76E5"/>
    <w:rsid w:val="006C2167"/>
    <w:rsid w:val="006C2B2F"/>
    <w:rsid w:val="006C3961"/>
    <w:rsid w:val="006C4225"/>
    <w:rsid w:val="006C7FA2"/>
    <w:rsid w:val="006D7C09"/>
    <w:rsid w:val="006F7145"/>
    <w:rsid w:val="007002EF"/>
    <w:rsid w:val="00703638"/>
    <w:rsid w:val="007049A1"/>
    <w:rsid w:val="007228F7"/>
    <w:rsid w:val="0072459E"/>
    <w:rsid w:val="00725B7B"/>
    <w:rsid w:val="00727B09"/>
    <w:rsid w:val="007301F7"/>
    <w:rsid w:val="00734ED3"/>
    <w:rsid w:val="007358FA"/>
    <w:rsid w:val="00764E7A"/>
    <w:rsid w:val="00765872"/>
    <w:rsid w:val="00771477"/>
    <w:rsid w:val="0077514E"/>
    <w:rsid w:val="00775627"/>
    <w:rsid w:val="00776AE8"/>
    <w:rsid w:val="007809DC"/>
    <w:rsid w:val="00782DD7"/>
    <w:rsid w:val="007851F9"/>
    <w:rsid w:val="0079173C"/>
    <w:rsid w:val="00794078"/>
    <w:rsid w:val="00796CB2"/>
    <w:rsid w:val="007A3A08"/>
    <w:rsid w:val="007B14F8"/>
    <w:rsid w:val="007D00D9"/>
    <w:rsid w:val="007E1E76"/>
    <w:rsid w:val="007E5AF3"/>
    <w:rsid w:val="007F2C52"/>
    <w:rsid w:val="007F56C3"/>
    <w:rsid w:val="00805D52"/>
    <w:rsid w:val="00813B30"/>
    <w:rsid w:val="00814D5E"/>
    <w:rsid w:val="00821D7B"/>
    <w:rsid w:val="008308E9"/>
    <w:rsid w:val="00853550"/>
    <w:rsid w:val="0085361C"/>
    <w:rsid w:val="008610A9"/>
    <w:rsid w:val="00862E18"/>
    <w:rsid w:val="0086684F"/>
    <w:rsid w:val="008752B8"/>
    <w:rsid w:val="008814BE"/>
    <w:rsid w:val="00882340"/>
    <w:rsid w:val="008827CB"/>
    <w:rsid w:val="0088488B"/>
    <w:rsid w:val="00896EBE"/>
    <w:rsid w:val="008A5683"/>
    <w:rsid w:val="008A5974"/>
    <w:rsid w:val="008B0FBE"/>
    <w:rsid w:val="008B4546"/>
    <w:rsid w:val="008B5ED5"/>
    <w:rsid w:val="008B7021"/>
    <w:rsid w:val="008C0467"/>
    <w:rsid w:val="008D4F02"/>
    <w:rsid w:val="008D72CA"/>
    <w:rsid w:val="008D732D"/>
    <w:rsid w:val="008F0800"/>
    <w:rsid w:val="008F196E"/>
    <w:rsid w:val="008F21DC"/>
    <w:rsid w:val="00903349"/>
    <w:rsid w:val="009073C8"/>
    <w:rsid w:val="00911615"/>
    <w:rsid w:val="00920C62"/>
    <w:rsid w:val="00920DE7"/>
    <w:rsid w:val="00924188"/>
    <w:rsid w:val="00925284"/>
    <w:rsid w:val="009516F7"/>
    <w:rsid w:val="00953734"/>
    <w:rsid w:val="00963074"/>
    <w:rsid w:val="0098362C"/>
    <w:rsid w:val="009852A5"/>
    <w:rsid w:val="00995F48"/>
    <w:rsid w:val="009965A5"/>
    <w:rsid w:val="009A44B3"/>
    <w:rsid w:val="009B1BAB"/>
    <w:rsid w:val="009B2885"/>
    <w:rsid w:val="009B6357"/>
    <w:rsid w:val="009B65D6"/>
    <w:rsid w:val="009C7921"/>
    <w:rsid w:val="009D11A9"/>
    <w:rsid w:val="009F0819"/>
    <w:rsid w:val="009F0B61"/>
    <w:rsid w:val="009F20DE"/>
    <w:rsid w:val="009F38B1"/>
    <w:rsid w:val="00A16A98"/>
    <w:rsid w:val="00A22A56"/>
    <w:rsid w:val="00A417AF"/>
    <w:rsid w:val="00A44D90"/>
    <w:rsid w:val="00A45BEF"/>
    <w:rsid w:val="00A46AF7"/>
    <w:rsid w:val="00A524E0"/>
    <w:rsid w:val="00A5309B"/>
    <w:rsid w:val="00A532AA"/>
    <w:rsid w:val="00A60D74"/>
    <w:rsid w:val="00A61C75"/>
    <w:rsid w:val="00A701D6"/>
    <w:rsid w:val="00A73495"/>
    <w:rsid w:val="00A82F14"/>
    <w:rsid w:val="00A87553"/>
    <w:rsid w:val="00A95F1F"/>
    <w:rsid w:val="00AA164A"/>
    <w:rsid w:val="00AA6462"/>
    <w:rsid w:val="00AA6DBF"/>
    <w:rsid w:val="00AA7BCB"/>
    <w:rsid w:val="00AB1C4A"/>
    <w:rsid w:val="00AB32BE"/>
    <w:rsid w:val="00AC0198"/>
    <w:rsid w:val="00AC09A5"/>
    <w:rsid w:val="00AD1699"/>
    <w:rsid w:val="00AE1B96"/>
    <w:rsid w:val="00AF565B"/>
    <w:rsid w:val="00B12621"/>
    <w:rsid w:val="00B23919"/>
    <w:rsid w:val="00B25752"/>
    <w:rsid w:val="00B25D66"/>
    <w:rsid w:val="00B31C5C"/>
    <w:rsid w:val="00B37E58"/>
    <w:rsid w:val="00B44A3F"/>
    <w:rsid w:val="00B46A8D"/>
    <w:rsid w:val="00B50742"/>
    <w:rsid w:val="00B535F9"/>
    <w:rsid w:val="00B633F7"/>
    <w:rsid w:val="00B6384B"/>
    <w:rsid w:val="00B65D9B"/>
    <w:rsid w:val="00B71953"/>
    <w:rsid w:val="00B71F50"/>
    <w:rsid w:val="00B75C66"/>
    <w:rsid w:val="00B774FF"/>
    <w:rsid w:val="00B86E61"/>
    <w:rsid w:val="00B87CF7"/>
    <w:rsid w:val="00B91FE6"/>
    <w:rsid w:val="00B96D39"/>
    <w:rsid w:val="00BA2E1C"/>
    <w:rsid w:val="00BA388A"/>
    <w:rsid w:val="00BB4959"/>
    <w:rsid w:val="00BB6CF7"/>
    <w:rsid w:val="00BB77FB"/>
    <w:rsid w:val="00BC1C94"/>
    <w:rsid w:val="00BC6A15"/>
    <w:rsid w:val="00BC7AD8"/>
    <w:rsid w:val="00BD5E97"/>
    <w:rsid w:val="00BE4C6A"/>
    <w:rsid w:val="00BE6E51"/>
    <w:rsid w:val="00BE78E2"/>
    <w:rsid w:val="00BF0585"/>
    <w:rsid w:val="00C02AD1"/>
    <w:rsid w:val="00C102E5"/>
    <w:rsid w:val="00C107DD"/>
    <w:rsid w:val="00C16949"/>
    <w:rsid w:val="00C30C93"/>
    <w:rsid w:val="00C42961"/>
    <w:rsid w:val="00C4466F"/>
    <w:rsid w:val="00C5485A"/>
    <w:rsid w:val="00C64F13"/>
    <w:rsid w:val="00C711F0"/>
    <w:rsid w:val="00C7589D"/>
    <w:rsid w:val="00C762E8"/>
    <w:rsid w:val="00C932C3"/>
    <w:rsid w:val="00CA1B39"/>
    <w:rsid w:val="00CA56D2"/>
    <w:rsid w:val="00CB22D7"/>
    <w:rsid w:val="00CB7DB1"/>
    <w:rsid w:val="00CC0049"/>
    <w:rsid w:val="00CD3897"/>
    <w:rsid w:val="00CF386F"/>
    <w:rsid w:val="00D0274B"/>
    <w:rsid w:val="00D0564A"/>
    <w:rsid w:val="00D11F8F"/>
    <w:rsid w:val="00D126D4"/>
    <w:rsid w:val="00D1561F"/>
    <w:rsid w:val="00D22764"/>
    <w:rsid w:val="00D23353"/>
    <w:rsid w:val="00D24663"/>
    <w:rsid w:val="00D26D36"/>
    <w:rsid w:val="00D30295"/>
    <w:rsid w:val="00D3036E"/>
    <w:rsid w:val="00D4227F"/>
    <w:rsid w:val="00D62C1A"/>
    <w:rsid w:val="00D74E14"/>
    <w:rsid w:val="00D862AD"/>
    <w:rsid w:val="00DC01DB"/>
    <w:rsid w:val="00DC0698"/>
    <w:rsid w:val="00DC3562"/>
    <w:rsid w:val="00DE468F"/>
    <w:rsid w:val="00DE6B79"/>
    <w:rsid w:val="00DF06C5"/>
    <w:rsid w:val="00DF0F01"/>
    <w:rsid w:val="00DF50BC"/>
    <w:rsid w:val="00E00A31"/>
    <w:rsid w:val="00E118A3"/>
    <w:rsid w:val="00E11FF0"/>
    <w:rsid w:val="00E263CB"/>
    <w:rsid w:val="00E354E4"/>
    <w:rsid w:val="00E35569"/>
    <w:rsid w:val="00E44B6D"/>
    <w:rsid w:val="00E45426"/>
    <w:rsid w:val="00E54729"/>
    <w:rsid w:val="00E60689"/>
    <w:rsid w:val="00E62997"/>
    <w:rsid w:val="00E6721C"/>
    <w:rsid w:val="00E728B5"/>
    <w:rsid w:val="00E8244C"/>
    <w:rsid w:val="00E91C2D"/>
    <w:rsid w:val="00E95AFB"/>
    <w:rsid w:val="00E96506"/>
    <w:rsid w:val="00EA154A"/>
    <w:rsid w:val="00EA262B"/>
    <w:rsid w:val="00EB020E"/>
    <w:rsid w:val="00EC4F52"/>
    <w:rsid w:val="00EC5C51"/>
    <w:rsid w:val="00ED22AC"/>
    <w:rsid w:val="00EE3FE7"/>
    <w:rsid w:val="00EF0C44"/>
    <w:rsid w:val="00EF148D"/>
    <w:rsid w:val="00EF2C5E"/>
    <w:rsid w:val="00F076B3"/>
    <w:rsid w:val="00F1193B"/>
    <w:rsid w:val="00F13D03"/>
    <w:rsid w:val="00F217B6"/>
    <w:rsid w:val="00F25E85"/>
    <w:rsid w:val="00F2698E"/>
    <w:rsid w:val="00F5260E"/>
    <w:rsid w:val="00F54399"/>
    <w:rsid w:val="00F65A2E"/>
    <w:rsid w:val="00F676FD"/>
    <w:rsid w:val="00F7069D"/>
    <w:rsid w:val="00F70FA2"/>
    <w:rsid w:val="00F75B8E"/>
    <w:rsid w:val="00F7668B"/>
    <w:rsid w:val="00F84676"/>
    <w:rsid w:val="00F906AC"/>
    <w:rsid w:val="00F90955"/>
    <w:rsid w:val="00F91851"/>
    <w:rsid w:val="00F92E6C"/>
    <w:rsid w:val="00F9343B"/>
    <w:rsid w:val="00F94EBE"/>
    <w:rsid w:val="00FA2218"/>
    <w:rsid w:val="00FD0583"/>
    <w:rsid w:val="00FE4C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9269"/>
  <w15:chartTrackingRefBased/>
  <w15:docId w15:val="{68344BA7-B535-4EE4-AECF-5165F3CE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E54729"/>
    <w:pPr>
      <w:keepNext/>
      <w:keepLines/>
      <w:numPr>
        <w:numId w:val="14"/>
      </w:numPr>
      <w:suppressAutoHyphens/>
      <w:spacing w:before="480" w:after="120" w:line="276" w:lineRule="auto"/>
      <w:contextualSpacing/>
      <w:outlineLvl w:val="0"/>
    </w:pPr>
    <w:rPr>
      <w:rFonts w:ascii="Times New Roman" w:eastAsia="Times New Roman" w:hAnsi="Times New Roman" w:cs="Arial"/>
      <w:b/>
      <w:color w:val="000000"/>
      <w:sz w:val="48"/>
      <w:szCs w:val="48"/>
      <w:lang w:eastAsia="zh-CN"/>
    </w:rPr>
  </w:style>
  <w:style w:type="paragraph" w:styleId="2">
    <w:name w:val="heading 2"/>
    <w:basedOn w:val="a"/>
    <w:link w:val="20"/>
    <w:qFormat/>
    <w:rsid w:val="00E54729"/>
    <w:pPr>
      <w:keepNext/>
      <w:keepLines/>
      <w:numPr>
        <w:ilvl w:val="1"/>
        <w:numId w:val="14"/>
      </w:numPr>
      <w:suppressAutoHyphens/>
      <w:spacing w:before="360" w:after="80" w:line="276" w:lineRule="auto"/>
      <w:contextualSpacing/>
      <w:jc w:val="center"/>
      <w:outlineLvl w:val="1"/>
    </w:pPr>
    <w:rPr>
      <w:rFonts w:ascii="Times New Roman" w:eastAsia="Times New Roman" w:hAnsi="Times New Roman" w:cs="Arial"/>
      <w:b/>
      <w:color w:val="000000"/>
      <w:sz w:val="28"/>
      <w:szCs w:val="36"/>
      <w:lang w:eastAsia="zh-CN"/>
    </w:rPr>
  </w:style>
  <w:style w:type="paragraph" w:styleId="3">
    <w:name w:val="heading 3"/>
    <w:basedOn w:val="a"/>
    <w:link w:val="30"/>
    <w:qFormat/>
    <w:rsid w:val="00E54729"/>
    <w:pPr>
      <w:keepNext/>
      <w:keepLines/>
      <w:numPr>
        <w:ilvl w:val="2"/>
        <w:numId w:val="14"/>
      </w:numPr>
      <w:suppressAutoHyphens/>
      <w:spacing w:after="0" w:line="240" w:lineRule="auto"/>
      <w:contextualSpacing/>
      <w:jc w:val="center"/>
      <w:outlineLvl w:val="2"/>
    </w:pPr>
    <w:rPr>
      <w:rFonts w:ascii="Times New Roman" w:eastAsia="Times New Roman" w:hAnsi="Times New Roman" w:cs="Arial"/>
      <w:b/>
      <w:color w:val="000000"/>
      <w:sz w:val="24"/>
      <w:szCs w:val="28"/>
      <w:lang w:eastAsia="zh-CN"/>
    </w:rPr>
  </w:style>
  <w:style w:type="paragraph" w:styleId="4">
    <w:name w:val="heading 4"/>
    <w:basedOn w:val="a"/>
    <w:link w:val="40"/>
    <w:qFormat/>
    <w:rsid w:val="00E54729"/>
    <w:pPr>
      <w:keepNext/>
      <w:keepLines/>
      <w:numPr>
        <w:ilvl w:val="3"/>
        <w:numId w:val="14"/>
      </w:numPr>
      <w:suppressAutoHyphens/>
      <w:spacing w:before="240" w:after="40" w:line="276" w:lineRule="auto"/>
      <w:contextualSpacing/>
      <w:outlineLvl w:val="3"/>
    </w:pPr>
    <w:rPr>
      <w:rFonts w:ascii="Times New Roman" w:eastAsia="Times New Roman" w:hAnsi="Times New Roman" w:cs="Arial"/>
      <w:b/>
      <w:color w:val="000000"/>
      <w:szCs w:val="24"/>
      <w:lang w:eastAsia="zh-CN"/>
    </w:rPr>
  </w:style>
  <w:style w:type="paragraph" w:styleId="5">
    <w:name w:val="heading 5"/>
    <w:basedOn w:val="a"/>
    <w:link w:val="50"/>
    <w:qFormat/>
    <w:rsid w:val="00E54729"/>
    <w:pPr>
      <w:keepNext/>
      <w:keepLines/>
      <w:numPr>
        <w:ilvl w:val="4"/>
        <w:numId w:val="14"/>
      </w:numPr>
      <w:suppressAutoHyphens/>
      <w:spacing w:before="220" w:after="40" w:line="276" w:lineRule="auto"/>
      <w:contextualSpacing/>
      <w:outlineLvl w:val="4"/>
    </w:pPr>
    <w:rPr>
      <w:rFonts w:ascii="Times New Roman" w:eastAsia="Times New Roman" w:hAnsi="Times New Roman" w:cs="Arial"/>
      <w:color w:val="000000"/>
      <w:sz w:val="20"/>
      <w:lang w:eastAsia="zh-CN"/>
    </w:rPr>
  </w:style>
  <w:style w:type="paragraph" w:styleId="6">
    <w:name w:val="heading 6"/>
    <w:basedOn w:val="a"/>
    <w:link w:val="60"/>
    <w:qFormat/>
    <w:rsid w:val="00E54729"/>
    <w:pPr>
      <w:keepNext/>
      <w:keepLines/>
      <w:numPr>
        <w:ilvl w:val="5"/>
        <w:numId w:val="14"/>
      </w:numPr>
      <w:suppressAutoHyphens/>
      <w:spacing w:before="200" w:after="40" w:line="276" w:lineRule="auto"/>
      <w:contextualSpacing/>
      <w:outlineLvl w:val="5"/>
    </w:pPr>
    <w:rPr>
      <w:rFonts w:ascii="Times New Roman" w:eastAsia="Times New Roman" w:hAnsi="Times New Roman" w:cs="Arial"/>
      <w:b/>
      <w:color w:val="000000"/>
      <w:sz w:val="20"/>
      <w:szCs w:val="20"/>
      <w:lang w:eastAsia="zh-CN"/>
    </w:rPr>
  </w:style>
  <w:style w:type="paragraph" w:styleId="7">
    <w:name w:val="heading 7"/>
    <w:basedOn w:val="a0"/>
    <w:link w:val="70"/>
    <w:qFormat/>
    <w:rsid w:val="00E54729"/>
    <w:pPr>
      <w:keepNext/>
      <w:keepLines/>
      <w:numPr>
        <w:ilvl w:val="6"/>
        <w:numId w:val="14"/>
      </w:numPr>
      <w:suppressAutoHyphens/>
      <w:spacing w:before="60" w:after="60" w:line="276" w:lineRule="auto"/>
      <w:outlineLvl w:val="6"/>
    </w:pPr>
    <w:rPr>
      <w:rFonts w:ascii="Times New Roman" w:eastAsia="Times New Roman" w:hAnsi="Times New Roman" w:cs="Arial"/>
      <w:b/>
      <w:bCs/>
      <w:color w:val="000000"/>
      <w:spacing w:val="0"/>
      <w:kern w:val="0"/>
      <w:sz w:val="58"/>
      <w:szCs w:val="58"/>
      <w:lang w:eastAsia="zh-CN"/>
    </w:rPr>
  </w:style>
  <w:style w:type="paragraph" w:styleId="8">
    <w:name w:val="heading 8"/>
    <w:basedOn w:val="a0"/>
    <w:link w:val="80"/>
    <w:qFormat/>
    <w:rsid w:val="00E54729"/>
    <w:pPr>
      <w:keepNext/>
      <w:keepLines/>
      <w:numPr>
        <w:ilvl w:val="7"/>
        <w:numId w:val="14"/>
      </w:numPr>
      <w:suppressAutoHyphens/>
      <w:spacing w:before="60" w:after="60" w:line="276" w:lineRule="auto"/>
      <w:outlineLvl w:val="7"/>
    </w:pPr>
    <w:rPr>
      <w:rFonts w:ascii="Times New Roman" w:eastAsia="Times New Roman" w:hAnsi="Times New Roman" w:cs="Arial"/>
      <w:b/>
      <w:bCs/>
      <w:i/>
      <w:iCs/>
      <w:color w:val="000000"/>
      <w:spacing w:val="0"/>
      <w:kern w:val="0"/>
      <w:sz w:val="58"/>
      <w:szCs w:val="58"/>
      <w:lang w:eastAsia="zh-CN"/>
    </w:rPr>
  </w:style>
  <w:style w:type="paragraph" w:styleId="9">
    <w:name w:val="heading 9"/>
    <w:basedOn w:val="a0"/>
    <w:link w:val="90"/>
    <w:qFormat/>
    <w:rsid w:val="00E54729"/>
    <w:pPr>
      <w:keepNext/>
      <w:keepLines/>
      <w:numPr>
        <w:ilvl w:val="8"/>
        <w:numId w:val="14"/>
      </w:numPr>
      <w:suppressAutoHyphens/>
      <w:spacing w:before="60" w:after="60" w:line="276" w:lineRule="auto"/>
      <w:outlineLvl w:val="8"/>
    </w:pPr>
    <w:rPr>
      <w:rFonts w:ascii="Times New Roman" w:eastAsia="Times New Roman" w:hAnsi="Times New Roman" w:cs="Arial"/>
      <w:b/>
      <w:bCs/>
      <w:color w:val="000000"/>
      <w:spacing w:val="0"/>
      <w:kern w:val="0"/>
      <w:sz w:val="54"/>
      <w:szCs w:val="5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7668B"/>
    <w:pPr>
      <w:ind w:left="720"/>
      <w:contextualSpacing/>
    </w:pPr>
  </w:style>
  <w:style w:type="paragraph" w:styleId="a5">
    <w:name w:val="header"/>
    <w:basedOn w:val="a"/>
    <w:link w:val="a6"/>
    <w:uiPriority w:val="99"/>
    <w:unhideWhenUsed/>
    <w:rsid w:val="008A5974"/>
    <w:pPr>
      <w:tabs>
        <w:tab w:val="center" w:pos="4819"/>
        <w:tab w:val="right" w:pos="9639"/>
      </w:tabs>
      <w:spacing w:after="0" w:line="240" w:lineRule="auto"/>
    </w:pPr>
  </w:style>
  <w:style w:type="character" w:customStyle="1" w:styleId="a6">
    <w:name w:val="Верхній колонтитул Знак"/>
    <w:basedOn w:val="a1"/>
    <w:link w:val="a5"/>
    <w:uiPriority w:val="99"/>
    <w:rsid w:val="008A5974"/>
  </w:style>
  <w:style w:type="paragraph" w:styleId="a7">
    <w:name w:val="footer"/>
    <w:basedOn w:val="a"/>
    <w:link w:val="a8"/>
    <w:uiPriority w:val="99"/>
    <w:unhideWhenUsed/>
    <w:rsid w:val="008A5974"/>
    <w:pPr>
      <w:tabs>
        <w:tab w:val="center" w:pos="4819"/>
        <w:tab w:val="right" w:pos="9639"/>
      </w:tabs>
      <w:spacing w:after="0" w:line="240" w:lineRule="auto"/>
    </w:pPr>
  </w:style>
  <w:style w:type="character" w:customStyle="1" w:styleId="a8">
    <w:name w:val="Нижній колонтитул Знак"/>
    <w:basedOn w:val="a1"/>
    <w:link w:val="a7"/>
    <w:uiPriority w:val="99"/>
    <w:rsid w:val="008A5974"/>
  </w:style>
  <w:style w:type="paragraph" w:styleId="a9">
    <w:name w:val="Balloon Text"/>
    <w:basedOn w:val="a"/>
    <w:link w:val="aa"/>
    <w:uiPriority w:val="99"/>
    <w:semiHidden/>
    <w:unhideWhenUsed/>
    <w:rsid w:val="007358FA"/>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rsid w:val="007358FA"/>
    <w:rPr>
      <w:rFonts w:ascii="Segoe UI" w:hAnsi="Segoe UI" w:cs="Segoe UI"/>
      <w:sz w:val="18"/>
      <w:szCs w:val="18"/>
    </w:rPr>
  </w:style>
  <w:style w:type="table" w:styleId="ab">
    <w:name w:val="Table Grid"/>
    <w:basedOn w:val="a2"/>
    <w:uiPriority w:val="39"/>
    <w:rsid w:val="00AF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1B4B66"/>
    <w:pPr>
      <w:spacing w:after="0" w:line="240" w:lineRule="auto"/>
    </w:pPr>
    <w:rPr>
      <w:sz w:val="20"/>
      <w:szCs w:val="20"/>
    </w:rPr>
  </w:style>
  <w:style w:type="character" w:customStyle="1" w:styleId="ad">
    <w:name w:val="Текст виноски Знак"/>
    <w:basedOn w:val="a1"/>
    <w:link w:val="ac"/>
    <w:uiPriority w:val="99"/>
    <w:semiHidden/>
    <w:rsid w:val="001B4B66"/>
    <w:rPr>
      <w:sz w:val="20"/>
      <w:szCs w:val="20"/>
    </w:rPr>
  </w:style>
  <w:style w:type="character" w:styleId="ae">
    <w:name w:val="footnote reference"/>
    <w:basedOn w:val="a1"/>
    <w:uiPriority w:val="99"/>
    <w:semiHidden/>
    <w:unhideWhenUsed/>
    <w:rsid w:val="001B4B66"/>
    <w:rPr>
      <w:vertAlign w:val="superscript"/>
    </w:rPr>
  </w:style>
  <w:style w:type="character" w:styleId="af">
    <w:name w:val="Hyperlink"/>
    <w:basedOn w:val="a1"/>
    <w:uiPriority w:val="99"/>
    <w:unhideWhenUsed/>
    <w:rsid w:val="008F196E"/>
    <w:rPr>
      <w:color w:val="0563C1" w:themeColor="hyperlink"/>
      <w:u w:val="single"/>
    </w:rPr>
  </w:style>
  <w:style w:type="character" w:customStyle="1" w:styleId="10">
    <w:name w:val="Заголовок 1 Знак"/>
    <w:basedOn w:val="a1"/>
    <w:link w:val="1"/>
    <w:rsid w:val="00E54729"/>
    <w:rPr>
      <w:rFonts w:ascii="Times New Roman" w:eastAsia="Times New Roman" w:hAnsi="Times New Roman" w:cs="Arial"/>
      <w:b/>
      <w:color w:val="000000"/>
      <w:sz w:val="48"/>
      <w:szCs w:val="48"/>
      <w:lang w:eastAsia="zh-CN"/>
    </w:rPr>
  </w:style>
  <w:style w:type="character" w:customStyle="1" w:styleId="20">
    <w:name w:val="Заголовок 2 Знак"/>
    <w:basedOn w:val="a1"/>
    <w:link w:val="2"/>
    <w:rsid w:val="00E54729"/>
    <w:rPr>
      <w:rFonts w:ascii="Times New Roman" w:eastAsia="Times New Roman" w:hAnsi="Times New Roman" w:cs="Arial"/>
      <w:b/>
      <w:color w:val="000000"/>
      <w:sz w:val="28"/>
      <w:szCs w:val="36"/>
      <w:lang w:eastAsia="zh-CN"/>
    </w:rPr>
  </w:style>
  <w:style w:type="character" w:customStyle="1" w:styleId="30">
    <w:name w:val="Заголовок 3 Знак"/>
    <w:basedOn w:val="a1"/>
    <w:link w:val="3"/>
    <w:rsid w:val="00E54729"/>
    <w:rPr>
      <w:rFonts w:ascii="Times New Roman" w:eastAsia="Times New Roman" w:hAnsi="Times New Roman" w:cs="Arial"/>
      <w:b/>
      <w:color w:val="000000"/>
      <w:sz w:val="24"/>
      <w:szCs w:val="28"/>
      <w:lang w:eastAsia="zh-CN"/>
    </w:rPr>
  </w:style>
  <w:style w:type="character" w:customStyle="1" w:styleId="40">
    <w:name w:val="Заголовок 4 Знак"/>
    <w:basedOn w:val="a1"/>
    <w:link w:val="4"/>
    <w:rsid w:val="00E54729"/>
    <w:rPr>
      <w:rFonts w:ascii="Times New Roman" w:eastAsia="Times New Roman" w:hAnsi="Times New Roman" w:cs="Arial"/>
      <w:b/>
      <w:color w:val="000000"/>
      <w:szCs w:val="24"/>
      <w:lang w:eastAsia="zh-CN"/>
    </w:rPr>
  </w:style>
  <w:style w:type="character" w:customStyle="1" w:styleId="50">
    <w:name w:val="Заголовок 5 Знак"/>
    <w:basedOn w:val="a1"/>
    <w:link w:val="5"/>
    <w:rsid w:val="00E54729"/>
    <w:rPr>
      <w:rFonts w:ascii="Times New Roman" w:eastAsia="Times New Roman" w:hAnsi="Times New Roman" w:cs="Arial"/>
      <w:color w:val="000000"/>
      <w:sz w:val="20"/>
      <w:lang w:eastAsia="zh-CN"/>
    </w:rPr>
  </w:style>
  <w:style w:type="character" w:customStyle="1" w:styleId="60">
    <w:name w:val="Заголовок 6 Знак"/>
    <w:basedOn w:val="a1"/>
    <w:link w:val="6"/>
    <w:rsid w:val="00E54729"/>
    <w:rPr>
      <w:rFonts w:ascii="Times New Roman" w:eastAsia="Times New Roman" w:hAnsi="Times New Roman" w:cs="Arial"/>
      <w:b/>
      <w:color w:val="000000"/>
      <w:sz w:val="20"/>
      <w:szCs w:val="20"/>
      <w:lang w:eastAsia="zh-CN"/>
    </w:rPr>
  </w:style>
  <w:style w:type="character" w:customStyle="1" w:styleId="70">
    <w:name w:val="Заголовок 7 Знак"/>
    <w:basedOn w:val="a1"/>
    <w:link w:val="7"/>
    <w:rsid w:val="00E54729"/>
    <w:rPr>
      <w:rFonts w:ascii="Times New Roman" w:eastAsia="Times New Roman" w:hAnsi="Times New Roman" w:cs="Arial"/>
      <w:b/>
      <w:bCs/>
      <w:color w:val="000000"/>
      <w:sz w:val="58"/>
      <w:szCs w:val="58"/>
      <w:lang w:eastAsia="zh-CN"/>
    </w:rPr>
  </w:style>
  <w:style w:type="character" w:customStyle="1" w:styleId="80">
    <w:name w:val="Заголовок 8 Знак"/>
    <w:basedOn w:val="a1"/>
    <w:link w:val="8"/>
    <w:rsid w:val="00E54729"/>
    <w:rPr>
      <w:rFonts w:ascii="Times New Roman" w:eastAsia="Times New Roman" w:hAnsi="Times New Roman" w:cs="Arial"/>
      <w:b/>
      <w:bCs/>
      <w:i/>
      <w:iCs/>
      <w:color w:val="000000"/>
      <w:sz w:val="58"/>
      <w:szCs w:val="58"/>
      <w:lang w:eastAsia="zh-CN"/>
    </w:rPr>
  </w:style>
  <w:style w:type="character" w:customStyle="1" w:styleId="90">
    <w:name w:val="Заголовок 9 Знак"/>
    <w:basedOn w:val="a1"/>
    <w:link w:val="9"/>
    <w:rsid w:val="00E54729"/>
    <w:rPr>
      <w:rFonts w:ascii="Times New Roman" w:eastAsia="Times New Roman" w:hAnsi="Times New Roman" w:cs="Arial"/>
      <w:b/>
      <w:bCs/>
      <w:color w:val="000000"/>
      <w:sz w:val="54"/>
      <w:szCs w:val="54"/>
      <w:lang w:eastAsia="zh-CN"/>
    </w:rPr>
  </w:style>
  <w:style w:type="paragraph" w:styleId="a0">
    <w:name w:val="Title"/>
    <w:basedOn w:val="a"/>
    <w:next w:val="a"/>
    <w:link w:val="af0"/>
    <w:uiPriority w:val="10"/>
    <w:qFormat/>
    <w:rsid w:val="00E54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 Знак"/>
    <w:basedOn w:val="a1"/>
    <w:link w:val="a0"/>
    <w:uiPriority w:val="10"/>
    <w:rsid w:val="00E547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3183">
      <w:bodyDiv w:val="1"/>
      <w:marLeft w:val="0"/>
      <w:marRight w:val="0"/>
      <w:marTop w:val="0"/>
      <w:marBottom w:val="0"/>
      <w:divBdr>
        <w:top w:val="none" w:sz="0" w:space="0" w:color="auto"/>
        <w:left w:val="none" w:sz="0" w:space="0" w:color="auto"/>
        <w:bottom w:val="none" w:sz="0" w:space="0" w:color="auto"/>
        <w:right w:val="none" w:sz="0" w:space="0" w:color="auto"/>
      </w:divBdr>
    </w:div>
    <w:div w:id="11998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5591-BC32-4C9D-93E4-CC2331E6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8</Pages>
  <Words>12865</Words>
  <Characters>7334</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 Кирило Геннадійович</dc:creator>
  <cp:keywords/>
  <dc:description/>
  <cp:lastModifiedBy>Шевчук Кирило Геннадійович</cp:lastModifiedBy>
  <cp:revision>28</cp:revision>
  <cp:lastPrinted>2020-09-22T10:58:00Z</cp:lastPrinted>
  <dcterms:created xsi:type="dcterms:W3CDTF">2020-09-16T09:18:00Z</dcterms:created>
  <dcterms:modified xsi:type="dcterms:W3CDTF">2020-10-27T11:08:00Z</dcterms:modified>
</cp:coreProperties>
</file>