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E9" w:rsidRPr="00C60E72" w:rsidRDefault="005E32E9" w:rsidP="0025203A">
      <w:pPr>
        <w:pStyle w:val="ab"/>
        <w:rPr>
          <w:bCs w:val="0"/>
          <w:i w:val="0"/>
          <w:szCs w:val="28"/>
        </w:rPr>
      </w:pPr>
      <w:bookmarkStart w:id="0" w:name="_GoBack"/>
      <w:bookmarkEnd w:id="0"/>
      <w:r w:rsidRPr="00C60E72">
        <w:rPr>
          <w:bCs w:val="0"/>
          <w:i w:val="0"/>
          <w:szCs w:val="28"/>
        </w:rPr>
        <w:t>ПОЯСНЮВАЛЬНА ЗАПИСКА</w:t>
      </w:r>
    </w:p>
    <w:p w:rsidR="005E32E9" w:rsidRPr="00C60E72" w:rsidRDefault="005E32E9" w:rsidP="00847F33">
      <w:pPr>
        <w:pStyle w:val="ab"/>
        <w:ind w:firstLine="720"/>
        <w:jc w:val="left"/>
        <w:rPr>
          <w:bCs w:val="0"/>
          <w:i w:val="0"/>
          <w:szCs w:val="28"/>
        </w:rPr>
      </w:pPr>
    </w:p>
    <w:p w:rsidR="005E32E9" w:rsidRPr="009D37E6" w:rsidRDefault="005E32E9" w:rsidP="00FD1BED">
      <w:pPr>
        <w:pStyle w:val="a3"/>
        <w:ind w:firstLine="709"/>
        <w:rPr>
          <w:b/>
        </w:rPr>
      </w:pPr>
      <w:r w:rsidRPr="009D37E6">
        <w:rPr>
          <w:b/>
        </w:rPr>
        <w:t>до проекту Постанови Верховної Ради України</w:t>
      </w:r>
    </w:p>
    <w:p w:rsidR="00DB1632" w:rsidRPr="000F72C5" w:rsidRDefault="005E32E9" w:rsidP="00DB1632">
      <w:pPr>
        <w:jc w:val="center"/>
        <w:rPr>
          <w:b/>
          <w:sz w:val="28"/>
          <w:szCs w:val="28"/>
        </w:rPr>
      </w:pPr>
      <w:r w:rsidRPr="009D37E6">
        <w:rPr>
          <w:b/>
          <w:sz w:val="28"/>
          <w:szCs w:val="28"/>
        </w:rPr>
        <w:t>про проведення парламентських слухань на тему</w:t>
      </w:r>
      <w:r w:rsidRPr="000F72C5">
        <w:rPr>
          <w:b/>
          <w:sz w:val="28"/>
          <w:szCs w:val="28"/>
        </w:rPr>
        <w:t>:</w:t>
      </w:r>
      <w:r w:rsidR="00DB1632" w:rsidRPr="000F72C5">
        <w:rPr>
          <w:b/>
          <w:sz w:val="28"/>
          <w:szCs w:val="28"/>
        </w:rPr>
        <w:t xml:space="preserve"> </w:t>
      </w:r>
      <w:r w:rsidR="00DC4026" w:rsidRPr="000F72C5">
        <w:rPr>
          <w:b/>
          <w:sz w:val="28"/>
          <w:szCs w:val="28"/>
        </w:rPr>
        <w:t>«</w:t>
      </w:r>
      <w:r w:rsidR="00996E22" w:rsidRPr="00996E22">
        <w:rPr>
          <w:b/>
          <w:sz w:val="28"/>
          <w:szCs w:val="28"/>
        </w:rPr>
        <w:t>На шляху до спра</w:t>
      </w:r>
      <w:r w:rsidR="00996E22">
        <w:rPr>
          <w:b/>
          <w:sz w:val="28"/>
          <w:szCs w:val="28"/>
        </w:rPr>
        <w:t>ведливого судочинства в Україні</w:t>
      </w:r>
      <w:r w:rsidR="00DC4026" w:rsidRPr="000F72C5">
        <w:rPr>
          <w:b/>
          <w:sz w:val="28"/>
          <w:szCs w:val="28"/>
        </w:rPr>
        <w:t>»</w:t>
      </w:r>
    </w:p>
    <w:p w:rsidR="00DB1632" w:rsidRPr="008310AA" w:rsidRDefault="00DB1632" w:rsidP="00DB1632">
      <w:pPr>
        <w:ind w:firstLine="708"/>
        <w:rPr>
          <w:b/>
          <w:sz w:val="28"/>
          <w:szCs w:val="28"/>
        </w:rPr>
      </w:pPr>
    </w:p>
    <w:p w:rsidR="005E32E9" w:rsidRPr="00DB1632" w:rsidRDefault="005E32E9" w:rsidP="00FD1BED">
      <w:pPr>
        <w:jc w:val="center"/>
        <w:rPr>
          <w:sz w:val="28"/>
          <w:szCs w:val="28"/>
        </w:rPr>
      </w:pPr>
    </w:p>
    <w:p w:rsidR="00540116" w:rsidRPr="001B75BE" w:rsidRDefault="005E32E9" w:rsidP="00DB1632">
      <w:pPr>
        <w:pStyle w:val="af0"/>
        <w:numPr>
          <w:ilvl w:val="0"/>
          <w:numId w:val="3"/>
        </w:numPr>
        <w:spacing w:after="80"/>
        <w:ind w:left="1077" w:hanging="357"/>
        <w:jc w:val="both"/>
        <w:rPr>
          <w:b/>
          <w:sz w:val="28"/>
          <w:szCs w:val="28"/>
        </w:rPr>
      </w:pPr>
      <w:r w:rsidRPr="00C60E72">
        <w:rPr>
          <w:b/>
          <w:sz w:val="28"/>
          <w:szCs w:val="28"/>
        </w:rPr>
        <w:t>Обґрунтування необхідності прийняття Постанови</w:t>
      </w:r>
    </w:p>
    <w:p w:rsidR="00A93280" w:rsidRPr="00A93280" w:rsidRDefault="00845DA5" w:rsidP="00A9328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статті </w:t>
      </w:r>
      <w:r w:rsidR="00A93280" w:rsidRPr="00A93280">
        <w:rPr>
          <w:bCs/>
          <w:iCs/>
          <w:sz w:val="28"/>
          <w:szCs w:val="28"/>
        </w:rPr>
        <w:t>55 Основного Закону України закріплено, що права і свободи людини і громадянина захищаються судом. Кожному гарантується право на оскарження в суді рішень, дій чи бездіяльності органів державної влади, органів місцевого самоврядування, посадових і службових осіб. Юрисдикція судів поширюється на будь-який юридичний спір та будь-яке кримінальне обвинувачення.</w:t>
      </w:r>
    </w:p>
    <w:p w:rsidR="00137254" w:rsidRDefault="00A93280" w:rsidP="00A93280">
      <w:pPr>
        <w:ind w:firstLine="709"/>
        <w:jc w:val="both"/>
        <w:rPr>
          <w:bCs/>
          <w:iCs/>
          <w:sz w:val="28"/>
          <w:szCs w:val="28"/>
        </w:rPr>
      </w:pPr>
      <w:r w:rsidRPr="00A93280">
        <w:rPr>
          <w:bCs/>
          <w:iCs/>
          <w:sz w:val="28"/>
          <w:szCs w:val="28"/>
        </w:rPr>
        <w:t>Однією із міжнародно-правових гарантій захист</w:t>
      </w:r>
      <w:r>
        <w:rPr>
          <w:bCs/>
          <w:iCs/>
          <w:sz w:val="28"/>
          <w:szCs w:val="28"/>
        </w:rPr>
        <w:t>у</w:t>
      </w:r>
      <w:r w:rsidR="00845DA5">
        <w:rPr>
          <w:bCs/>
          <w:iCs/>
          <w:sz w:val="28"/>
          <w:szCs w:val="28"/>
        </w:rPr>
        <w:t xml:space="preserve"> прав людини є передбачене у статті </w:t>
      </w:r>
      <w:r w:rsidRPr="00A93280">
        <w:rPr>
          <w:bCs/>
          <w:iCs/>
          <w:sz w:val="28"/>
          <w:szCs w:val="28"/>
        </w:rPr>
        <w:t>6 Конвенції про захист прав людини і основоположних свобод положення про те, що кожен має право на справедливий і публічний розгляд його справи упродовж розумного строку незалежним і безстороннім судом, встановленим законом, який вирішить спір щодо його прав та обов’язків цивільного характеру або встановить обґрунтованість будь-якого висунутого проти нього кримінального обвинувачення.</w:t>
      </w:r>
    </w:p>
    <w:p w:rsidR="00D80348" w:rsidRDefault="00845DA5" w:rsidP="00D803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жовтні 2019 </w:t>
      </w:r>
      <w:r w:rsidR="00D80348">
        <w:rPr>
          <w:bCs/>
          <w:iCs/>
          <w:sz w:val="28"/>
          <w:szCs w:val="28"/>
        </w:rPr>
        <w:t xml:space="preserve">року Верховною Радою України </w:t>
      </w:r>
      <w:r w:rsidR="00311ED4">
        <w:rPr>
          <w:bCs/>
          <w:iCs/>
          <w:sz w:val="28"/>
          <w:szCs w:val="28"/>
        </w:rPr>
        <w:t xml:space="preserve">було </w:t>
      </w:r>
      <w:r w:rsidR="00D80348">
        <w:rPr>
          <w:bCs/>
          <w:iCs/>
          <w:sz w:val="28"/>
          <w:szCs w:val="28"/>
        </w:rPr>
        <w:t>прийнято Закон України № </w:t>
      </w:r>
      <w:r w:rsidR="00D80348" w:rsidRPr="00D80348">
        <w:rPr>
          <w:bCs/>
          <w:iCs/>
          <w:sz w:val="28"/>
          <w:szCs w:val="28"/>
        </w:rPr>
        <w:t>193-IX</w:t>
      </w:r>
      <w:r w:rsidR="00D80348">
        <w:rPr>
          <w:bCs/>
          <w:iCs/>
          <w:sz w:val="28"/>
          <w:szCs w:val="28"/>
        </w:rPr>
        <w:t xml:space="preserve"> «</w:t>
      </w:r>
      <w:r w:rsidR="00D80348" w:rsidRPr="00D80348">
        <w:rPr>
          <w:bCs/>
          <w:iCs/>
          <w:sz w:val="28"/>
          <w:szCs w:val="28"/>
        </w:rPr>
        <w:t>Про внесення змін до Закону України "Про судоустрій і статус суддів" та деяких законів України щодо діяльності органів суддівського врядування</w:t>
      </w:r>
      <w:r w:rsidR="00D80348">
        <w:rPr>
          <w:bCs/>
          <w:iCs/>
          <w:sz w:val="28"/>
          <w:szCs w:val="28"/>
        </w:rPr>
        <w:t xml:space="preserve">», яким було закладено системні зміни в </w:t>
      </w:r>
      <w:r w:rsidR="00D80348" w:rsidRPr="00D80348">
        <w:rPr>
          <w:bCs/>
          <w:iCs/>
          <w:sz w:val="28"/>
          <w:szCs w:val="28"/>
        </w:rPr>
        <w:t xml:space="preserve">організаційному </w:t>
      </w:r>
      <w:r w:rsidR="00D80348">
        <w:rPr>
          <w:bCs/>
          <w:iCs/>
          <w:sz w:val="28"/>
          <w:szCs w:val="28"/>
        </w:rPr>
        <w:t xml:space="preserve">та кадровому </w:t>
      </w:r>
      <w:r w:rsidR="00D80348" w:rsidRPr="00D80348">
        <w:rPr>
          <w:bCs/>
          <w:iCs/>
          <w:sz w:val="28"/>
          <w:szCs w:val="28"/>
        </w:rPr>
        <w:t>забезпеченні діяльності судів</w:t>
      </w:r>
      <w:r w:rsidR="00D80348">
        <w:rPr>
          <w:bCs/>
          <w:iCs/>
          <w:sz w:val="28"/>
          <w:szCs w:val="28"/>
        </w:rPr>
        <w:t>. Однак, рішенням Конституційного Суду України № </w:t>
      </w:r>
      <w:r w:rsidR="00D80348" w:rsidRPr="00D80348">
        <w:rPr>
          <w:bCs/>
          <w:iCs/>
          <w:sz w:val="28"/>
          <w:szCs w:val="28"/>
        </w:rPr>
        <w:t>4-р/2020</w:t>
      </w:r>
      <w:r w:rsidR="00D80348">
        <w:rPr>
          <w:bCs/>
          <w:iCs/>
          <w:sz w:val="28"/>
          <w:szCs w:val="28"/>
        </w:rPr>
        <w:t xml:space="preserve"> від </w:t>
      </w:r>
      <w:r>
        <w:rPr>
          <w:bCs/>
          <w:iCs/>
          <w:sz w:val="28"/>
          <w:szCs w:val="28"/>
        </w:rPr>
        <w:t>1 березня 2020 </w:t>
      </w:r>
      <w:r w:rsidR="00D80348" w:rsidRPr="00D80348">
        <w:rPr>
          <w:bCs/>
          <w:iCs/>
          <w:sz w:val="28"/>
          <w:szCs w:val="28"/>
        </w:rPr>
        <w:t>року</w:t>
      </w:r>
      <w:r w:rsidR="00D80348">
        <w:rPr>
          <w:bCs/>
          <w:iCs/>
          <w:sz w:val="28"/>
          <w:szCs w:val="28"/>
        </w:rPr>
        <w:t xml:space="preserve"> низку положень цього законодавчого акту визнано неконституційними.</w:t>
      </w:r>
    </w:p>
    <w:p w:rsidR="00A93280" w:rsidRDefault="00D80348" w:rsidP="00A9328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Слід констатувати, що </w:t>
      </w:r>
      <w:r w:rsidR="00DC6550">
        <w:rPr>
          <w:bCs/>
          <w:iCs/>
          <w:sz w:val="28"/>
          <w:szCs w:val="28"/>
        </w:rPr>
        <w:t>довго</w:t>
      </w:r>
      <w:r>
        <w:rPr>
          <w:bCs/>
          <w:iCs/>
          <w:sz w:val="28"/>
          <w:szCs w:val="28"/>
        </w:rPr>
        <w:t xml:space="preserve">тривала </w:t>
      </w:r>
      <w:r w:rsidR="00DC4026">
        <w:rPr>
          <w:bCs/>
          <w:iCs/>
          <w:sz w:val="28"/>
          <w:szCs w:val="28"/>
        </w:rPr>
        <w:t xml:space="preserve">судова реформа в Україні до цього часу </w:t>
      </w:r>
      <w:r>
        <w:rPr>
          <w:bCs/>
          <w:iCs/>
          <w:sz w:val="28"/>
          <w:szCs w:val="28"/>
        </w:rPr>
        <w:t xml:space="preserve">так </w:t>
      </w:r>
      <w:r w:rsidR="00845DA5">
        <w:rPr>
          <w:bCs/>
          <w:iCs/>
          <w:sz w:val="28"/>
          <w:szCs w:val="28"/>
        </w:rPr>
        <w:t xml:space="preserve">і </w:t>
      </w:r>
      <w:r w:rsidR="00DC4026">
        <w:rPr>
          <w:bCs/>
          <w:iCs/>
          <w:sz w:val="28"/>
          <w:szCs w:val="28"/>
        </w:rPr>
        <w:t>не дала ба</w:t>
      </w:r>
      <w:r>
        <w:rPr>
          <w:bCs/>
          <w:iCs/>
          <w:sz w:val="28"/>
          <w:szCs w:val="28"/>
        </w:rPr>
        <w:t xml:space="preserve">жаних результатів. </w:t>
      </w:r>
      <w:r w:rsidR="005E00CA">
        <w:rPr>
          <w:bCs/>
          <w:iCs/>
          <w:sz w:val="28"/>
          <w:szCs w:val="28"/>
        </w:rPr>
        <w:t xml:space="preserve">Переважна більшість </w:t>
      </w:r>
      <w:r>
        <w:rPr>
          <w:bCs/>
          <w:iCs/>
          <w:sz w:val="28"/>
          <w:szCs w:val="28"/>
        </w:rPr>
        <w:t>судів залишається недоукомплектованими</w:t>
      </w:r>
      <w:r w:rsidR="005E00CA">
        <w:rPr>
          <w:bCs/>
          <w:iCs/>
          <w:sz w:val="28"/>
          <w:szCs w:val="28"/>
        </w:rPr>
        <w:t>, що істотно збільшує навантаження на інших суддів і продовжує строки розгляду справ</w:t>
      </w:r>
      <w:r>
        <w:rPr>
          <w:bCs/>
          <w:iCs/>
          <w:sz w:val="28"/>
          <w:szCs w:val="28"/>
        </w:rPr>
        <w:t>.</w:t>
      </w:r>
      <w:r w:rsidR="005E00CA">
        <w:rPr>
          <w:bCs/>
          <w:iCs/>
          <w:sz w:val="28"/>
          <w:szCs w:val="28"/>
        </w:rPr>
        <w:t xml:space="preserve"> </w:t>
      </w:r>
      <w:r w:rsidR="00845DA5">
        <w:rPr>
          <w:bCs/>
          <w:iCs/>
          <w:sz w:val="28"/>
          <w:szCs w:val="28"/>
        </w:rPr>
        <w:t>Лише за перше півріччя 2020 </w:t>
      </w:r>
      <w:r w:rsidR="00DC6550">
        <w:rPr>
          <w:bCs/>
          <w:iCs/>
          <w:sz w:val="28"/>
          <w:szCs w:val="28"/>
        </w:rPr>
        <w:t xml:space="preserve">року </w:t>
      </w:r>
      <w:r w:rsidR="00DC6550" w:rsidRPr="00DC6550">
        <w:rPr>
          <w:bCs/>
          <w:iCs/>
          <w:sz w:val="28"/>
          <w:szCs w:val="28"/>
        </w:rPr>
        <w:t>119 суддів</w:t>
      </w:r>
      <w:r w:rsidR="00DC6550">
        <w:rPr>
          <w:bCs/>
          <w:iCs/>
          <w:sz w:val="28"/>
          <w:szCs w:val="28"/>
        </w:rPr>
        <w:t xml:space="preserve"> виявили бажання вийти у </w:t>
      </w:r>
      <w:r w:rsidR="00DC6550" w:rsidRPr="00DC6550">
        <w:rPr>
          <w:bCs/>
          <w:iCs/>
          <w:sz w:val="28"/>
          <w:szCs w:val="28"/>
        </w:rPr>
        <w:t xml:space="preserve">відставку. </w:t>
      </w:r>
      <w:r w:rsidR="005E00CA">
        <w:rPr>
          <w:bCs/>
          <w:iCs/>
          <w:sz w:val="28"/>
          <w:szCs w:val="28"/>
        </w:rPr>
        <w:t xml:space="preserve">Приблизно </w:t>
      </w:r>
      <w:r w:rsidR="00845DA5">
        <w:rPr>
          <w:bCs/>
          <w:iCs/>
          <w:sz w:val="28"/>
          <w:szCs w:val="28"/>
        </w:rPr>
        <w:t>10 </w:t>
      </w:r>
      <w:r w:rsidR="005E00CA" w:rsidRPr="005E00CA">
        <w:rPr>
          <w:bCs/>
          <w:iCs/>
          <w:sz w:val="28"/>
          <w:szCs w:val="28"/>
        </w:rPr>
        <w:t xml:space="preserve">судів в Україні взагалі не працюють через відсутність </w:t>
      </w:r>
      <w:r w:rsidR="005E00CA">
        <w:rPr>
          <w:bCs/>
          <w:iCs/>
          <w:sz w:val="28"/>
          <w:szCs w:val="28"/>
        </w:rPr>
        <w:t xml:space="preserve">у штаті </w:t>
      </w:r>
      <w:r w:rsidR="005E00CA" w:rsidRPr="005E00CA">
        <w:rPr>
          <w:bCs/>
          <w:iCs/>
          <w:sz w:val="28"/>
          <w:szCs w:val="28"/>
        </w:rPr>
        <w:t xml:space="preserve">суддів із повноваженнями. Вища кваліфікаційна комісія суддів України досі не сформована. </w:t>
      </w:r>
    </w:p>
    <w:p w:rsidR="00AC02C9" w:rsidRDefault="00AC02C9" w:rsidP="00A31B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Зважаючи на те, що сьогодні </w:t>
      </w:r>
      <w:r w:rsidR="00DC6550">
        <w:rPr>
          <w:bCs/>
          <w:iCs/>
          <w:sz w:val="28"/>
          <w:szCs w:val="28"/>
        </w:rPr>
        <w:t>склалася критична ситуація в судовій системі, істотно ускладнено</w:t>
      </w:r>
      <w:r w:rsidR="00845DA5">
        <w:rPr>
          <w:bCs/>
          <w:iCs/>
          <w:sz w:val="28"/>
          <w:szCs w:val="28"/>
        </w:rPr>
        <w:t>,</w:t>
      </w:r>
      <w:r w:rsidR="00DC6550">
        <w:rPr>
          <w:bCs/>
          <w:iCs/>
          <w:sz w:val="28"/>
          <w:szCs w:val="28"/>
        </w:rPr>
        <w:t xml:space="preserve"> а подекуди унеможливлено реалізацію гарантованого Конституцією </w:t>
      </w:r>
      <w:r w:rsidR="00845DA5">
        <w:rPr>
          <w:bCs/>
          <w:iCs/>
          <w:sz w:val="28"/>
          <w:szCs w:val="28"/>
        </w:rPr>
        <w:t xml:space="preserve">України </w:t>
      </w:r>
      <w:r w:rsidR="00DC6550">
        <w:rPr>
          <w:bCs/>
          <w:iCs/>
          <w:sz w:val="28"/>
          <w:szCs w:val="28"/>
        </w:rPr>
        <w:t xml:space="preserve">права на </w:t>
      </w:r>
      <w:r w:rsidR="00DC6550" w:rsidRPr="00DC6550">
        <w:rPr>
          <w:bCs/>
          <w:iCs/>
          <w:sz w:val="28"/>
          <w:szCs w:val="28"/>
        </w:rPr>
        <w:t>доступ до судового захисту</w:t>
      </w:r>
      <w:r w:rsidR="002D3F80">
        <w:rPr>
          <w:bCs/>
          <w:iCs/>
          <w:sz w:val="28"/>
          <w:szCs w:val="28"/>
        </w:rPr>
        <w:t xml:space="preserve">, є необхідність у проведенні всеохоплюючого обговорення </w:t>
      </w:r>
      <w:r w:rsidR="00DC6550">
        <w:rPr>
          <w:bCs/>
          <w:iCs/>
          <w:sz w:val="28"/>
          <w:szCs w:val="28"/>
        </w:rPr>
        <w:t>проблем реформи</w:t>
      </w:r>
      <w:r w:rsidR="002D3F80">
        <w:rPr>
          <w:bCs/>
          <w:iCs/>
          <w:sz w:val="28"/>
          <w:szCs w:val="28"/>
        </w:rPr>
        <w:t xml:space="preserve"> </w:t>
      </w:r>
      <w:r w:rsidR="00DC6550">
        <w:rPr>
          <w:bCs/>
          <w:iCs/>
          <w:sz w:val="28"/>
          <w:szCs w:val="28"/>
        </w:rPr>
        <w:t xml:space="preserve">судочинства </w:t>
      </w:r>
      <w:r w:rsidR="002D3F80">
        <w:rPr>
          <w:bCs/>
          <w:iCs/>
          <w:sz w:val="28"/>
          <w:szCs w:val="28"/>
        </w:rPr>
        <w:t xml:space="preserve">для досягнення </w:t>
      </w:r>
      <w:r w:rsidR="00DC6550">
        <w:rPr>
          <w:bCs/>
          <w:iCs/>
          <w:sz w:val="28"/>
          <w:szCs w:val="28"/>
        </w:rPr>
        <w:t>максимального</w:t>
      </w:r>
      <w:r w:rsidR="002D3F80">
        <w:rPr>
          <w:bCs/>
          <w:iCs/>
          <w:sz w:val="28"/>
          <w:szCs w:val="28"/>
        </w:rPr>
        <w:t xml:space="preserve"> ефекту від запланованих дій.</w:t>
      </w:r>
    </w:p>
    <w:p w:rsidR="002D3F80" w:rsidRDefault="00FA38D0" w:rsidP="00A31B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2D3F80">
        <w:rPr>
          <w:bCs/>
          <w:iCs/>
          <w:sz w:val="28"/>
          <w:szCs w:val="28"/>
        </w:rPr>
        <w:t xml:space="preserve">езультатом обговорення має стати </w:t>
      </w:r>
      <w:r w:rsidR="00DC6550">
        <w:rPr>
          <w:bCs/>
          <w:iCs/>
          <w:sz w:val="28"/>
          <w:szCs w:val="28"/>
        </w:rPr>
        <w:t>переосмислення</w:t>
      </w:r>
      <w:r w:rsidR="002D3F80">
        <w:rPr>
          <w:bCs/>
          <w:iCs/>
          <w:sz w:val="28"/>
          <w:szCs w:val="28"/>
        </w:rPr>
        <w:t xml:space="preserve"> </w:t>
      </w:r>
      <w:r w:rsidR="00DC6550">
        <w:rPr>
          <w:bCs/>
          <w:iCs/>
          <w:sz w:val="28"/>
          <w:szCs w:val="28"/>
        </w:rPr>
        <w:t>результатів реформування судової системи та консолідаці</w:t>
      </w:r>
      <w:r w:rsidR="00311ED4">
        <w:rPr>
          <w:bCs/>
          <w:iCs/>
          <w:sz w:val="28"/>
          <w:szCs w:val="28"/>
        </w:rPr>
        <w:t>я</w:t>
      </w:r>
      <w:r w:rsidR="00DC6550">
        <w:rPr>
          <w:bCs/>
          <w:iCs/>
          <w:sz w:val="28"/>
          <w:szCs w:val="28"/>
        </w:rPr>
        <w:t xml:space="preserve"> зусиль щодо подальшої розбудови інституційної та функціональної незалежності </w:t>
      </w:r>
      <w:r w:rsidR="00311ED4">
        <w:rPr>
          <w:bCs/>
          <w:iCs/>
          <w:sz w:val="28"/>
          <w:szCs w:val="28"/>
        </w:rPr>
        <w:t>судочинства в Україні</w:t>
      </w:r>
      <w:r w:rsidR="00DC6550">
        <w:rPr>
          <w:bCs/>
          <w:iCs/>
          <w:sz w:val="28"/>
          <w:szCs w:val="28"/>
        </w:rPr>
        <w:t>.</w:t>
      </w:r>
    </w:p>
    <w:p w:rsidR="007039A4" w:rsidRPr="00A148BF" w:rsidRDefault="007039A4" w:rsidP="001D2D69">
      <w:pPr>
        <w:pStyle w:val="a7"/>
        <w:spacing w:before="0"/>
        <w:ind w:firstLine="709"/>
        <w:jc w:val="both"/>
        <w:rPr>
          <w:rFonts w:ascii="Times New Roman" w:hAnsi="Times New Roman"/>
          <w:bCs/>
          <w:iCs/>
          <w:sz w:val="12"/>
          <w:szCs w:val="12"/>
        </w:rPr>
      </w:pPr>
    </w:p>
    <w:p w:rsidR="005E32E9" w:rsidRPr="000F72C5" w:rsidRDefault="005E32E9" w:rsidP="00A148BF">
      <w:pPr>
        <w:spacing w:after="8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60E72">
        <w:rPr>
          <w:b/>
          <w:sz w:val="28"/>
          <w:szCs w:val="28"/>
        </w:rPr>
        <w:t xml:space="preserve">2. Мета і завдання </w:t>
      </w:r>
      <w:r w:rsidRPr="000F72C5">
        <w:rPr>
          <w:b/>
          <w:sz w:val="28"/>
          <w:szCs w:val="28"/>
        </w:rPr>
        <w:t>прийняття проекту Постанови</w:t>
      </w:r>
    </w:p>
    <w:p w:rsidR="005E32E9" w:rsidRPr="009B2004" w:rsidRDefault="005E32E9" w:rsidP="001D2D69">
      <w:pPr>
        <w:ind w:firstLine="709"/>
        <w:jc w:val="both"/>
        <w:rPr>
          <w:sz w:val="28"/>
          <w:szCs w:val="28"/>
        </w:rPr>
      </w:pPr>
      <w:r w:rsidRPr="000F72C5">
        <w:rPr>
          <w:sz w:val="28"/>
          <w:szCs w:val="28"/>
        </w:rPr>
        <w:lastRenderedPageBreak/>
        <w:t xml:space="preserve">Поданим проектом Постанови пропонується провести </w:t>
      </w:r>
      <w:r w:rsidR="000F72C5" w:rsidRPr="000F72C5">
        <w:rPr>
          <w:sz w:val="28"/>
          <w:szCs w:val="28"/>
        </w:rPr>
        <w:t xml:space="preserve">18 </w:t>
      </w:r>
      <w:r w:rsidR="00550E9D" w:rsidRPr="000F72C5">
        <w:rPr>
          <w:sz w:val="28"/>
          <w:szCs w:val="28"/>
        </w:rPr>
        <w:t>листопада</w:t>
      </w:r>
      <w:r w:rsidR="004F662C" w:rsidRPr="000F72C5">
        <w:rPr>
          <w:sz w:val="28"/>
          <w:szCs w:val="28"/>
        </w:rPr>
        <w:t xml:space="preserve"> </w:t>
      </w:r>
      <w:r w:rsidR="00DB7B8B" w:rsidRPr="000F72C5">
        <w:rPr>
          <w:sz w:val="28"/>
          <w:szCs w:val="28"/>
        </w:rPr>
        <w:t>2020</w:t>
      </w:r>
      <w:r w:rsidR="00845DA5" w:rsidRPr="000F72C5">
        <w:rPr>
          <w:sz w:val="28"/>
          <w:szCs w:val="28"/>
        </w:rPr>
        <w:t> </w:t>
      </w:r>
      <w:r w:rsidRPr="000F72C5">
        <w:rPr>
          <w:sz w:val="28"/>
          <w:szCs w:val="28"/>
        </w:rPr>
        <w:t xml:space="preserve">року </w:t>
      </w:r>
      <w:r w:rsidR="00E45224">
        <w:rPr>
          <w:sz w:val="28"/>
          <w:szCs w:val="28"/>
        </w:rPr>
        <w:t xml:space="preserve">о 15 годині </w:t>
      </w:r>
      <w:r w:rsidRPr="000F72C5">
        <w:rPr>
          <w:sz w:val="28"/>
          <w:szCs w:val="28"/>
        </w:rPr>
        <w:t xml:space="preserve">парламентські слухання на тему: </w:t>
      </w:r>
      <w:r w:rsidR="00845DA5" w:rsidRPr="000F72C5">
        <w:rPr>
          <w:sz w:val="28"/>
          <w:szCs w:val="28"/>
        </w:rPr>
        <w:t>«</w:t>
      </w:r>
      <w:r w:rsidR="00934D52" w:rsidRPr="00934D52">
        <w:rPr>
          <w:sz w:val="28"/>
          <w:szCs w:val="28"/>
        </w:rPr>
        <w:t>На шляху до спра</w:t>
      </w:r>
      <w:r w:rsidR="00934D52">
        <w:rPr>
          <w:sz w:val="28"/>
          <w:szCs w:val="28"/>
        </w:rPr>
        <w:t>ведливого судочинства в Україні</w:t>
      </w:r>
      <w:r w:rsidR="00845DA5" w:rsidRPr="000F72C5">
        <w:rPr>
          <w:sz w:val="28"/>
          <w:szCs w:val="28"/>
        </w:rPr>
        <w:t>»</w:t>
      </w:r>
      <w:r w:rsidRPr="000F72C5">
        <w:rPr>
          <w:sz w:val="28"/>
          <w:szCs w:val="28"/>
        </w:rPr>
        <w:t xml:space="preserve">, </w:t>
      </w:r>
      <w:r w:rsidR="004F662C">
        <w:rPr>
          <w:sz w:val="28"/>
          <w:szCs w:val="28"/>
        </w:rPr>
        <w:t>під час проведення</w:t>
      </w:r>
      <w:r w:rsidRPr="00C60E72">
        <w:rPr>
          <w:sz w:val="28"/>
          <w:szCs w:val="28"/>
        </w:rPr>
        <w:t xml:space="preserve"> яких </w:t>
      </w:r>
      <w:r w:rsidR="00950BE0">
        <w:rPr>
          <w:sz w:val="28"/>
          <w:szCs w:val="28"/>
        </w:rPr>
        <w:t xml:space="preserve">передбачається </w:t>
      </w:r>
      <w:r w:rsidRPr="00C60E72">
        <w:rPr>
          <w:sz w:val="28"/>
          <w:szCs w:val="28"/>
        </w:rPr>
        <w:t xml:space="preserve">заслухати інформацію </w:t>
      </w:r>
      <w:r w:rsidR="00821225" w:rsidRPr="00821225">
        <w:rPr>
          <w:sz w:val="28"/>
          <w:szCs w:val="28"/>
        </w:rPr>
        <w:t>Вищої ради правосуддя, Верховного Суду,</w:t>
      </w:r>
      <w:r w:rsidR="00D45605">
        <w:rPr>
          <w:sz w:val="28"/>
          <w:szCs w:val="28"/>
        </w:rPr>
        <w:t xml:space="preserve"> Верховного Суду України,</w:t>
      </w:r>
      <w:r w:rsidR="00082C12" w:rsidRPr="00082C12">
        <w:rPr>
          <w:sz w:val="28"/>
          <w:szCs w:val="28"/>
        </w:rPr>
        <w:t xml:space="preserve"> </w:t>
      </w:r>
      <w:r w:rsidR="00485787">
        <w:rPr>
          <w:sz w:val="28"/>
          <w:szCs w:val="28"/>
        </w:rPr>
        <w:t xml:space="preserve">Конституційного Суду України, </w:t>
      </w:r>
      <w:r w:rsidR="00082C12">
        <w:rPr>
          <w:sz w:val="28"/>
          <w:szCs w:val="28"/>
        </w:rPr>
        <w:t>Ради суддів України, Національної школи суддів України,</w:t>
      </w:r>
      <w:r w:rsidR="00B53BBD">
        <w:rPr>
          <w:sz w:val="28"/>
          <w:szCs w:val="28"/>
        </w:rPr>
        <w:t xml:space="preserve"> </w:t>
      </w:r>
      <w:r w:rsidR="00821225" w:rsidRPr="00821225">
        <w:rPr>
          <w:sz w:val="28"/>
          <w:szCs w:val="28"/>
        </w:rPr>
        <w:t>Офісу Президента України, Вищої кваліфікаційної комісії суддів України, Державної судової адміністрації України, Міністерства юстиції України, Офісу Генерального пр</w:t>
      </w:r>
      <w:r w:rsidR="004D1F8E">
        <w:rPr>
          <w:sz w:val="28"/>
          <w:szCs w:val="28"/>
        </w:rPr>
        <w:t>окурора, Національної асоціації а</w:t>
      </w:r>
      <w:r w:rsidR="00821225" w:rsidRPr="00821225">
        <w:rPr>
          <w:sz w:val="28"/>
          <w:szCs w:val="28"/>
        </w:rPr>
        <w:t xml:space="preserve">двокатів України, Комісії з питань правової реформи, </w:t>
      </w:r>
      <w:r w:rsidR="00821225">
        <w:rPr>
          <w:sz w:val="28"/>
          <w:szCs w:val="28"/>
        </w:rPr>
        <w:t xml:space="preserve">пропозиції </w:t>
      </w:r>
      <w:r w:rsidR="00821225" w:rsidRPr="00821225">
        <w:rPr>
          <w:sz w:val="28"/>
          <w:szCs w:val="28"/>
          <w:lang w:eastAsia="uk-UA"/>
        </w:rPr>
        <w:t>державних органів, органів</w:t>
      </w:r>
      <w:r w:rsidR="00821225" w:rsidRPr="00821225">
        <w:rPr>
          <w:sz w:val="28"/>
          <w:szCs w:val="28"/>
        </w:rPr>
        <w:t xml:space="preserve"> місцевого самоврядування</w:t>
      </w:r>
      <w:r w:rsidR="00821225" w:rsidRPr="00821225">
        <w:rPr>
          <w:sz w:val="28"/>
          <w:szCs w:val="28"/>
          <w:lang w:eastAsia="uk-UA"/>
        </w:rPr>
        <w:t xml:space="preserve">, </w:t>
      </w:r>
      <w:r w:rsidR="009B2004">
        <w:rPr>
          <w:sz w:val="28"/>
          <w:szCs w:val="28"/>
        </w:rPr>
        <w:t>представників громадянського суспільства</w:t>
      </w:r>
      <w:r w:rsidRPr="00C60E72">
        <w:rPr>
          <w:sz w:val="28"/>
          <w:szCs w:val="28"/>
        </w:rPr>
        <w:t xml:space="preserve"> щодо цього питання.</w:t>
      </w:r>
    </w:p>
    <w:p w:rsidR="003E2037" w:rsidRPr="003E2037" w:rsidRDefault="003E2037" w:rsidP="003E2037">
      <w:pPr>
        <w:ind w:right="-1" w:firstLine="709"/>
        <w:jc w:val="both"/>
        <w:rPr>
          <w:sz w:val="28"/>
          <w:lang w:eastAsia="uk-UA"/>
        </w:rPr>
      </w:pPr>
      <w:r w:rsidRPr="003E2037">
        <w:rPr>
          <w:sz w:val="28"/>
          <w:szCs w:val="28"/>
        </w:rPr>
        <w:t xml:space="preserve">Метою зазначених парламентських слухань є обговорення </w:t>
      </w:r>
      <w:r w:rsidR="00885103">
        <w:rPr>
          <w:sz w:val="28"/>
          <w:szCs w:val="28"/>
        </w:rPr>
        <w:t xml:space="preserve">сучасного стану та </w:t>
      </w:r>
      <w:r w:rsidR="008F1B3C">
        <w:rPr>
          <w:sz w:val="28"/>
          <w:szCs w:val="28"/>
        </w:rPr>
        <w:t xml:space="preserve">ключових напрямів реформування судової </w:t>
      </w:r>
      <w:r w:rsidR="00885103">
        <w:rPr>
          <w:sz w:val="28"/>
          <w:szCs w:val="28"/>
        </w:rPr>
        <w:t>влад</w:t>
      </w:r>
      <w:r w:rsidR="008F1B3C">
        <w:rPr>
          <w:sz w:val="28"/>
          <w:szCs w:val="28"/>
        </w:rPr>
        <w:t>и в Україні</w:t>
      </w:r>
      <w:r w:rsidRPr="003E2037">
        <w:rPr>
          <w:sz w:val="28"/>
          <w:szCs w:val="28"/>
        </w:rPr>
        <w:t xml:space="preserve">, </w:t>
      </w:r>
      <w:r w:rsidR="00885103">
        <w:rPr>
          <w:sz w:val="28"/>
          <w:szCs w:val="28"/>
        </w:rPr>
        <w:t>окреслення</w:t>
      </w:r>
      <w:r w:rsidRPr="003E2037">
        <w:rPr>
          <w:sz w:val="28"/>
          <w:szCs w:val="28"/>
        </w:rPr>
        <w:t xml:space="preserve"> принципів і підходів державної політики </w:t>
      </w:r>
      <w:r w:rsidR="008F1B3C">
        <w:rPr>
          <w:sz w:val="28"/>
        </w:rPr>
        <w:t>щодо реалізації права кожного на справедливий суд</w:t>
      </w:r>
      <w:r w:rsidRPr="003E2037">
        <w:rPr>
          <w:sz w:val="28"/>
        </w:rPr>
        <w:t xml:space="preserve">, а також </w:t>
      </w:r>
      <w:r w:rsidR="008F1B3C">
        <w:rPr>
          <w:sz w:val="28"/>
        </w:rPr>
        <w:t xml:space="preserve">формування </w:t>
      </w:r>
      <w:r w:rsidR="008F1B3C" w:rsidRPr="003E2037">
        <w:rPr>
          <w:sz w:val="28"/>
          <w:szCs w:val="28"/>
        </w:rPr>
        <w:t>цілісного бачення</w:t>
      </w:r>
      <w:r w:rsidR="008F1B3C">
        <w:rPr>
          <w:sz w:val="28"/>
          <w:szCs w:val="28"/>
        </w:rPr>
        <w:t xml:space="preserve"> перспектив </w:t>
      </w:r>
      <w:r w:rsidR="00885103">
        <w:rPr>
          <w:sz w:val="28"/>
          <w:szCs w:val="28"/>
        </w:rPr>
        <w:t>розвитку системи вітчизняного судочинства</w:t>
      </w:r>
      <w:r w:rsidRPr="003E2037">
        <w:rPr>
          <w:sz w:val="28"/>
        </w:rPr>
        <w:t>.</w:t>
      </w:r>
    </w:p>
    <w:p w:rsidR="009D37E6" w:rsidRDefault="009D37E6" w:rsidP="009D37E6">
      <w:pPr>
        <w:ind w:firstLine="708"/>
        <w:jc w:val="both"/>
        <w:rPr>
          <w:sz w:val="28"/>
          <w:szCs w:val="28"/>
        </w:rPr>
      </w:pPr>
      <w:r w:rsidRPr="00F00E99">
        <w:rPr>
          <w:bCs/>
          <w:iCs/>
          <w:sz w:val="28"/>
          <w:szCs w:val="28"/>
        </w:rPr>
        <w:t>За підсумками</w:t>
      </w:r>
      <w:r>
        <w:rPr>
          <w:bCs/>
          <w:iCs/>
          <w:sz w:val="28"/>
          <w:szCs w:val="28"/>
        </w:rPr>
        <w:t xml:space="preserve"> парламентських слухань Верховна Рада України, відповідно до вимог частини 8 статті 236 Регламенту Верховної Ради України, має розглянути та прийняти </w:t>
      </w:r>
      <w:r>
        <w:rPr>
          <w:sz w:val="28"/>
          <w:szCs w:val="28"/>
        </w:rPr>
        <w:t>рекомендації парламентських слухань.</w:t>
      </w:r>
    </w:p>
    <w:p w:rsidR="007039A4" w:rsidRPr="00A148BF" w:rsidRDefault="007039A4" w:rsidP="001D2D69">
      <w:pPr>
        <w:ind w:firstLine="709"/>
        <w:jc w:val="both"/>
        <w:rPr>
          <w:sz w:val="12"/>
          <w:szCs w:val="12"/>
        </w:rPr>
      </w:pPr>
    </w:p>
    <w:p w:rsidR="005E32E9" w:rsidRPr="00C60E72" w:rsidRDefault="005E32E9" w:rsidP="00A148BF">
      <w:pPr>
        <w:pStyle w:val="a7"/>
        <w:spacing w:before="0" w:after="8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60E72">
        <w:rPr>
          <w:rFonts w:ascii="Times New Roman" w:hAnsi="Times New Roman"/>
          <w:b/>
          <w:bCs/>
          <w:sz w:val="28"/>
          <w:szCs w:val="28"/>
        </w:rPr>
        <w:t>3.</w:t>
      </w:r>
      <w:r w:rsidR="00847F33" w:rsidRPr="00C60E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E72">
        <w:rPr>
          <w:rFonts w:ascii="Times New Roman" w:hAnsi="Times New Roman"/>
          <w:b/>
          <w:bCs/>
          <w:sz w:val="28"/>
          <w:szCs w:val="28"/>
        </w:rPr>
        <w:t>Загальна характеристика та основні положення проекту Постанови</w:t>
      </w:r>
    </w:p>
    <w:p w:rsidR="005E32E9" w:rsidRPr="00C60E72" w:rsidRDefault="005E32E9" w:rsidP="001D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60E72">
        <w:rPr>
          <w:sz w:val="28"/>
          <w:szCs w:val="28"/>
        </w:rPr>
        <w:t xml:space="preserve">Проектом </w:t>
      </w:r>
      <w:r w:rsidRPr="000F72C5">
        <w:rPr>
          <w:sz w:val="28"/>
          <w:szCs w:val="28"/>
        </w:rPr>
        <w:t xml:space="preserve">Постанови пропонується провести </w:t>
      </w:r>
      <w:r w:rsidR="000F72C5" w:rsidRPr="000F72C5">
        <w:rPr>
          <w:sz w:val="28"/>
          <w:szCs w:val="28"/>
        </w:rPr>
        <w:t xml:space="preserve">18 </w:t>
      </w:r>
      <w:r w:rsidR="00550E9D" w:rsidRPr="000F72C5">
        <w:rPr>
          <w:sz w:val="28"/>
          <w:szCs w:val="28"/>
        </w:rPr>
        <w:t>листопада</w:t>
      </w:r>
      <w:r w:rsidR="00DB7B8B" w:rsidRPr="000F72C5">
        <w:rPr>
          <w:sz w:val="28"/>
          <w:szCs w:val="28"/>
        </w:rPr>
        <w:t xml:space="preserve"> </w:t>
      </w:r>
      <w:r w:rsidR="00845DA5" w:rsidRPr="000F72C5">
        <w:rPr>
          <w:sz w:val="28"/>
          <w:szCs w:val="28"/>
        </w:rPr>
        <w:t>2020 </w:t>
      </w:r>
      <w:r w:rsidRPr="000F72C5">
        <w:rPr>
          <w:sz w:val="28"/>
          <w:szCs w:val="28"/>
        </w:rPr>
        <w:t>року парламентські слухання</w:t>
      </w:r>
      <w:r w:rsidRPr="000F72C5">
        <w:rPr>
          <w:bCs/>
        </w:rPr>
        <w:t xml:space="preserve"> </w:t>
      </w:r>
      <w:r w:rsidRPr="000F72C5">
        <w:rPr>
          <w:sz w:val="28"/>
          <w:szCs w:val="28"/>
        </w:rPr>
        <w:t>на тему</w:t>
      </w:r>
      <w:r w:rsidR="00580CB9" w:rsidRPr="000F72C5">
        <w:rPr>
          <w:sz w:val="28"/>
          <w:szCs w:val="28"/>
        </w:rPr>
        <w:t>:</w:t>
      </w:r>
      <w:r w:rsidRPr="000F72C5">
        <w:rPr>
          <w:sz w:val="28"/>
          <w:szCs w:val="28"/>
        </w:rPr>
        <w:t xml:space="preserve"> </w:t>
      </w:r>
      <w:r w:rsidR="00845DA5" w:rsidRPr="000F72C5">
        <w:rPr>
          <w:sz w:val="28"/>
          <w:szCs w:val="28"/>
        </w:rPr>
        <w:t>«</w:t>
      </w:r>
      <w:r w:rsidR="00934D52" w:rsidRPr="00934D52">
        <w:rPr>
          <w:sz w:val="28"/>
          <w:szCs w:val="28"/>
        </w:rPr>
        <w:t>На шляху до спра</w:t>
      </w:r>
      <w:r w:rsidR="00934D52">
        <w:rPr>
          <w:sz w:val="28"/>
          <w:szCs w:val="28"/>
        </w:rPr>
        <w:t>ведливого судочинства в Україні</w:t>
      </w:r>
      <w:r w:rsidR="00845DA5" w:rsidRPr="000F72C5">
        <w:rPr>
          <w:sz w:val="28"/>
          <w:szCs w:val="28"/>
        </w:rPr>
        <w:t>»</w:t>
      </w:r>
      <w:r w:rsidRPr="000F72C5">
        <w:rPr>
          <w:sz w:val="28"/>
          <w:szCs w:val="28"/>
        </w:rPr>
        <w:t>.</w:t>
      </w:r>
    </w:p>
    <w:p w:rsidR="007039A4" w:rsidRPr="00A148BF" w:rsidRDefault="007039A4" w:rsidP="001D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2"/>
          <w:szCs w:val="12"/>
        </w:rPr>
      </w:pPr>
    </w:p>
    <w:p w:rsidR="005E32E9" w:rsidRPr="00C60E72" w:rsidRDefault="005E32E9" w:rsidP="00A148BF">
      <w:pPr>
        <w:pStyle w:val="a5"/>
        <w:tabs>
          <w:tab w:val="left" w:pos="720"/>
        </w:tabs>
        <w:spacing w:after="80"/>
        <w:ind w:left="0" w:firstLine="709"/>
        <w:jc w:val="both"/>
        <w:rPr>
          <w:sz w:val="28"/>
          <w:szCs w:val="28"/>
        </w:rPr>
      </w:pPr>
      <w:r w:rsidRPr="00C60E72">
        <w:rPr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:rsidR="007039A4" w:rsidRDefault="009D37E6" w:rsidP="001D2D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Правове регулювання </w:t>
      </w:r>
      <w:r w:rsidR="008F1B3C">
        <w:rPr>
          <w:bCs/>
          <w:sz w:val="28"/>
          <w:szCs w:val="28"/>
        </w:rPr>
        <w:t xml:space="preserve">відносин </w:t>
      </w:r>
      <w:r>
        <w:rPr>
          <w:bCs/>
          <w:sz w:val="28"/>
          <w:szCs w:val="28"/>
        </w:rPr>
        <w:t>у зазначеній</w:t>
      </w:r>
      <w:r w:rsidRPr="00F24DA4">
        <w:rPr>
          <w:bCs/>
          <w:sz w:val="28"/>
          <w:szCs w:val="28"/>
        </w:rPr>
        <w:t xml:space="preserve"> сфері з</w:t>
      </w:r>
      <w:r w:rsidR="008F1B3C">
        <w:rPr>
          <w:bCs/>
          <w:sz w:val="28"/>
          <w:szCs w:val="28"/>
        </w:rPr>
        <w:t xml:space="preserve">дійснюється на підставі Конституції України, Законів України «Про </w:t>
      </w:r>
      <w:r w:rsidR="008F1B3C" w:rsidRPr="008F1B3C">
        <w:rPr>
          <w:bCs/>
          <w:sz w:val="28"/>
          <w:szCs w:val="28"/>
        </w:rPr>
        <w:t>судоустрій і статус суддів</w:t>
      </w:r>
      <w:r w:rsidR="008F1B3C">
        <w:rPr>
          <w:bCs/>
          <w:sz w:val="28"/>
          <w:szCs w:val="28"/>
        </w:rPr>
        <w:t xml:space="preserve">», </w:t>
      </w:r>
      <w:r w:rsidR="00885103">
        <w:rPr>
          <w:bCs/>
          <w:sz w:val="28"/>
          <w:szCs w:val="28"/>
        </w:rPr>
        <w:t>«Про</w:t>
      </w:r>
      <w:r w:rsidR="00885103" w:rsidRPr="00885103">
        <w:rPr>
          <w:bCs/>
          <w:sz w:val="28"/>
          <w:szCs w:val="28"/>
        </w:rPr>
        <w:t xml:space="preserve"> Конституційний Суд України</w:t>
      </w:r>
      <w:r w:rsidR="00885103" w:rsidRPr="008F1B3C">
        <w:rPr>
          <w:bCs/>
          <w:sz w:val="28"/>
          <w:szCs w:val="28"/>
        </w:rPr>
        <w:t>»,</w:t>
      </w:r>
      <w:r w:rsidR="00885103">
        <w:rPr>
          <w:bCs/>
          <w:sz w:val="28"/>
          <w:szCs w:val="28"/>
        </w:rPr>
        <w:t xml:space="preserve"> </w:t>
      </w:r>
      <w:r w:rsidR="008F1B3C">
        <w:rPr>
          <w:bCs/>
          <w:sz w:val="28"/>
          <w:szCs w:val="28"/>
        </w:rPr>
        <w:t xml:space="preserve">«Про </w:t>
      </w:r>
      <w:r w:rsidR="008F1B3C" w:rsidRPr="008F1B3C">
        <w:rPr>
          <w:bCs/>
          <w:sz w:val="28"/>
          <w:szCs w:val="28"/>
        </w:rPr>
        <w:t>Вищу раду правосуддя»,</w:t>
      </w:r>
      <w:r w:rsidR="008F1B3C">
        <w:rPr>
          <w:bCs/>
          <w:sz w:val="28"/>
          <w:szCs w:val="28"/>
        </w:rPr>
        <w:t xml:space="preserve"> </w:t>
      </w:r>
      <w:r w:rsidR="00885103">
        <w:rPr>
          <w:bCs/>
          <w:sz w:val="28"/>
          <w:szCs w:val="28"/>
        </w:rPr>
        <w:t xml:space="preserve">«Про </w:t>
      </w:r>
      <w:r w:rsidR="00885103" w:rsidRPr="00885103">
        <w:rPr>
          <w:bCs/>
          <w:sz w:val="28"/>
          <w:szCs w:val="28"/>
        </w:rPr>
        <w:t>Вищий антикорупційний суд</w:t>
      </w:r>
      <w:r w:rsidR="00885103">
        <w:rPr>
          <w:bCs/>
          <w:sz w:val="28"/>
          <w:szCs w:val="28"/>
        </w:rPr>
        <w:t xml:space="preserve">», </w:t>
      </w:r>
      <w:r w:rsidRPr="00F24DA4">
        <w:rPr>
          <w:bCs/>
          <w:sz w:val="28"/>
          <w:szCs w:val="28"/>
        </w:rPr>
        <w:t>Регламент</w:t>
      </w:r>
      <w:r w:rsidR="008F1B3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Верховної Ради України</w:t>
      </w:r>
      <w:r w:rsidRPr="00F24DA4">
        <w:rPr>
          <w:bCs/>
          <w:sz w:val="28"/>
          <w:szCs w:val="28"/>
        </w:rPr>
        <w:t>.</w:t>
      </w:r>
    </w:p>
    <w:p w:rsidR="008310AA" w:rsidRPr="00A148BF" w:rsidRDefault="008310AA" w:rsidP="001D2D69">
      <w:pPr>
        <w:ind w:firstLine="709"/>
        <w:jc w:val="both"/>
        <w:rPr>
          <w:sz w:val="12"/>
          <w:szCs w:val="12"/>
        </w:rPr>
      </w:pPr>
    </w:p>
    <w:p w:rsidR="005E32E9" w:rsidRPr="00C60E72" w:rsidRDefault="005E32E9" w:rsidP="00A148BF">
      <w:pPr>
        <w:spacing w:after="80"/>
        <w:ind w:firstLine="709"/>
        <w:jc w:val="both"/>
        <w:rPr>
          <w:b/>
          <w:sz w:val="28"/>
          <w:szCs w:val="28"/>
        </w:rPr>
      </w:pPr>
      <w:r w:rsidRPr="00C60E72">
        <w:rPr>
          <w:b/>
          <w:sz w:val="28"/>
          <w:szCs w:val="28"/>
        </w:rPr>
        <w:t>5. Фінансово-економічне обґрунтування</w:t>
      </w:r>
    </w:p>
    <w:p w:rsidR="005E32E9" w:rsidRPr="00C60E72" w:rsidRDefault="005E32E9" w:rsidP="001D2D69">
      <w:pPr>
        <w:pStyle w:val="a3"/>
        <w:ind w:firstLine="709"/>
        <w:jc w:val="both"/>
      </w:pPr>
      <w:r w:rsidRPr="00C60E72">
        <w:t>Проведення парламентських слухань передбачає витрати на матеріально-технічне забезпечення і видання матеріалів парламентських слухань за рахунок коштів, передбачених у видатках Апарату Верховної Ради України.</w:t>
      </w:r>
    </w:p>
    <w:p w:rsidR="007039A4" w:rsidRPr="00A148BF" w:rsidRDefault="007039A4" w:rsidP="001D2D69">
      <w:pPr>
        <w:pStyle w:val="a3"/>
        <w:ind w:firstLine="709"/>
        <w:jc w:val="both"/>
        <w:rPr>
          <w:sz w:val="12"/>
          <w:szCs w:val="12"/>
        </w:rPr>
      </w:pPr>
    </w:p>
    <w:p w:rsidR="005E32E9" w:rsidRPr="00C60E72" w:rsidRDefault="005E32E9" w:rsidP="007039A4">
      <w:pPr>
        <w:pStyle w:val="a5"/>
        <w:tabs>
          <w:tab w:val="num" w:pos="567"/>
          <w:tab w:val="num" w:pos="1755"/>
        </w:tabs>
        <w:ind w:left="0" w:firstLine="709"/>
        <w:jc w:val="both"/>
        <w:rPr>
          <w:b/>
          <w:noProof/>
          <w:sz w:val="28"/>
          <w:szCs w:val="28"/>
        </w:rPr>
      </w:pPr>
      <w:r w:rsidRPr="00C60E72">
        <w:rPr>
          <w:b/>
          <w:noProof/>
          <w:sz w:val="28"/>
          <w:szCs w:val="28"/>
        </w:rPr>
        <w:t xml:space="preserve">6. </w:t>
      </w:r>
      <w:r w:rsidRPr="00C60E72">
        <w:rPr>
          <w:b/>
          <w:bCs/>
          <w:sz w:val="28"/>
          <w:szCs w:val="28"/>
        </w:rPr>
        <w:t>Прогноз соціально-економічних та інших наслідків прийняття проекту Постанови</w:t>
      </w:r>
    </w:p>
    <w:p w:rsidR="005E32E9" w:rsidRPr="008F1B3C" w:rsidRDefault="005E32E9" w:rsidP="001D2D69">
      <w:pPr>
        <w:ind w:firstLine="709"/>
        <w:jc w:val="both"/>
        <w:rPr>
          <w:sz w:val="28"/>
          <w:szCs w:val="28"/>
        </w:rPr>
      </w:pPr>
      <w:r w:rsidRPr="00C60E72">
        <w:rPr>
          <w:sz w:val="28"/>
          <w:szCs w:val="28"/>
        </w:rPr>
        <w:t xml:space="preserve">Прийняття проекту Постанови забезпечить проведення парламентських слухань на </w:t>
      </w:r>
      <w:r w:rsidRPr="000F72C5">
        <w:rPr>
          <w:sz w:val="28"/>
          <w:szCs w:val="28"/>
        </w:rPr>
        <w:t>тему</w:t>
      </w:r>
      <w:r w:rsidR="00845DA5" w:rsidRPr="000F72C5">
        <w:rPr>
          <w:sz w:val="28"/>
          <w:szCs w:val="28"/>
        </w:rPr>
        <w:t xml:space="preserve"> «</w:t>
      </w:r>
      <w:r w:rsidR="00C00BFC" w:rsidRPr="00C00BFC">
        <w:rPr>
          <w:sz w:val="28"/>
          <w:szCs w:val="28"/>
        </w:rPr>
        <w:t>На шляху до спра</w:t>
      </w:r>
      <w:r w:rsidR="00C00BFC">
        <w:rPr>
          <w:sz w:val="28"/>
          <w:szCs w:val="28"/>
        </w:rPr>
        <w:t>ведливого судочинства в Україні</w:t>
      </w:r>
      <w:r w:rsidR="00845DA5" w:rsidRPr="000F72C5">
        <w:rPr>
          <w:sz w:val="28"/>
          <w:szCs w:val="28"/>
        </w:rPr>
        <w:t>»</w:t>
      </w:r>
      <w:r w:rsidRPr="000F72C5">
        <w:rPr>
          <w:sz w:val="28"/>
          <w:szCs w:val="28"/>
        </w:rPr>
        <w:t xml:space="preserve">, </w:t>
      </w:r>
      <w:r w:rsidRPr="008F1B3C">
        <w:rPr>
          <w:sz w:val="28"/>
          <w:szCs w:val="28"/>
        </w:rPr>
        <w:t>що сприятиме</w:t>
      </w:r>
      <w:r w:rsidR="00C60E72" w:rsidRPr="008F1B3C">
        <w:rPr>
          <w:sz w:val="28"/>
          <w:szCs w:val="28"/>
        </w:rPr>
        <w:t xml:space="preserve"> </w:t>
      </w:r>
      <w:r w:rsidR="00331F9A" w:rsidRPr="008F1B3C">
        <w:rPr>
          <w:sz w:val="28"/>
          <w:szCs w:val="28"/>
        </w:rPr>
        <w:t xml:space="preserve">розвитку </w:t>
      </w:r>
      <w:r w:rsidR="00A148BF" w:rsidRPr="008F1B3C">
        <w:rPr>
          <w:sz w:val="28"/>
          <w:szCs w:val="28"/>
        </w:rPr>
        <w:t xml:space="preserve">державної </w:t>
      </w:r>
      <w:r w:rsidR="00C60E72" w:rsidRPr="008F1B3C">
        <w:rPr>
          <w:sz w:val="28"/>
          <w:szCs w:val="28"/>
        </w:rPr>
        <w:t xml:space="preserve">політики </w:t>
      </w:r>
      <w:r w:rsidRPr="008F1B3C">
        <w:rPr>
          <w:sz w:val="28"/>
          <w:szCs w:val="28"/>
        </w:rPr>
        <w:t xml:space="preserve">України в </w:t>
      </w:r>
      <w:r w:rsidR="008F1B3C" w:rsidRPr="008F1B3C">
        <w:rPr>
          <w:sz w:val="28"/>
          <w:szCs w:val="28"/>
        </w:rPr>
        <w:t>сфері організаційно-правового забезпечення діяльності органів судової влади</w:t>
      </w:r>
      <w:r w:rsidR="00331F9A" w:rsidRPr="008F1B3C">
        <w:rPr>
          <w:sz w:val="28"/>
          <w:szCs w:val="28"/>
        </w:rPr>
        <w:t>.</w:t>
      </w:r>
    </w:p>
    <w:p w:rsidR="005E32E9" w:rsidRPr="00C60E72" w:rsidRDefault="005E32E9" w:rsidP="00EF6D33">
      <w:pPr>
        <w:ind w:firstLine="709"/>
        <w:jc w:val="both"/>
        <w:rPr>
          <w:sz w:val="28"/>
          <w:szCs w:val="28"/>
        </w:rPr>
      </w:pPr>
    </w:p>
    <w:p w:rsidR="0080146B" w:rsidRDefault="0080146B" w:rsidP="009D37E6">
      <w:pPr>
        <w:ind w:firstLine="709"/>
        <w:jc w:val="both"/>
        <w:rPr>
          <w:b/>
          <w:sz w:val="28"/>
          <w:szCs w:val="28"/>
        </w:rPr>
      </w:pPr>
    </w:p>
    <w:p w:rsidR="00DB2AF5" w:rsidRDefault="00DB2AF5" w:rsidP="00DB2AF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Народні депутати</w:t>
      </w:r>
      <w:r w:rsidRPr="005D3EAD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Р.О. Стефанчук</w:t>
      </w:r>
    </w:p>
    <w:p w:rsidR="005E32E9" w:rsidRPr="00C23CDE" w:rsidRDefault="00DB2AF5" w:rsidP="00C23CD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3CDE">
        <w:rPr>
          <w:b/>
          <w:sz w:val="28"/>
          <w:szCs w:val="28"/>
        </w:rPr>
        <w:t>А.Є. Костін</w:t>
      </w:r>
    </w:p>
    <w:sectPr w:rsidR="005E32E9" w:rsidRPr="00C23CDE" w:rsidSect="009B2004">
      <w:headerReference w:type="even" r:id="rId10"/>
      <w:headerReference w:type="default" r:id="rId11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83" w:rsidRDefault="00B44F83">
      <w:r>
        <w:separator/>
      </w:r>
    </w:p>
  </w:endnote>
  <w:endnote w:type="continuationSeparator" w:id="0">
    <w:p w:rsidR="00B44F83" w:rsidRDefault="00B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83" w:rsidRDefault="00B44F83">
      <w:r>
        <w:separator/>
      </w:r>
    </w:p>
  </w:footnote>
  <w:footnote w:type="continuationSeparator" w:id="0">
    <w:p w:rsidR="00B44F83" w:rsidRDefault="00B4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9" w:rsidRDefault="005E32E9" w:rsidP="00171F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146B">
      <w:rPr>
        <w:rStyle w:val="aa"/>
        <w:noProof/>
      </w:rPr>
      <w:t>2</w:t>
    </w:r>
    <w:r>
      <w:rPr>
        <w:rStyle w:val="aa"/>
      </w:rPr>
      <w:fldChar w:fldCharType="end"/>
    </w:r>
  </w:p>
  <w:p w:rsidR="005E32E9" w:rsidRDefault="005E32E9" w:rsidP="00171FD0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E9" w:rsidRDefault="005E32E9" w:rsidP="00171F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2554">
      <w:rPr>
        <w:rStyle w:val="aa"/>
        <w:noProof/>
      </w:rPr>
      <w:t>2</w:t>
    </w:r>
    <w:r>
      <w:rPr>
        <w:rStyle w:val="aa"/>
      </w:rPr>
      <w:fldChar w:fldCharType="end"/>
    </w:r>
  </w:p>
  <w:p w:rsidR="005E32E9" w:rsidRPr="00487BDE" w:rsidRDefault="005E32E9" w:rsidP="00171FD0">
    <w:pPr>
      <w:pStyle w:val="a8"/>
      <w:framePr w:wrap="around" w:vAnchor="text" w:hAnchor="margin" w:xAlign="inside" w:y="1"/>
      <w:rPr>
        <w:rStyle w:val="aa"/>
      </w:rPr>
    </w:pPr>
  </w:p>
  <w:p w:rsidR="005E32E9" w:rsidRDefault="005E32E9" w:rsidP="00171FD0">
    <w:pPr>
      <w:pStyle w:val="a8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E05"/>
    <w:multiLevelType w:val="hybridMultilevel"/>
    <w:tmpl w:val="15BA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B45"/>
    <w:multiLevelType w:val="hybridMultilevel"/>
    <w:tmpl w:val="4D9E3C7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75301147"/>
    <w:multiLevelType w:val="hybridMultilevel"/>
    <w:tmpl w:val="A008D24A"/>
    <w:lvl w:ilvl="0" w:tplc="350C56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2"/>
    <w:rsid w:val="00002617"/>
    <w:rsid w:val="00003742"/>
    <w:rsid w:val="000474D1"/>
    <w:rsid w:val="00056513"/>
    <w:rsid w:val="00072B80"/>
    <w:rsid w:val="00082C12"/>
    <w:rsid w:val="00083F08"/>
    <w:rsid w:val="000B7CFC"/>
    <w:rsid w:val="000F72C5"/>
    <w:rsid w:val="00104B72"/>
    <w:rsid w:val="001151D1"/>
    <w:rsid w:val="00115786"/>
    <w:rsid w:val="00122823"/>
    <w:rsid w:val="00131144"/>
    <w:rsid w:val="00137254"/>
    <w:rsid w:val="00171FD0"/>
    <w:rsid w:val="00177995"/>
    <w:rsid w:val="001A5AA4"/>
    <w:rsid w:val="001B75BE"/>
    <w:rsid w:val="001D2D69"/>
    <w:rsid w:val="001F70EF"/>
    <w:rsid w:val="001F734E"/>
    <w:rsid w:val="0021030B"/>
    <w:rsid w:val="00221D5B"/>
    <w:rsid w:val="00223EB9"/>
    <w:rsid w:val="00224670"/>
    <w:rsid w:val="0025203A"/>
    <w:rsid w:val="002641B7"/>
    <w:rsid w:val="00272BC2"/>
    <w:rsid w:val="002A1CE6"/>
    <w:rsid w:val="002B61EF"/>
    <w:rsid w:val="002C31DC"/>
    <w:rsid w:val="002C589A"/>
    <w:rsid w:val="002D031C"/>
    <w:rsid w:val="002D03BF"/>
    <w:rsid w:val="002D3F80"/>
    <w:rsid w:val="00311ED4"/>
    <w:rsid w:val="003225D9"/>
    <w:rsid w:val="00331F9A"/>
    <w:rsid w:val="00355F95"/>
    <w:rsid w:val="00392CD7"/>
    <w:rsid w:val="003954F1"/>
    <w:rsid w:val="003C5494"/>
    <w:rsid w:val="003C6DF7"/>
    <w:rsid w:val="003D64CB"/>
    <w:rsid w:val="003E2037"/>
    <w:rsid w:val="0042075A"/>
    <w:rsid w:val="00425BE4"/>
    <w:rsid w:val="004317FC"/>
    <w:rsid w:val="00442F4A"/>
    <w:rsid w:val="0047763D"/>
    <w:rsid w:val="00483F59"/>
    <w:rsid w:val="00485787"/>
    <w:rsid w:val="00487BDE"/>
    <w:rsid w:val="004D1F8E"/>
    <w:rsid w:val="004E20A3"/>
    <w:rsid w:val="004E7E73"/>
    <w:rsid w:val="004F5188"/>
    <w:rsid w:val="004F662C"/>
    <w:rsid w:val="00536D33"/>
    <w:rsid w:val="00540116"/>
    <w:rsid w:val="00547AA7"/>
    <w:rsid w:val="00550D29"/>
    <w:rsid w:val="00550E9D"/>
    <w:rsid w:val="00554FBE"/>
    <w:rsid w:val="005722F3"/>
    <w:rsid w:val="00573A34"/>
    <w:rsid w:val="00580CB9"/>
    <w:rsid w:val="005C39EF"/>
    <w:rsid w:val="005E00CA"/>
    <w:rsid w:val="005E06C9"/>
    <w:rsid w:val="005E32E9"/>
    <w:rsid w:val="00615DC8"/>
    <w:rsid w:val="00616334"/>
    <w:rsid w:val="00616966"/>
    <w:rsid w:val="006235B0"/>
    <w:rsid w:val="00635582"/>
    <w:rsid w:val="006731FB"/>
    <w:rsid w:val="006833E7"/>
    <w:rsid w:val="006A7652"/>
    <w:rsid w:val="006B36C1"/>
    <w:rsid w:val="006C5FED"/>
    <w:rsid w:val="006D11F3"/>
    <w:rsid w:val="006D203D"/>
    <w:rsid w:val="006F539E"/>
    <w:rsid w:val="007039A4"/>
    <w:rsid w:val="007244E1"/>
    <w:rsid w:val="007509D5"/>
    <w:rsid w:val="007561C6"/>
    <w:rsid w:val="0076072F"/>
    <w:rsid w:val="00765D62"/>
    <w:rsid w:val="00773121"/>
    <w:rsid w:val="007A2CEF"/>
    <w:rsid w:val="0080146B"/>
    <w:rsid w:val="00821225"/>
    <w:rsid w:val="008310AA"/>
    <w:rsid w:val="00845DA5"/>
    <w:rsid w:val="00847F33"/>
    <w:rsid w:val="00885103"/>
    <w:rsid w:val="00885DFA"/>
    <w:rsid w:val="008F1B3C"/>
    <w:rsid w:val="00904DF7"/>
    <w:rsid w:val="00907872"/>
    <w:rsid w:val="0091053F"/>
    <w:rsid w:val="00934D52"/>
    <w:rsid w:val="00941D94"/>
    <w:rsid w:val="009462BB"/>
    <w:rsid w:val="00950BE0"/>
    <w:rsid w:val="00960074"/>
    <w:rsid w:val="00962554"/>
    <w:rsid w:val="00964260"/>
    <w:rsid w:val="0097404E"/>
    <w:rsid w:val="009834E0"/>
    <w:rsid w:val="00990AAE"/>
    <w:rsid w:val="00996E22"/>
    <w:rsid w:val="009B2004"/>
    <w:rsid w:val="009D37E6"/>
    <w:rsid w:val="009F123B"/>
    <w:rsid w:val="009F313A"/>
    <w:rsid w:val="00A148BF"/>
    <w:rsid w:val="00A31B17"/>
    <w:rsid w:val="00A93280"/>
    <w:rsid w:val="00A939F4"/>
    <w:rsid w:val="00AB31CC"/>
    <w:rsid w:val="00AC02C9"/>
    <w:rsid w:val="00AC0655"/>
    <w:rsid w:val="00AE7833"/>
    <w:rsid w:val="00AF51C8"/>
    <w:rsid w:val="00B1148A"/>
    <w:rsid w:val="00B23844"/>
    <w:rsid w:val="00B324AB"/>
    <w:rsid w:val="00B4031B"/>
    <w:rsid w:val="00B44F83"/>
    <w:rsid w:val="00B4721A"/>
    <w:rsid w:val="00B52B2E"/>
    <w:rsid w:val="00B52E87"/>
    <w:rsid w:val="00B53BBD"/>
    <w:rsid w:val="00BC6891"/>
    <w:rsid w:val="00BE6997"/>
    <w:rsid w:val="00BE6E90"/>
    <w:rsid w:val="00BF7631"/>
    <w:rsid w:val="00C00BFC"/>
    <w:rsid w:val="00C0362E"/>
    <w:rsid w:val="00C2396C"/>
    <w:rsid w:val="00C23CDE"/>
    <w:rsid w:val="00C27C8A"/>
    <w:rsid w:val="00C4134F"/>
    <w:rsid w:val="00C56E62"/>
    <w:rsid w:val="00C60E72"/>
    <w:rsid w:val="00C8527A"/>
    <w:rsid w:val="00CD6EFE"/>
    <w:rsid w:val="00D02734"/>
    <w:rsid w:val="00D119D9"/>
    <w:rsid w:val="00D126F1"/>
    <w:rsid w:val="00D160B4"/>
    <w:rsid w:val="00D45605"/>
    <w:rsid w:val="00D64ABF"/>
    <w:rsid w:val="00D770E1"/>
    <w:rsid w:val="00D80348"/>
    <w:rsid w:val="00D945BD"/>
    <w:rsid w:val="00DA2546"/>
    <w:rsid w:val="00DB1632"/>
    <w:rsid w:val="00DB2AF5"/>
    <w:rsid w:val="00DB7B8B"/>
    <w:rsid w:val="00DC4026"/>
    <w:rsid w:val="00DC6550"/>
    <w:rsid w:val="00DD2CBD"/>
    <w:rsid w:val="00DE65B0"/>
    <w:rsid w:val="00E0522C"/>
    <w:rsid w:val="00E332E9"/>
    <w:rsid w:val="00E45224"/>
    <w:rsid w:val="00E75A75"/>
    <w:rsid w:val="00ED3836"/>
    <w:rsid w:val="00ED4FFD"/>
    <w:rsid w:val="00EF6D33"/>
    <w:rsid w:val="00F00E99"/>
    <w:rsid w:val="00F14485"/>
    <w:rsid w:val="00F1470C"/>
    <w:rsid w:val="00F24DA4"/>
    <w:rsid w:val="00F42934"/>
    <w:rsid w:val="00F452D1"/>
    <w:rsid w:val="00F52DAC"/>
    <w:rsid w:val="00F617CE"/>
    <w:rsid w:val="00F729FC"/>
    <w:rsid w:val="00F75281"/>
    <w:rsid w:val="00F81A94"/>
    <w:rsid w:val="00FA38D0"/>
    <w:rsid w:val="00FC7853"/>
    <w:rsid w:val="00FD1BED"/>
    <w:rsid w:val="00FE4C21"/>
    <w:rsid w:val="00FE7B4E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ACDC7-B9DE-42A8-A4B9-55395116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5582"/>
    <w:pPr>
      <w:jc w:val="center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locked/>
    <w:rsid w:val="006D11F3"/>
    <w:rPr>
      <w:rFonts w:cs="Times New Roman"/>
      <w:sz w:val="24"/>
      <w:szCs w:val="24"/>
      <w:lang w:val="uk-UA" w:eastAsia="x-none"/>
    </w:rPr>
  </w:style>
  <w:style w:type="paragraph" w:styleId="a5">
    <w:name w:val="Body Text Indent"/>
    <w:basedOn w:val="a"/>
    <w:link w:val="a6"/>
    <w:uiPriority w:val="99"/>
    <w:rsid w:val="00635582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uiPriority w:val="99"/>
    <w:semiHidden/>
    <w:locked/>
    <w:rsid w:val="006D11F3"/>
    <w:rPr>
      <w:rFonts w:cs="Times New Roman"/>
      <w:sz w:val="24"/>
      <w:szCs w:val="24"/>
      <w:lang w:val="uk-UA" w:eastAsia="x-none"/>
    </w:rPr>
  </w:style>
  <w:style w:type="paragraph" w:customStyle="1" w:styleId="a7">
    <w:name w:val="Нормальний текст"/>
    <w:basedOn w:val="a"/>
    <w:uiPriority w:val="99"/>
    <w:rsid w:val="00635582"/>
    <w:pPr>
      <w:spacing w:before="120"/>
      <w:ind w:firstLine="567"/>
    </w:pPr>
    <w:rPr>
      <w:rFonts w:ascii="Antiqua" w:hAnsi="Antiqua"/>
      <w:sz w:val="26"/>
      <w:szCs w:val="26"/>
    </w:rPr>
  </w:style>
  <w:style w:type="paragraph" w:styleId="a8">
    <w:name w:val="header"/>
    <w:basedOn w:val="a"/>
    <w:link w:val="a9"/>
    <w:uiPriority w:val="99"/>
    <w:rsid w:val="0063558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locked/>
    <w:rsid w:val="006D11F3"/>
    <w:rPr>
      <w:rFonts w:cs="Times New Roman"/>
      <w:sz w:val="24"/>
      <w:szCs w:val="24"/>
      <w:lang w:val="uk-UA" w:eastAsia="x-none"/>
    </w:rPr>
  </w:style>
  <w:style w:type="character" w:styleId="aa">
    <w:name w:val="page number"/>
    <w:uiPriority w:val="99"/>
    <w:rsid w:val="00635582"/>
    <w:rPr>
      <w:rFonts w:cs="Times New Roman"/>
    </w:rPr>
  </w:style>
  <w:style w:type="character" w:customStyle="1" w:styleId="rvts23">
    <w:name w:val="rvts23"/>
    <w:uiPriority w:val="99"/>
    <w:rsid w:val="00635582"/>
  </w:style>
  <w:style w:type="character" w:customStyle="1" w:styleId="rvts44">
    <w:name w:val="rvts44"/>
    <w:uiPriority w:val="99"/>
    <w:rsid w:val="00635582"/>
  </w:style>
  <w:style w:type="character" w:customStyle="1" w:styleId="rvts0">
    <w:name w:val="rvts0"/>
    <w:uiPriority w:val="99"/>
    <w:rsid w:val="00635582"/>
  </w:style>
  <w:style w:type="paragraph" w:styleId="ab">
    <w:name w:val="Title"/>
    <w:basedOn w:val="a"/>
    <w:link w:val="ac"/>
    <w:uiPriority w:val="99"/>
    <w:qFormat/>
    <w:rsid w:val="0025203A"/>
    <w:pPr>
      <w:jc w:val="center"/>
    </w:pPr>
    <w:rPr>
      <w:b/>
      <w:bCs/>
      <w:i/>
      <w:iCs/>
      <w:sz w:val="28"/>
    </w:rPr>
  </w:style>
  <w:style w:type="character" w:customStyle="1" w:styleId="ac">
    <w:name w:val="Назва Знак"/>
    <w:link w:val="ab"/>
    <w:uiPriority w:val="99"/>
    <w:locked/>
    <w:rsid w:val="006D11F3"/>
    <w:rPr>
      <w:rFonts w:ascii="Cambria" w:hAnsi="Cambria" w:cs="Times New Roman"/>
      <w:b/>
      <w:bCs/>
      <w:kern w:val="28"/>
      <w:sz w:val="32"/>
      <w:szCs w:val="32"/>
      <w:lang w:val="uk-UA" w:eastAsia="x-none"/>
    </w:rPr>
  </w:style>
  <w:style w:type="paragraph" w:styleId="ad">
    <w:name w:val="Plain Text"/>
    <w:basedOn w:val="a"/>
    <w:link w:val="ae"/>
    <w:uiPriority w:val="99"/>
    <w:rsid w:val="00EF6D3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6D11F3"/>
    <w:rPr>
      <w:rFonts w:ascii="Courier New" w:hAnsi="Courier New" w:cs="Courier New"/>
      <w:sz w:val="20"/>
      <w:szCs w:val="20"/>
      <w:lang w:val="uk-UA" w:eastAsia="x-none"/>
    </w:rPr>
  </w:style>
  <w:style w:type="character" w:styleId="af">
    <w:name w:val="Strong"/>
    <w:uiPriority w:val="99"/>
    <w:qFormat/>
    <w:rsid w:val="000B7CFC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FF434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21030B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rvps2">
    <w:name w:val="rvps2"/>
    <w:basedOn w:val="a"/>
    <w:rsid w:val="00DB1632"/>
    <w:pPr>
      <w:spacing w:before="100" w:beforeAutospacing="1" w:after="100" w:afterAutospacing="1"/>
    </w:pPr>
    <w:rPr>
      <w:lang w:eastAsia="uk-UA"/>
    </w:rPr>
  </w:style>
  <w:style w:type="character" w:styleId="af3">
    <w:name w:val="Hyperlink"/>
    <w:basedOn w:val="a0"/>
    <w:uiPriority w:val="99"/>
    <w:semiHidden/>
    <w:unhideWhenUsed/>
    <w:rsid w:val="005E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77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0055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77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005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B2C84-1631-439D-AB5F-258D4660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45DAB-96BF-4D1B-8940-9892A80E1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E8C48-BD9D-4984-B353-54249DDD5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2020-09-07T14:16:00Z</dcterms:created>
  <dcterms:modified xsi:type="dcterms:W3CDTF">2020-09-07T14:16:00Z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