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F6986" w14:textId="77777777" w:rsidR="002A1113" w:rsidRPr="002A1113" w:rsidRDefault="002A1113" w:rsidP="00D81BB0">
      <w:pPr>
        <w:pStyle w:val="ShapkaDocumentu"/>
        <w:spacing w:after="0"/>
        <w:rPr>
          <w:rFonts w:ascii="Times New Roman" w:hAnsi="Times New Roman"/>
          <w:sz w:val="28"/>
          <w:szCs w:val="28"/>
        </w:rPr>
      </w:pPr>
      <w:bookmarkStart w:id="0" w:name="_GoBack"/>
      <w:bookmarkEnd w:id="0"/>
      <w:r w:rsidRPr="002A1113">
        <w:rPr>
          <w:rFonts w:ascii="Times New Roman" w:hAnsi="Times New Roman"/>
          <w:sz w:val="28"/>
          <w:szCs w:val="28"/>
        </w:rPr>
        <w:t>Додаток 2</w:t>
      </w:r>
      <w:r>
        <w:rPr>
          <w:rFonts w:ascii="Times New Roman" w:hAnsi="Times New Roman"/>
          <w:sz w:val="28"/>
          <w:szCs w:val="28"/>
        </w:rPr>
        <w:br/>
      </w:r>
      <w:r w:rsidRPr="002A1113">
        <w:rPr>
          <w:rFonts w:ascii="Times New Roman" w:hAnsi="Times New Roman"/>
          <w:sz w:val="28"/>
          <w:szCs w:val="28"/>
        </w:rPr>
        <w:t xml:space="preserve">до Закону України </w:t>
      </w:r>
      <w:r>
        <w:rPr>
          <w:rFonts w:ascii="Times New Roman" w:hAnsi="Times New Roman"/>
          <w:sz w:val="28"/>
          <w:szCs w:val="28"/>
        </w:rPr>
        <w:t>“</w:t>
      </w:r>
      <w:r w:rsidRPr="002A1113">
        <w:rPr>
          <w:rFonts w:ascii="Times New Roman" w:hAnsi="Times New Roman"/>
          <w:sz w:val="28"/>
          <w:szCs w:val="28"/>
        </w:rPr>
        <w:t>Про захист</w:t>
      </w:r>
      <w:r>
        <w:rPr>
          <w:rFonts w:ascii="Times New Roman" w:hAnsi="Times New Roman"/>
          <w:sz w:val="28"/>
          <w:szCs w:val="28"/>
        </w:rPr>
        <w:br/>
      </w:r>
      <w:r w:rsidRPr="002A1113">
        <w:rPr>
          <w:rFonts w:ascii="Times New Roman" w:hAnsi="Times New Roman"/>
          <w:sz w:val="28"/>
          <w:szCs w:val="28"/>
        </w:rPr>
        <w:t>від субсидованого імпорту</w:t>
      </w:r>
      <w:r>
        <w:rPr>
          <w:rFonts w:ascii="Times New Roman" w:hAnsi="Times New Roman"/>
          <w:sz w:val="28"/>
          <w:szCs w:val="28"/>
        </w:rPr>
        <w:t>”</w:t>
      </w:r>
    </w:p>
    <w:p w14:paraId="7D4C5BA2" w14:textId="77777777" w:rsidR="00A1617A" w:rsidRDefault="00A1617A" w:rsidP="00D81BB0">
      <w:pPr>
        <w:pStyle w:val="ac"/>
        <w:spacing w:before="0" w:after="0"/>
        <w:rPr>
          <w:rFonts w:ascii="Times New Roman" w:hAnsi="Times New Roman"/>
          <w:b w:val="0"/>
          <w:sz w:val="28"/>
          <w:szCs w:val="28"/>
        </w:rPr>
      </w:pPr>
    </w:p>
    <w:p w14:paraId="163E2342" w14:textId="5F528F32" w:rsidR="002A1113" w:rsidRPr="002A1113" w:rsidRDefault="002A1113" w:rsidP="00D81BB0">
      <w:pPr>
        <w:pStyle w:val="ac"/>
        <w:spacing w:before="0" w:after="0"/>
        <w:rPr>
          <w:rFonts w:ascii="Times New Roman" w:hAnsi="Times New Roman"/>
          <w:b w:val="0"/>
          <w:sz w:val="28"/>
          <w:szCs w:val="28"/>
        </w:rPr>
      </w:pPr>
      <w:r w:rsidRPr="002A1113">
        <w:rPr>
          <w:rFonts w:ascii="Times New Roman" w:hAnsi="Times New Roman"/>
          <w:b w:val="0"/>
          <w:sz w:val="28"/>
          <w:szCs w:val="28"/>
        </w:rPr>
        <w:t>ІНСТРУКЦІЯ ЩОДО СПОЖИВАННЯ СИРОВИНИ</w:t>
      </w:r>
      <w:r>
        <w:rPr>
          <w:rFonts w:ascii="Times New Roman" w:hAnsi="Times New Roman"/>
          <w:b w:val="0"/>
          <w:sz w:val="28"/>
          <w:szCs w:val="28"/>
        </w:rPr>
        <w:br/>
      </w:r>
      <w:r w:rsidRPr="002A1113">
        <w:rPr>
          <w:rFonts w:ascii="Times New Roman" w:hAnsi="Times New Roman"/>
          <w:b w:val="0"/>
          <w:sz w:val="28"/>
          <w:szCs w:val="28"/>
        </w:rPr>
        <w:t>У ПРОЦЕСІ ВИРОБНИЦТВА</w:t>
      </w:r>
      <w:r w:rsidRPr="002A1113">
        <w:rPr>
          <w:rFonts w:ascii="Times New Roman" w:hAnsi="Times New Roman"/>
          <w:b w:val="0"/>
          <w:sz w:val="28"/>
          <w:szCs w:val="28"/>
          <w:vertAlign w:val="superscript"/>
        </w:rPr>
        <w:t>5</w:t>
      </w:r>
    </w:p>
    <w:p w14:paraId="68DB6740" w14:textId="77777777" w:rsidR="00AF28D2" w:rsidRDefault="00AF28D2" w:rsidP="00D81BB0">
      <w:pPr>
        <w:pStyle w:val="a4"/>
        <w:spacing w:before="0"/>
        <w:ind w:firstLine="0"/>
        <w:jc w:val="center"/>
        <w:rPr>
          <w:rFonts w:ascii="Times New Roman" w:hAnsi="Times New Roman"/>
          <w:sz w:val="28"/>
          <w:szCs w:val="28"/>
        </w:rPr>
      </w:pPr>
      <w:r>
        <w:rPr>
          <w:rFonts w:ascii="Times New Roman" w:hAnsi="Times New Roman"/>
          <w:sz w:val="28"/>
          <w:szCs w:val="28"/>
        </w:rPr>
        <w:t>I</w:t>
      </w:r>
    </w:p>
    <w:p w14:paraId="4414FF01" w14:textId="77777777" w:rsidR="002A1113" w:rsidRDefault="002A1113" w:rsidP="00D81BB0">
      <w:pPr>
        <w:pStyle w:val="a4"/>
        <w:spacing w:before="0"/>
        <w:jc w:val="both"/>
        <w:rPr>
          <w:rFonts w:ascii="Times New Roman" w:hAnsi="Times New Roman"/>
          <w:sz w:val="28"/>
          <w:szCs w:val="28"/>
        </w:rPr>
      </w:pPr>
      <w:r w:rsidRPr="002A1113">
        <w:rPr>
          <w:rFonts w:ascii="Times New Roman" w:hAnsi="Times New Roman"/>
          <w:sz w:val="28"/>
          <w:szCs w:val="28"/>
        </w:rPr>
        <w:t>1. Програми знижок розміру непрямих податків надають виключення, зменшення сум або відстрочку сплати кумулятивних непрямих податків попереднього етапу оподаткування сировини, що використовується для виробництва товару на експорт (включаючи звичайні втрати). Також програми компенсації податкових платежів можуть включати зменшення суми або компенсацію імпортних зборів за сировину, спожиту у виробництві товару на експорт (включаючи звичайні втрати).</w:t>
      </w:r>
    </w:p>
    <w:p w14:paraId="7487B3C2" w14:textId="77777777" w:rsidR="002A1113" w:rsidRDefault="002A1113" w:rsidP="00D81BB0">
      <w:pPr>
        <w:pStyle w:val="a4"/>
        <w:spacing w:before="0"/>
        <w:jc w:val="both"/>
        <w:rPr>
          <w:rFonts w:ascii="Times New Roman" w:hAnsi="Times New Roman"/>
          <w:sz w:val="28"/>
          <w:szCs w:val="28"/>
        </w:rPr>
      </w:pPr>
      <w:r w:rsidRPr="002A1113">
        <w:rPr>
          <w:rFonts w:ascii="Times New Roman" w:hAnsi="Times New Roman"/>
          <w:sz w:val="28"/>
          <w:szCs w:val="28"/>
        </w:rPr>
        <w:t xml:space="preserve">2. Ілюстративний перелік експортних субсидій, наведений в додатку 1, містить у пунктах </w:t>
      </w:r>
      <w:r>
        <w:rPr>
          <w:rFonts w:ascii="Times New Roman" w:hAnsi="Times New Roman"/>
          <w:sz w:val="28"/>
          <w:szCs w:val="28"/>
        </w:rPr>
        <w:t>“</w:t>
      </w:r>
      <w:r w:rsidRPr="002A1113">
        <w:rPr>
          <w:rFonts w:ascii="Times New Roman" w:hAnsi="Times New Roman"/>
          <w:sz w:val="28"/>
          <w:szCs w:val="28"/>
        </w:rPr>
        <w:t>ж</w:t>
      </w:r>
      <w:r>
        <w:rPr>
          <w:rFonts w:ascii="Times New Roman" w:hAnsi="Times New Roman"/>
          <w:sz w:val="28"/>
          <w:szCs w:val="28"/>
        </w:rPr>
        <w:t>”</w:t>
      </w:r>
      <w:r w:rsidRPr="002A1113">
        <w:rPr>
          <w:rFonts w:ascii="Times New Roman" w:hAnsi="Times New Roman"/>
          <w:sz w:val="28"/>
          <w:szCs w:val="28"/>
        </w:rPr>
        <w:t xml:space="preserve"> і </w:t>
      </w:r>
      <w:r>
        <w:rPr>
          <w:rFonts w:ascii="Times New Roman" w:hAnsi="Times New Roman"/>
          <w:sz w:val="28"/>
          <w:szCs w:val="28"/>
        </w:rPr>
        <w:t>“</w:t>
      </w:r>
      <w:r w:rsidRPr="002A1113">
        <w:rPr>
          <w:rFonts w:ascii="Times New Roman" w:hAnsi="Times New Roman"/>
          <w:sz w:val="28"/>
          <w:szCs w:val="28"/>
        </w:rPr>
        <w:t>з</w:t>
      </w:r>
      <w:r>
        <w:rPr>
          <w:rFonts w:ascii="Times New Roman" w:hAnsi="Times New Roman"/>
          <w:sz w:val="28"/>
          <w:szCs w:val="28"/>
        </w:rPr>
        <w:t>”</w:t>
      </w:r>
      <w:r w:rsidRPr="002A1113">
        <w:rPr>
          <w:rFonts w:ascii="Times New Roman" w:hAnsi="Times New Roman"/>
          <w:sz w:val="28"/>
          <w:szCs w:val="28"/>
        </w:rPr>
        <w:t xml:space="preserve"> посилання на термін </w:t>
      </w:r>
      <w:r>
        <w:rPr>
          <w:rFonts w:ascii="Times New Roman" w:hAnsi="Times New Roman"/>
          <w:sz w:val="28"/>
          <w:szCs w:val="28"/>
        </w:rPr>
        <w:t>“</w:t>
      </w:r>
      <w:r w:rsidRPr="002A1113">
        <w:rPr>
          <w:rFonts w:ascii="Times New Roman" w:hAnsi="Times New Roman"/>
          <w:sz w:val="28"/>
          <w:szCs w:val="28"/>
        </w:rPr>
        <w:t>сировина, що споживається у виробництві експортної продукції</w:t>
      </w:r>
      <w:r>
        <w:rPr>
          <w:rFonts w:ascii="Times New Roman" w:hAnsi="Times New Roman"/>
          <w:sz w:val="28"/>
          <w:szCs w:val="28"/>
        </w:rPr>
        <w:t>”</w:t>
      </w:r>
      <w:r w:rsidRPr="002A1113">
        <w:rPr>
          <w:rFonts w:ascii="Times New Roman" w:hAnsi="Times New Roman"/>
          <w:sz w:val="28"/>
          <w:szCs w:val="28"/>
        </w:rPr>
        <w:t xml:space="preserve">. Відповідно до пункту </w:t>
      </w:r>
      <w:r>
        <w:rPr>
          <w:rFonts w:ascii="Times New Roman" w:hAnsi="Times New Roman"/>
          <w:sz w:val="28"/>
          <w:szCs w:val="28"/>
        </w:rPr>
        <w:t>“</w:t>
      </w:r>
      <w:r w:rsidRPr="002A1113">
        <w:rPr>
          <w:rFonts w:ascii="Times New Roman" w:hAnsi="Times New Roman"/>
          <w:sz w:val="28"/>
          <w:szCs w:val="28"/>
        </w:rPr>
        <w:t>ж</w:t>
      </w:r>
      <w:r>
        <w:rPr>
          <w:rFonts w:ascii="Times New Roman" w:hAnsi="Times New Roman"/>
          <w:sz w:val="28"/>
          <w:szCs w:val="28"/>
        </w:rPr>
        <w:t>”</w:t>
      </w:r>
      <w:r w:rsidRPr="002A1113">
        <w:rPr>
          <w:rFonts w:ascii="Times New Roman" w:hAnsi="Times New Roman"/>
          <w:sz w:val="28"/>
          <w:szCs w:val="28"/>
        </w:rPr>
        <w:t xml:space="preserve"> програми знижок суми непрямих податків можуть бути визнані експортною субсидією, якщо вони призводять до звільнення, винятків чи відстрочення сплати кумулятивних непрямих податків більшого розміру, ніж розмір таких податків і обов</w:t>
      </w:r>
      <w:r>
        <w:rPr>
          <w:rFonts w:ascii="Times New Roman" w:hAnsi="Times New Roman"/>
          <w:sz w:val="28"/>
          <w:szCs w:val="28"/>
        </w:rPr>
        <w:t>’</w:t>
      </w:r>
      <w:r w:rsidRPr="002A1113">
        <w:rPr>
          <w:rFonts w:ascii="Times New Roman" w:hAnsi="Times New Roman"/>
          <w:sz w:val="28"/>
          <w:szCs w:val="28"/>
        </w:rPr>
        <w:t xml:space="preserve">язкових платежів, що справляються з сировини, спожитої у виробництві експортного товару. Згідно з пунктом </w:t>
      </w:r>
      <w:r>
        <w:rPr>
          <w:rFonts w:ascii="Times New Roman" w:hAnsi="Times New Roman"/>
          <w:sz w:val="28"/>
          <w:szCs w:val="28"/>
        </w:rPr>
        <w:t>“</w:t>
      </w:r>
      <w:r w:rsidRPr="002A1113">
        <w:rPr>
          <w:rFonts w:ascii="Times New Roman" w:hAnsi="Times New Roman"/>
          <w:sz w:val="28"/>
          <w:szCs w:val="28"/>
        </w:rPr>
        <w:t>з</w:t>
      </w:r>
      <w:r>
        <w:rPr>
          <w:rFonts w:ascii="Times New Roman" w:hAnsi="Times New Roman"/>
          <w:sz w:val="28"/>
          <w:szCs w:val="28"/>
        </w:rPr>
        <w:t>”</w:t>
      </w:r>
      <w:r w:rsidRPr="002A1113">
        <w:rPr>
          <w:rFonts w:ascii="Times New Roman" w:hAnsi="Times New Roman"/>
          <w:sz w:val="28"/>
          <w:szCs w:val="28"/>
        </w:rPr>
        <w:t xml:space="preserve">, програми компенсації таких платежів можуть вважатися експортною субсидією, якщо вони призводять до відшкодування чи компенсації імпортних зборів у більшому розмірі ніж ті, що справляються з імпортованої сировини, що використовується у виробництві товару на експорт. В обох цих пунктах міститься застереження, що у висновках щодо споживання сировини для виробництва товару на імпорт слід ураховувати звичайні втрати. У пункті </w:t>
      </w:r>
      <w:r>
        <w:rPr>
          <w:rFonts w:ascii="Times New Roman" w:hAnsi="Times New Roman"/>
          <w:sz w:val="28"/>
          <w:szCs w:val="28"/>
        </w:rPr>
        <w:t>“</w:t>
      </w:r>
      <w:r w:rsidRPr="002A1113">
        <w:rPr>
          <w:rFonts w:ascii="Times New Roman" w:hAnsi="Times New Roman"/>
          <w:sz w:val="28"/>
          <w:szCs w:val="28"/>
        </w:rPr>
        <w:t>з</w:t>
      </w:r>
      <w:r>
        <w:rPr>
          <w:rFonts w:ascii="Times New Roman" w:hAnsi="Times New Roman"/>
          <w:sz w:val="28"/>
          <w:szCs w:val="28"/>
        </w:rPr>
        <w:t>”</w:t>
      </w:r>
      <w:r w:rsidRPr="002A1113">
        <w:rPr>
          <w:rFonts w:ascii="Times New Roman" w:hAnsi="Times New Roman"/>
          <w:sz w:val="28"/>
          <w:szCs w:val="28"/>
        </w:rPr>
        <w:t xml:space="preserve"> йдеться також про заміщення імпортованої сировини у відповідних випадках.</w:t>
      </w:r>
    </w:p>
    <w:p w14:paraId="150816FC" w14:textId="77777777" w:rsidR="00AF28D2" w:rsidRDefault="00AF28D2" w:rsidP="00D81BB0">
      <w:pPr>
        <w:pStyle w:val="a4"/>
        <w:spacing w:before="0"/>
        <w:ind w:firstLine="0"/>
        <w:jc w:val="center"/>
        <w:rPr>
          <w:rFonts w:ascii="Times New Roman" w:hAnsi="Times New Roman"/>
          <w:sz w:val="28"/>
          <w:szCs w:val="28"/>
        </w:rPr>
      </w:pPr>
      <w:r>
        <w:rPr>
          <w:rFonts w:ascii="Times New Roman" w:hAnsi="Times New Roman"/>
          <w:sz w:val="28"/>
          <w:szCs w:val="28"/>
        </w:rPr>
        <w:t>II</w:t>
      </w:r>
    </w:p>
    <w:p w14:paraId="72667E9C" w14:textId="77777777" w:rsidR="002A1113" w:rsidRPr="002A1113" w:rsidRDefault="002A1113" w:rsidP="00D81BB0">
      <w:pPr>
        <w:pStyle w:val="a4"/>
        <w:spacing w:before="0"/>
        <w:jc w:val="both"/>
        <w:rPr>
          <w:rFonts w:ascii="Times New Roman" w:hAnsi="Times New Roman"/>
          <w:sz w:val="28"/>
          <w:szCs w:val="28"/>
        </w:rPr>
      </w:pPr>
      <w:r w:rsidRPr="002A1113">
        <w:rPr>
          <w:rFonts w:ascii="Times New Roman" w:hAnsi="Times New Roman"/>
          <w:sz w:val="28"/>
          <w:szCs w:val="28"/>
        </w:rPr>
        <w:t xml:space="preserve">У ході перевірки можливого споживання сировини у процесі виробництва товару на експорт як частини розслідування згідно з цим Законом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Pr="002A1113">
        <w:rPr>
          <w:rFonts w:ascii="Times New Roman" w:hAnsi="Times New Roman"/>
          <w:sz w:val="28"/>
          <w:szCs w:val="28"/>
        </w:rPr>
        <w:t>і Комісія здійснюють ці дії на такій основі.</w:t>
      </w:r>
    </w:p>
    <w:p w14:paraId="6114284C" w14:textId="77777777" w:rsidR="002A1113" w:rsidRDefault="00AF28D2" w:rsidP="00D81BB0">
      <w:pPr>
        <w:pStyle w:val="a4"/>
        <w:spacing w:before="0"/>
        <w:jc w:val="both"/>
        <w:rPr>
          <w:rFonts w:ascii="Times New Roman" w:hAnsi="Times New Roman"/>
          <w:sz w:val="28"/>
          <w:szCs w:val="28"/>
        </w:rPr>
      </w:pPr>
      <w:r>
        <w:rPr>
          <w:rFonts w:ascii="Times New Roman" w:hAnsi="Times New Roman"/>
          <w:sz w:val="28"/>
          <w:szCs w:val="28"/>
        </w:rPr>
        <w:t>1</w:t>
      </w:r>
      <w:r w:rsidR="002A1113" w:rsidRPr="002A1113">
        <w:rPr>
          <w:rFonts w:ascii="Times New Roman" w:hAnsi="Times New Roman"/>
          <w:sz w:val="28"/>
          <w:szCs w:val="28"/>
        </w:rPr>
        <w:t>. У разі припущення, що програма знижки розміру непрямих податків або програма компенсації обов</w:t>
      </w:r>
      <w:r w:rsidR="002A1113">
        <w:rPr>
          <w:rFonts w:ascii="Times New Roman" w:hAnsi="Times New Roman"/>
          <w:sz w:val="28"/>
          <w:szCs w:val="28"/>
        </w:rPr>
        <w:t>’</w:t>
      </w:r>
      <w:r w:rsidR="002A1113" w:rsidRPr="002A1113">
        <w:rPr>
          <w:rFonts w:ascii="Times New Roman" w:hAnsi="Times New Roman"/>
          <w:sz w:val="28"/>
          <w:szCs w:val="28"/>
        </w:rPr>
        <w:t xml:space="preserve">язкових платежів є субсидуванням через занадто великі знижки або надмірні компенсації непрямих податків чи імпортних зборів, що справляються з сировини, спожитої у виробництві товару на експорт,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 xml:space="preserve">і Комісія повинні спершу визначити чи існує і чи застосовується в країні походження і/або експорту система чи процедура для підтвердження, яка саме і в яких обсягах вживається сировина у виробництві товару на експорт. Якщо встановлено застосування такої системи чи процедури, далі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 xml:space="preserve">і Комісія мають ознайомитися із цією системою і перевірити її доцільність і ефективність з точки зору виконуваної нею функції та виходячи з загальноприйнятої торговельної практики цієї країни походження і/або експорту. </w:t>
      </w:r>
      <w:r w:rsidR="001C4C5D">
        <w:rPr>
          <w:rFonts w:ascii="Times New Roman" w:hAnsi="Times New Roman"/>
          <w:sz w:val="28"/>
          <w:szCs w:val="28"/>
        </w:rPr>
        <w:t xml:space="preserve">Уповноважений </w:t>
      </w:r>
      <w:r w:rsidR="001C4C5D">
        <w:rPr>
          <w:rFonts w:ascii="Times New Roman" w:hAnsi="Times New Roman"/>
          <w:sz w:val="28"/>
          <w:szCs w:val="28"/>
        </w:rPr>
        <w:lastRenderedPageBreak/>
        <w:t>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 xml:space="preserve">і Комісія можуть вважати за доцільне здійснити згідно </w:t>
      </w:r>
      <w:r w:rsidR="002A1113" w:rsidRPr="00FB5168">
        <w:rPr>
          <w:rFonts w:ascii="Times New Roman" w:hAnsi="Times New Roman"/>
          <w:sz w:val="28"/>
          <w:szCs w:val="28"/>
        </w:rPr>
        <w:t xml:space="preserve">зі статтею </w:t>
      </w:r>
      <w:r w:rsidR="00A75047" w:rsidRPr="00440E38">
        <w:rPr>
          <w:rFonts w:ascii="Times New Roman" w:hAnsi="Times New Roman"/>
          <w:sz w:val="28"/>
          <w:szCs w:val="28"/>
          <w:lang w:val="ru-RU"/>
        </w:rPr>
        <w:t>29</w:t>
      </w:r>
      <w:r w:rsidR="00E02911" w:rsidRPr="00FB5168">
        <w:rPr>
          <w:rFonts w:ascii="Times New Roman" w:hAnsi="Times New Roman"/>
          <w:sz w:val="28"/>
          <w:szCs w:val="28"/>
        </w:rPr>
        <w:t xml:space="preserve"> </w:t>
      </w:r>
      <w:r w:rsidR="002A1113" w:rsidRPr="00FB5168">
        <w:rPr>
          <w:rFonts w:ascii="Times New Roman" w:hAnsi="Times New Roman"/>
          <w:sz w:val="28"/>
          <w:szCs w:val="28"/>
        </w:rPr>
        <w:t>цього</w:t>
      </w:r>
      <w:r w:rsidR="002A1113" w:rsidRPr="002A1113">
        <w:rPr>
          <w:rFonts w:ascii="Times New Roman" w:hAnsi="Times New Roman"/>
          <w:sz w:val="28"/>
          <w:szCs w:val="28"/>
        </w:rPr>
        <w:t xml:space="preserve"> Закону певне практичне тестування, щоб перевірити правильність інформації або переконатися в ефективному застосуванні даної системи чи процедури.</w:t>
      </w:r>
    </w:p>
    <w:p w14:paraId="5D5ACEBD" w14:textId="77777777" w:rsidR="002A1113" w:rsidRDefault="00AF28D2" w:rsidP="00D81BB0">
      <w:pPr>
        <w:pStyle w:val="a4"/>
        <w:spacing w:before="0"/>
        <w:jc w:val="both"/>
        <w:rPr>
          <w:rFonts w:ascii="Times New Roman" w:hAnsi="Times New Roman"/>
          <w:sz w:val="28"/>
          <w:szCs w:val="28"/>
        </w:rPr>
      </w:pPr>
      <w:r>
        <w:rPr>
          <w:rFonts w:ascii="Times New Roman" w:hAnsi="Times New Roman"/>
          <w:sz w:val="28"/>
          <w:szCs w:val="28"/>
        </w:rPr>
        <w:t>2</w:t>
      </w:r>
      <w:r w:rsidR="002A1113" w:rsidRPr="002A1113">
        <w:rPr>
          <w:rFonts w:ascii="Times New Roman" w:hAnsi="Times New Roman"/>
          <w:sz w:val="28"/>
          <w:szCs w:val="28"/>
        </w:rPr>
        <w:t xml:space="preserve">. За відсутності такої системи чи процедури, якщо вони не є виправданими, або якщо вони створені і є доцільними, але не застосовуються або застосовуються неефективно, країною походження і/або експорту має бути проведено подальшу оцінку на основі фактично використовуваної сировини, щоб визначити наявність переплат. Якщо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і Комісія вважають за потрібне, можливе проведення додаткової подальшої оцінки ситуації відповідно до пункту 4.</w:t>
      </w:r>
    </w:p>
    <w:p w14:paraId="7FBA0E69" w14:textId="77777777" w:rsidR="002A1113" w:rsidRDefault="00AF28D2" w:rsidP="00D81BB0">
      <w:pPr>
        <w:pStyle w:val="a4"/>
        <w:spacing w:before="0"/>
        <w:jc w:val="both"/>
        <w:rPr>
          <w:rFonts w:ascii="Times New Roman" w:hAnsi="Times New Roman"/>
          <w:sz w:val="28"/>
          <w:szCs w:val="28"/>
        </w:rPr>
      </w:pPr>
      <w:r>
        <w:rPr>
          <w:rFonts w:ascii="Times New Roman" w:hAnsi="Times New Roman"/>
          <w:sz w:val="28"/>
          <w:szCs w:val="28"/>
        </w:rPr>
        <w:t>3</w:t>
      </w:r>
      <w:r w:rsidR="002A1113" w:rsidRPr="002A1113">
        <w:rPr>
          <w:rFonts w:ascii="Times New Roman" w:hAnsi="Times New Roman"/>
          <w:sz w:val="28"/>
          <w:szCs w:val="28"/>
        </w:rPr>
        <w:t xml:space="preserve">.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і Комісія вважають, що сировина є фактично включеною, якщо вона використовується у виробничому процесі і фізично присутня в експортованому товарі. Сировина не обов</w:t>
      </w:r>
      <w:r w:rsidR="002A1113">
        <w:rPr>
          <w:rFonts w:ascii="Times New Roman" w:hAnsi="Times New Roman"/>
          <w:sz w:val="28"/>
          <w:szCs w:val="28"/>
        </w:rPr>
        <w:t>’</w:t>
      </w:r>
      <w:r w:rsidR="002A1113" w:rsidRPr="002A1113">
        <w:rPr>
          <w:rFonts w:ascii="Times New Roman" w:hAnsi="Times New Roman"/>
          <w:sz w:val="28"/>
          <w:szCs w:val="28"/>
        </w:rPr>
        <w:t>язково має бути присутня в кінцевому товарі в тій самій формі, що на початку виробничого процесу.</w:t>
      </w:r>
    </w:p>
    <w:p w14:paraId="1FC7C59C" w14:textId="77777777" w:rsidR="002A1113" w:rsidRDefault="00AF28D2" w:rsidP="00D81BB0">
      <w:pPr>
        <w:pStyle w:val="a4"/>
        <w:spacing w:before="0"/>
        <w:jc w:val="both"/>
        <w:rPr>
          <w:rFonts w:ascii="Times New Roman" w:hAnsi="Times New Roman"/>
          <w:sz w:val="28"/>
          <w:szCs w:val="28"/>
        </w:rPr>
      </w:pPr>
      <w:r>
        <w:rPr>
          <w:rFonts w:ascii="Times New Roman" w:hAnsi="Times New Roman"/>
          <w:sz w:val="28"/>
          <w:szCs w:val="28"/>
        </w:rPr>
        <w:t>4</w:t>
      </w:r>
      <w:r w:rsidR="002A1113" w:rsidRPr="002A1113">
        <w:rPr>
          <w:rFonts w:ascii="Times New Roman" w:hAnsi="Times New Roman"/>
          <w:sz w:val="28"/>
          <w:szCs w:val="28"/>
        </w:rPr>
        <w:t xml:space="preserve">. При визначенні обсягу відповідної сировини, спожитої у виробництві експортного товару, ураховуються звичайні компенсаційні витрати, причому такі витрати слід вважати спожитими під час виробництва експортного товару. Термін </w:t>
      </w:r>
      <w:r w:rsidR="002A1113">
        <w:rPr>
          <w:rFonts w:ascii="Times New Roman" w:hAnsi="Times New Roman"/>
          <w:sz w:val="28"/>
          <w:szCs w:val="28"/>
        </w:rPr>
        <w:t>“</w:t>
      </w:r>
      <w:r w:rsidR="002A1113" w:rsidRPr="002A1113">
        <w:rPr>
          <w:rFonts w:ascii="Times New Roman" w:hAnsi="Times New Roman"/>
          <w:sz w:val="28"/>
          <w:szCs w:val="28"/>
        </w:rPr>
        <w:t>витрати</w:t>
      </w:r>
      <w:r w:rsidR="002A1113">
        <w:rPr>
          <w:rFonts w:ascii="Times New Roman" w:hAnsi="Times New Roman"/>
          <w:sz w:val="28"/>
          <w:szCs w:val="28"/>
        </w:rPr>
        <w:t>”</w:t>
      </w:r>
      <w:r w:rsidR="002A1113" w:rsidRPr="002A1113">
        <w:rPr>
          <w:rFonts w:ascii="Times New Roman" w:hAnsi="Times New Roman"/>
          <w:sz w:val="28"/>
          <w:szCs w:val="28"/>
        </w:rPr>
        <w:t xml:space="preserve"> стосується тієї частини відповідної сировини, яка не має незалежної функції у виробничому процесі, не споживається у виробництві експортного товару (з таких причин, як недостатня ефективність) і не відновлюється, не використовується і не реалізується тим самим виробником.</w:t>
      </w:r>
    </w:p>
    <w:p w14:paraId="4DF4C810" w14:textId="77777777" w:rsidR="002A1113" w:rsidRPr="002A1113" w:rsidRDefault="00AF28D2" w:rsidP="00D81BB0">
      <w:pPr>
        <w:pStyle w:val="a4"/>
        <w:spacing w:before="0"/>
        <w:jc w:val="both"/>
        <w:rPr>
          <w:rFonts w:ascii="Times New Roman" w:hAnsi="Times New Roman"/>
          <w:sz w:val="28"/>
          <w:szCs w:val="28"/>
        </w:rPr>
      </w:pPr>
      <w:r>
        <w:rPr>
          <w:rFonts w:ascii="Times New Roman" w:hAnsi="Times New Roman"/>
          <w:sz w:val="28"/>
          <w:szCs w:val="28"/>
        </w:rPr>
        <w:t xml:space="preserve">5. </w:t>
      </w:r>
      <w:r w:rsidR="002A1113" w:rsidRPr="002A1113">
        <w:rPr>
          <w:rFonts w:ascii="Times New Roman" w:hAnsi="Times New Roman"/>
          <w:sz w:val="28"/>
          <w:szCs w:val="28"/>
        </w:rPr>
        <w:t xml:space="preserve">Визначаючи питання, чи є звичайними заявлені компенсаційні витрати,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 xml:space="preserve">і Комісія враховують виробничий процес, середній рівень досвіду у відповідній галузі країни походження та/або експорту та інші технічні чинники, якщо доцільно. При цьому, </w:t>
      </w:r>
      <w:r w:rsidR="001C4C5D">
        <w:rPr>
          <w:rFonts w:ascii="Times New Roman" w:hAnsi="Times New Roman"/>
          <w:sz w:val="28"/>
          <w:szCs w:val="28"/>
        </w:rPr>
        <w:t>Уповноважений орган</w:t>
      </w:r>
      <w:r w:rsidR="001C4C5D" w:rsidRPr="002A1113">
        <w:rPr>
          <w:rFonts w:ascii="Times New Roman" w:hAnsi="Times New Roman"/>
          <w:sz w:val="28"/>
          <w:szCs w:val="28"/>
        </w:rPr>
        <w:t xml:space="preserve"> </w:t>
      </w:r>
      <w:r w:rsidR="002A1113" w:rsidRPr="002A1113">
        <w:rPr>
          <w:rFonts w:ascii="Times New Roman" w:hAnsi="Times New Roman"/>
          <w:sz w:val="28"/>
          <w:szCs w:val="28"/>
        </w:rPr>
        <w:t>і Комісія мають пам</w:t>
      </w:r>
      <w:r w:rsidR="002A1113">
        <w:rPr>
          <w:rFonts w:ascii="Times New Roman" w:hAnsi="Times New Roman"/>
          <w:sz w:val="28"/>
          <w:szCs w:val="28"/>
        </w:rPr>
        <w:t>’</w:t>
      </w:r>
      <w:r w:rsidR="002A1113" w:rsidRPr="002A1113">
        <w:rPr>
          <w:rFonts w:ascii="Times New Roman" w:hAnsi="Times New Roman"/>
          <w:sz w:val="28"/>
          <w:szCs w:val="28"/>
        </w:rPr>
        <w:t>ятати, що важливим є питання щодо того, чи доцільно розрахував уряд країни походження та/або експорту обсяг компенсаційних витрат, якщо ця сума включається в суму знижки чи компенсації податку або</w:t>
      </w:r>
      <w:r w:rsidR="002A1113">
        <w:rPr>
          <w:rFonts w:ascii="Times New Roman" w:hAnsi="Times New Roman"/>
          <w:sz w:val="28"/>
          <w:szCs w:val="28"/>
        </w:rPr>
        <w:t xml:space="preserve"> </w:t>
      </w:r>
      <w:r w:rsidR="002A1113" w:rsidRPr="002A1113">
        <w:rPr>
          <w:rFonts w:ascii="Times New Roman" w:hAnsi="Times New Roman"/>
          <w:sz w:val="28"/>
          <w:szCs w:val="28"/>
        </w:rPr>
        <w:t>мита.</w:t>
      </w:r>
    </w:p>
    <w:p w14:paraId="42ABF836" w14:textId="77777777" w:rsidR="002A1113" w:rsidRPr="002A1113" w:rsidRDefault="002A1113" w:rsidP="00D81BB0">
      <w:pPr>
        <w:pStyle w:val="a4"/>
        <w:spacing w:before="0"/>
        <w:jc w:val="both"/>
        <w:rPr>
          <w:rFonts w:ascii="Times New Roman" w:hAnsi="Times New Roman"/>
          <w:sz w:val="24"/>
          <w:szCs w:val="24"/>
        </w:rPr>
      </w:pPr>
      <w:r w:rsidRPr="002A1113">
        <w:rPr>
          <w:rFonts w:ascii="Times New Roman" w:hAnsi="Times New Roman"/>
          <w:sz w:val="24"/>
          <w:szCs w:val="24"/>
        </w:rPr>
        <w:t>_________________</w:t>
      </w:r>
    </w:p>
    <w:p w14:paraId="5A5E06C2" w14:textId="3EBE1C8A" w:rsidR="003B1D78" w:rsidRDefault="002A1113" w:rsidP="00D81BB0">
      <w:pPr>
        <w:pStyle w:val="a4"/>
        <w:spacing w:before="0"/>
        <w:jc w:val="both"/>
        <w:rPr>
          <w:rFonts w:ascii="Times New Roman" w:hAnsi="Times New Roman"/>
          <w:sz w:val="20"/>
        </w:rPr>
      </w:pPr>
      <w:r w:rsidRPr="002A1113">
        <w:rPr>
          <w:rFonts w:ascii="Times New Roman" w:hAnsi="Times New Roman"/>
          <w:sz w:val="24"/>
          <w:szCs w:val="24"/>
          <w:vertAlign w:val="superscript"/>
        </w:rPr>
        <w:t>5</w:t>
      </w:r>
      <w:r w:rsidRPr="002A1113">
        <w:rPr>
          <w:rFonts w:ascii="Times New Roman" w:hAnsi="Times New Roman"/>
          <w:sz w:val="24"/>
          <w:szCs w:val="24"/>
        </w:rPr>
        <w:t xml:space="preserve"> </w:t>
      </w:r>
      <w:r w:rsidR="00A37EE7" w:rsidRPr="00A37EE7">
        <w:rPr>
          <w:rFonts w:ascii="Times New Roman" w:hAnsi="Times New Roman"/>
          <w:sz w:val="20"/>
        </w:rPr>
        <w:t>Сировина, що використовується у процесі виробництва — це спожиті електроенергія, пальне і мастильні матеріали, що використовуються у виробничому процесі та каталізатори, що споживаються в ході їх використання для виробництва товару на експорт.</w:t>
      </w:r>
    </w:p>
    <w:p w14:paraId="1E59BB51" w14:textId="3EE4DBA9" w:rsidR="006E216B" w:rsidRDefault="006E216B" w:rsidP="00D81BB0">
      <w:pPr>
        <w:pStyle w:val="a4"/>
        <w:spacing w:before="0"/>
        <w:jc w:val="both"/>
        <w:rPr>
          <w:rFonts w:ascii="Times New Roman" w:hAnsi="Times New Roman"/>
          <w:sz w:val="20"/>
        </w:rPr>
      </w:pPr>
    </w:p>
    <w:p w14:paraId="2F58E2C4" w14:textId="4D8E6105" w:rsidR="006E216B" w:rsidRDefault="006E216B" w:rsidP="00D81BB0">
      <w:pPr>
        <w:pStyle w:val="a4"/>
        <w:spacing w:before="0"/>
        <w:jc w:val="both"/>
        <w:rPr>
          <w:rFonts w:ascii="Times New Roman" w:hAnsi="Times New Roman"/>
          <w:b/>
          <w:bCs/>
          <w:sz w:val="28"/>
          <w:szCs w:val="28"/>
        </w:rPr>
      </w:pPr>
      <w:r>
        <w:rPr>
          <w:rFonts w:ascii="Times New Roman" w:hAnsi="Times New Roman"/>
          <w:b/>
          <w:bCs/>
          <w:sz w:val="28"/>
          <w:szCs w:val="28"/>
        </w:rPr>
        <w:t xml:space="preserve">Народні депутати України                                </w:t>
      </w:r>
    </w:p>
    <w:p w14:paraId="6CCBB45D" w14:textId="77777777" w:rsidR="006E216B" w:rsidRDefault="006E216B" w:rsidP="00D81BB0">
      <w:pPr>
        <w:pStyle w:val="a4"/>
        <w:spacing w:before="0"/>
        <w:jc w:val="both"/>
        <w:rPr>
          <w:rFonts w:ascii="Times New Roman" w:hAnsi="Times New Roman"/>
          <w:sz w:val="20"/>
        </w:rPr>
      </w:pPr>
    </w:p>
    <w:sectPr w:rsidR="006E216B" w:rsidSect="00D81BB0">
      <w:headerReference w:type="even" r:id="rId9"/>
      <w:headerReference w:type="default" r:id="rId10"/>
      <w:pgSz w:w="11906" w:h="16838" w:code="9"/>
      <w:pgMar w:top="1134" w:right="851" w:bottom="1134"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D4A5" w14:textId="77777777" w:rsidR="00A07D92" w:rsidRDefault="00A07D92">
      <w:r>
        <w:separator/>
      </w:r>
    </w:p>
  </w:endnote>
  <w:endnote w:type="continuationSeparator" w:id="0">
    <w:p w14:paraId="6DF05781" w14:textId="77777777" w:rsidR="00A07D92" w:rsidRDefault="00A0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6150" w14:textId="77777777" w:rsidR="00A07D92" w:rsidRDefault="00A07D92">
      <w:r>
        <w:separator/>
      </w:r>
    </w:p>
  </w:footnote>
  <w:footnote w:type="continuationSeparator" w:id="0">
    <w:p w14:paraId="4DD4AC93" w14:textId="77777777" w:rsidR="00A07D92" w:rsidRDefault="00A0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B69A"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B6020D7"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6DF8" w14:textId="6E25949C" w:rsidR="00210F96" w:rsidRDefault="00210F96">
    <w:pPr>
      <w:framePr w:wrap="around" w:vAnchor="text" w:hAnchor="margin" w:xAlign="center" w:y="1"/>
    </w:pPr>
    <w:r>
      <w:fldChar w:fldCharType="begin"/>
    </w:r>
    <w:r>
      <w:instrText xml:space="preserve">PAGE  </w:instrText>
    </w:r>
    <w:r>
      <w:fldChar w:fldCharType="separate"/>
    </w:r>
    <w:r w:rsidR="008B5FB0">
      <w:rPr>
        <w:noProof/>
      </w:rPr>
      <w:t>2</w:t>
    </w:r>
    <w:r>
      <w:fldChar w:fldCharType="end"/>
    </w:r>
  </w:p>
  <w:p w14:paraId="19B18782" w14:textId="77777777" w:rsidR="00210F96" w:rsidRDefault="00210F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3D57"/>
    <w:rsid w:val="00026231"/>
    <w:rsid w:val="00045E6C"/>
    <w:rsid w:val="00087FAB"/>
    <w:rsid w:val="000C2F25"/>
    <w:rsid w:val="00127856"/>
    <w:rsid w:val="00187FE7"/>
    <w:rsid w:val="001A5FC5"/>
    <w:rsid w:val="001C4C5D"/>
    <w:rsid w:val="001C568F"/>
    <w:rsid w:val="002041EB"/>
    <w:rsid w:val="00207946"/>
    <w:rsid w:val="00210F96"/>
    <w:rsid w:val="002A1113"/>
    <w:rsid w:val="002C12E5"/>
    <w:rsid w:val="002D4ACC"/>
    <w:rsid w:val="00325BF3"/>
    <w:rsid w:val="00342165"/>
    <w:rsid w:val="003B1D78"/>
    <w:rsid w:val="00440E38"/>
    <w:rsid w:val="00450E61"/>
    <w:rsid w:val="004C7CD1"/>
    <w:rsid w:val="004E790E"/>
    <w:rsid w:val="005A22AF"/>
    <w:rsid w:val="005C625C"/>
    <w:rsid w:val="005D71B9"/>
    <w:rsid w:val="00620160"/>
    <w:rsid w:val="006B4838"/>
    <w:rsid w:val="006E216B"/>
    <w:rsid w:val="00732385"/>
    <w:rsid w:val="00750B92"/>
    <w:rsid w:val="008B5FB0"/>
    <w:rsid w:val="008C677C"/>
    <w:rsid w:val="008F1353"/>
    <w:rsid w:val="00984AA1"/>
    <w:rsid w:val="009D1DD8"/>
    <w:rsid w:val="009D2147"/>
    <w:rsid w:val="00A07D92"/>
    <w:rsid w:val="00A1617A"/>
    <w:rsid w:val="00A37EE7"/>
    <w:rsid w:val="00A75047"/>
    <w:rsid w:val="00AB0B2C"/>
    <w:rsid w:val="00AF28D2"/>
    <w:rsid w:val="00B00455"/>
    <w:rsid w:val="00B05AF0"/>
    <w:rsid w:val="00B35EE0"/>
    <w:rsid w:val="00BE61F9"/>
    <w:rsid w:val="00C54056"/>
    <w:rsid w:val="00C646CE"/>
    <w:rsid w:val="00CD5A40"/>
    <w:rsid w:val="00CF785A"/>
    <w:rsid w:val="00D46187"/>
    <w:rsid w:val="00D81BB0"/>
    <w:rsid w:val="00DC64C3"/>
    <w:rsid w:val="00E02911"/>
    <w:rsid w:val="00E85A21"/>
    <w:rsid w:val="00EF381D"/>
    <w:rsid w:val="00F27DB2"/>
    <w:rsid w:val="00F41F58"/>
    <w:rsid w:val="00FB5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8FB4A"/>
  <w15:chartTrackingRefBased/>
  <w15:docId w15:val="{570B2AEF-C3CA-41AA-A1F1-D3CFC4DF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Balloon Text"/>
    <w:basedOn w:val="a"/>
    <w:link w:val="ae"/>
    <w:uiPriority w:val="99"/>
    <w:semiHidden/>
    <w:unhideWhenUsed/>
    <w:rsid w:val="00CF785A"/>
    <w:rPr>
      <w:rFonts w:ascii="Segoe UI" w:hAnsi="Segoe UI" w:cs="Segoe UI"/>
      <w:sz w:val="18"/>
      <w:szCs w:val="18"/>
    </w:rPr>
  </w:style>
  <w:style w:type="character" w:customStyle="1" w:styleId="ae">
    <w:name w:val="Текст у виносці Знак"/>
    <w:link w:val="ad"/>
    <w:uiPriority w:val="99"/>
    <w:semiHidden/>
    <w:rsid w:val="00CF785A"/>
    <w:rPr>
      <w:rFonts w:ascii="Segoe UI" w:hAnsi="Segoe UI" w:cs="Segoe UI"/>
      <w:sz w:val="18"/>
      <w:szCs w:val="18"/>
      <w:lang w:val="uk-UA" w:eastAsia="ru-RU"/>
    </w:rPr>
  </w:style>
  <w:style w:type="character" w:styleId="af">
    <w:name w:val="annotation reference"/>
    <w:uiPriority w:val="99"/>
    <w:semiHidden/>
    <w:unhideWhenUsed/>
    <w:rsid w:val="00E02911"/>
    <w:rPr>
      <w:sz w:val="16"/>
      <w:szCs w:val="16"/>
    </w:rPr>
  </w:style>
  <w:style w:type="paragraph" w:styleId="af0">
    <w:name w:val="annotation text"/>
    <w:basedOn w:val="a"/>
    <w:link w:val="af1"/>
    <w:uiPriority w:val="99"/>
    <w:semiHidden/>
    <w:unhideWhenUsed/>
    <w:rsid w:val="00E02911"/>
    <w:rPr>
      <w:sz w:val="20"/>
    </w:rPr>
  </w:style>
  <w:style w:type="character" w:customStyle="1" w:styleId="af1">
    <w:name w:val="Текст примітки Знак"/>
    <w:link w:val="af0"/>
    <w:uiPriority w:val="99"/>
    <w:semiHidden/>
    <w:rsid w:val="00E02911"/>
    <w:rPr>
      <w:rFonts w:ascii="Antiqua" w:hAnsi="Antiqua"/>
      <w:lang w:val="uk-UA"/>
    </w:rPr>
  </w:style>
  <w:style w:type="paragraph" w:styleId="af2">
    <w:name w:val="annotation subject"/>
    <w:basedOn w:val="af0"/>
    <w:next w:val="af0"/>
    <w:link w:val="af3"/>
    <w:uiPriority w:val="99"/>
    <w:semiHidden/>
    <w:unhideWhenUsed/>
    <w:rsid w:val="00E02911"/>
    <w:rPr>
      <w:b/>
      <w:bCs/>
    </w:rPr>
  </w:style>
  <w:style w:type="character" w:customStyle="1" w:styleId="af3">
    <w:name w:val="Тема примітки Знак"/>
    <w:link w:val="af2"/>
    <w:uiPriority w:val="99"/>
    <w:semiHidden/>
    <w:rsid w:val="00E02911"/>
    <w:rPr>
      <w:rFonts w:ascii="Antiqua" w:hAnsi="Antiqua"/>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41542">
      <w:bodyDiv w:val="1"/>
      <w:marLeft w:val="0"/>
      <w:marRight w:val="0"/>
      <w:marTop w:val="0"/>
      <w:marBottom w:val="0"/>
      <w:divBdr>
        <w:top w:val="none" w:sz="0" w:space="0" w:color="auto"/>
        <w:left w:val="none" w:sz="0" w:space="0" w:color="auto"/>
        <w:bottom w:val="none" w:sz="0" w:space="0" w:color="auto"/>
        <w:right w:val="none" w:sz="0" w:space="0" w:color="auto"/>
      </w:divBdr>
    </w:div>
    <w:div w:id="12902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C9391-EF2D-44BA-BC30-962A1C279486}">
  <ds:schemaRefs>
    <ds:schemaRef ds:uri="http://schemas.microsoft.com/sharepoint/v3/contenttype/forms"/>
  </ds:schemaRefs>
</ds:datastoreItem>
</file>

<file path=customXml/itemProps2.xml><?xml version="1.0" encoding="utf-8"?>
<ds:datastoreItem xmlns:ds="http://schemas.openxmlformats.org/officeDocument/2006/customXml" ds:itemID="{1095CA86-6352-4ED1-B04D-DC63C9C69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9353E-0606-47A1-BB14-3FC075D03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1809</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2020-09-21T08:04:00Z</dcterms:created>
  <dcterms:modified xsi:type="dcterms:W3CDTF">2020-09-21T08:04:00Z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