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0482" w14:textId="77777777" w:rsidR="00145BC1" w:rsidRPr="003156CA" w:rsidRDefault="00145BC1" w:rsidP="00126F3F">
      <w:pPr>
        <w:spacing w:after="0" w:line="240" w:lineRule="auto"/>
        <w:jc w:val="center"/>
        <w:rPr>
          <w:rFonts w:cs="Times New Roman"/>
          <w:b/>
          <w:bCs/>
          <w:szCs w:val="28"/>
          <w:lang w:eastAsia="ru-RU"/>
        </w:rPr>
      </w:pPr>
      <w:bookmarkStart w:id="0" w:name="_GoBack"/>
      <w:bookmarkEnd w:id="0"/>
      <w:r w:rsidRPr="003156CA">
        <w:rPr>
          <w:rFonts w:cs="Times New Roman"/>
          <w:b/>
          <w:bCs/>
          <w:szCs w:val="28"/>
          <w:lang w:eastAsia="ru-RU"/>
        </w:rPr>
        <w:t>ПОЯСНЮВАЛЬНА ЗАПИСКА</w:t>
      </w:r>
    </w:p>
    <w:p w14:paraId="01B0D402" w14:textId="6967CE60" w:rsidR="00145BC1" w:rsidRPr="003156CA" w:rsidRDefault="00145BC1" w:rsidP="00126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bCs/>
          <w:szCs w:val="28"/>
          <w:lang w:eastAsia="uk-UA"/>
        </w:rPr>
      </w:pPr>
      <w:r w:rsidRPr="003156CA">
        <w:rPr>
          <w:rFonts w:cs="Times New Roman"/>
          <w:b/>
          <w:noProof/>
          <w:szCs w:val="28"/>
          <w:lang w:eastAsia="ru-RU"/>
        </w:rPr>
        <w:t xml:space="preserve">до </w:t>
      </w:r>
      <w:r w:rsidRPr="003156CA">
        <w:rPr>
          <w:rFonts w:cs="Times New Roman"/>
          <w:b/>
          <w:bCs/>
          <w:szCs w:val="28"/>
          <w:lang w:eastAsia="uk-UA"/>
        </w:rPr>
        <w:t>про</w:t>
      </w:r>
      <w:r w:rsidR="00DE027A">
        <w:rPr>
          <w:rFonts w:cs="Times New Roman"/>
          <w:b/>
          <w:bCs/>
          <w:szCs w:val="28"/>
          <w:lang w:eastAsia="uk-UA"/>
        </w:rPr>
        <w:t>е</w:t>
      </w:r>
      <w:r w:rsidRPr="003156CA">
        <w:rPr>
          <w:rFonts w:cs="Times New Roman"/>
          <w:b/>
          <w:bCs/>
          <w:szCs w:val="28"/>
          <w:lang w:eastAsia="uk-UA"/>
        </w:rPr>
        <w:t>кту Закону України</w:t>
      </w:r>
    </w:p>
    <w:p w14:paraId="77C20FF7" w14:textId="77777777" w:rsidR="00145BC1" w:rsidRPr="003156CA" w:rsidRDefault="00757B1F" w:rsidP="00126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bCs/>
          <w:szCs w:val="28"/>
          <w:lang w:val="ru-RU" w:eastAsia="uk-UA"/>
        </w:rPr>
      </w:pPr>
      <w:r w:rsidRPr="003156CA">
        <w:rPr>
          <w:rFonts w:cs="Times New Roman"/>
          <w:b/>
          <w:bCs/>
          <w:szCs w:val="28"/>
          <w:lang w:val="ru-RU"/>
        </w:rPr>
        <w:t>“</w:t>
      </w:r>
      <w:r w:rsidR="00145BC1" w:rsidRPr="003156CA">
        <w:rPr>
          <w:rFonts w:cs="Times New Roman"/>
          <w:b/>
          <w:bCs/>
          <w:szCs w:val="28"/>
        </w:rPr>
        <w:t>Про внесення змін до деяких законодавчих акті</w:t>
      </w:r>
      <w:r w:rsidRPr="003156CA">
        <w:rPr>
          <w:rFonts w:cs="Times New Roman"/>
          <w:b/>
          <w:bCs/>
          <w:szCs w:val="28"/>
        </w:rPr>
        <w:t>в у сфері торговельного захисту</w:t>
      </w:r>
      <w:r w:rsidRPr="003156CA">
        <w:rPr>
          <w:rFonts w:cs="Times New Roman"/>
          <w:b/>
          <w:bCs/>
          <w:szCs w:val="28"/>
          <w:lang w:val="ru-RU"/>
        </w:rPr>
        <w:t>”</w:t>
      </w:r>
      <w:r w:rsidRPr="003156CA">
        <w:rPr>
          <w:rFonts w:cs="Times New Roman"/>
          <w:b/>
          <w:bCs/>
          <w:szCs w:val="28"/>
        </w:rPr>
        <w:t xml:space="preserve"> </w:t>
      </w:r>
    </w:p>
    <w:p w14:paraId="6AEB5C42" w14:textId="77777777" w:rsidR="00145BC1" w:rsidRPr="003156CA" w:rsidRDefault="00145BC1" w:rsidP="00126F3F">
      <w:pPr>
        <w:tabs>
          <w:tab w:val="num" w:pos="3621"/>
        </w:tabs>
        <w:spacing w:after="0" w:line="360" w:lineRule="auto"/>
        <w:ind w:firstLine="737"/>
        <w:rPr>
          <w:rFonts w:cs="Times New Roman"/>
          <w:b/>
          <w:bCs/>
          <w:sz w:val="16"/>
          <w:szCs w:val="16"/>
          <w:lang w:eastAsia="uk-UA"/>
        </w:rPr>
      </w:pPr>
    </w:p>
    <w:p w14:paraId="623F458A" w14:textId="5AA6569B" w:rsidR="00C02C84" w:rsidRPr="003156CA" w:rsidRDefault="003429BE" w:rsidP="00126F3F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Style w:val="fontstyle01"/>
          <w:b w:val="0"/>
        </w:rPr>
      </w:pPr>
      <w:r>
        <w:rPr>
          <w:rFonts w:cs="Times New Roman"/>
          <w:b/>
          <w:bCs/>
          <w:szCs w:val="28"/>
          <w:lang w:eastAsia="uk-UA"/>
        </w:rPr>
        <w:t xml:space="preserve">    </w:t>
      </w:r>
      <w:r w:rsidRPr="00BA4093">
        <w:rPr>
          <w:b/>
          <w:szCs w:val="28"/>
          <w:lang w:eastAsia="ru-RU"/>
        </w:rPr>
        <w:t xml:space="preserve">Обґрунтування необхідності </w:t>
      </w:r>
      <w:r w:rsidRPr="00AA72D5">
        <w:rPr>
          <w:b/>
          <w:szCs w:val="28"/>
          <w:lang w:eastAsia="ru-RU"/>
        </w:rPr>
        <w:t xml:space="preserve">прийняття законопроекту  </w:t>
      </w:r>
    </w:p>
    <w:p w14:paraId="305B98D3" w14:textId="004F6B27" w:rsidR="00C02C84" w:rsidRPr="003156CA" w:rsidRDefault="00C02C84" w:rsidP="00126F3F">
      <w:pPr>
        <w:spacing w:after="0" w:line="360" w:lineRule="auto"/>
        <w:ind w:firstLine="737"/>
        <w:jc w:val="both"/>
        <w:outlineLvl w:val="0"/>
        <w:rPr>
          <w:rFonts w:cs="Times New Roman"/>
          <w:color w:val="000000"/>
          <w:szCs w:val="28"/>
          <w:lang w:eastAsia="uk-UA"/>
        </w:rPr>
      </w:pPr>
      <w:r w:rsidRPr="003156CA">
        <w:rPr>
          <w:szCs w:val="28"/>
        </w:rPr>
        <w:t xml:space="preserve">Метою </w:t>
      </w:r>
      <w:r w:rsidRPr="003156CA">
        <w:t>пр</w:t>
      </w:r>
      <w:r w:rsidR="00757B1F" w:rsidRPr="003156CA">
        <w:t>ийняття про</w:t>
      </w:r>
      <w:r w:rsidR="00DE027A">
        <w:t>е</w:t>
      </w:r>
      <w:r w:rsidR="00757B1F" w:rsidRPr="003156CA">
        <w:t>кту Закону України “</w:t>
      </w:r>
      <w:r w:rsidRPr="003156CA">
        <w:t>Про внесення змін до деяких законодавчих актів у сфері торговельного захисту</w:t>
      </w:r>
      <w:r w:rsidR="00757B1F" w:rsidRPr="003156CA">
        <w:t>”</w:t>
      </w:r>
      <w:r w:rsidRPr="003156CA">
        <w:t xml:space="preserve"> (далі – про</w:t>
      </w:r>
      <w:r w:rsidR="00DE027A">
        <w:t>е</w:t>
      </w:r>
      <w:r w:rsidRPr="003156CA">
        <w:t xml:space="preserve">кт Закону) </w:t>
      </w:r>
      <w:r w:rsidRPr="003156CA">
        <w:rPr>
          <w:szCs w:val="28"/>
        </w:rPr>
        <w:t>є необхідність внесення змін до Господарського кодексу України</w:t>
      </w:r>
      <w:r w:rsidR="00757B1F" w:rsidRPr="003156CA">
        <w:rPr>
          <w:szCs w:val="28"/>
        </w:rPr>
        <w:t>, Господарського процесуального кодексу України, Кодексу адміністративного судочинства України</w:t>
      </w:r>
      <w:r w:rsidRPr="003156CA">
        <w:rPr>
          <w:szCs w:val="28"/>
        </w:rPr>
        <w:t xml:space="preserve"> та Закону України </w:t>
      </w:r>
      <w:r w:rsidR="00757B1F" w:rsidRPr="003156CA">
        <w:t>“</w:t>
      </w:r>
      <w:r w:rsidRPr="003156CA">
        <w:t>Про зовнішньоекономічну діяльність</w:t>
      </w:r>
      <w:r w:rsidR="00757B1F" w:rsidRPr="003156CA">
        <w:t>”</w:t>
      </w:r>
      <w:r w:rsidRPr="003156CA">
        <w:rPr>
          <w:szCs w:val="28"/>
        </w:rPr>
        <w:t xml:space="preserve"> з метою узгодження понятійного апарату та попередження виникнення колізій у законодавстві, враховуючи </w:t>
      </w:r>
      <w:r w:rsidR="00AD6A6F" w:rsidRPr="003156CA">
        <w:rPr>
          <w:szCs w:val="28"/>
        </w:rPr>
        <w:t>прийняття</w:t>
      </w:r>
      <w:r w:rsidRPr="003156CA">
        <w:rPr>
          <w:szCs w:val="28"/>
        </w:rPr>
        <w:t xml:space="preserve"> Закон</w:t>
      </w:r>
      <w:r w:rsidR="00AD6A6F" w:rsidRPr="003156CA">
        <w:rPr>
          <w:szCs w:val="28"/>
        </w:rPr>
        <w:t>ів</w:t>
      </w:r>
      <w:r w:rsidRPr="003156CA">
        <w:rPr>
          <w:szCs w:val="28"/>
        </w:rPr>
        <w:t xml:space="preserve"> України</w:t>
      </w:r>
      <w:r w:rsidR="00AD6A6F" w:rsidRPr="003156CA">
        <w:rPr>
          <w:szCs w:val="28"/>
        </w:rPr>
        <w:t xml:space="preserve"> </w:t>
      </w:r>
      <w:r w:rsidR="00757B1F" w:rsidRPr="003156CA">
        <w:t>“</w:t>
      </w:r>
      <w:r w:rsidR="00AD6A6F" w:rsidRPr="003156CA">
        <w:rPr>
          <w:szCs w:val="28"/>
        </w:rPr>
        <w:t>Про захист від демпінгового імпорту</w:t>
      </w:r>
      <w:r w:rsidR="00757B1F" w:rsidRPr="003156CA">
        <w:t>”</w:t>
      </w:r>
      <w:r w:rsidR="00AD6A6F" w:rsidRPr="003156CA">
        <w:rPr>
          <w:szCs w:val="28"/>
        </w:rPr>
        <w:t xml:space="preserve">, </w:t>
      </w:r>
      <w:r w:rsidR="00757B1F" w:rsidRPr="003156CA">
        <w:t>“</w:t>
      </w:r>
      <w:r w:rsidR="00AD6A6F" w:rsidRPr="003156CA">
        <w:rPr>
          <w:szCs w:val="28"/>
        </w:rPr>
        <w:t>Про захист від субсидованого імпорту</w:t>
      </w:r>
      <w:r w:rsidR="00757B1F" w:rsidRPr="003156CA">
        <w:t>”</w:t>
      </w:r>
      <w:r w:rsidR="00AD6A6F" w:rsidRPr="003156CA">
        <w:rPr>
          <w:szCs w:val="28"/>
        </w:rPr>
        <w:t xml:space="preserve">, </w:t>
      </w:r>
      <w:r w:rsidR="00757B1F" w:rsidRPr="003156CA">
        <w:t>“</w:t>
      </w:r>
      <w:r w:rsidR="00AD6A6F" w:rsidRPr="003156CA">
        <w:rPr>
          <w:szCs w:val="28"/>
        </w:rPr>
        <w:t>Про захисні заходи</w:t>
      </w:r>
      <w:r w:rsidR="00757B1F" w:rsidRPr="003156CA">
        <w:t>”</w:t>
      </w:r>
      <w:r w:rsidR="003E3500" w:rsidRPr="003156CA">
        <w:t xml:space="preserve"> </w:t>
      </w:r>
      <w:r w:rsidR="00AD6A6F" w:rsidRPr="003156CA">
        <w:rPr>
          <w:szCs w:val="28"/>
        </w:rPr>
        <w:t xml:space="preserve">(на заміну </w:t>
      </w:r>
      <w:r w:rsidR="00757B1F" w:rsidRPr="003156CA">
        <w:rPr>
          <w:szCs w:val="28"/>
        </w:rPr>
        <w:t xml:space="preserve">Законам України </w:t>
      </w:r>
      <w:r w:rsidR="00757B1F" w:rsidRPr="003156CA">
        <w:t>“</w:t>
      </w:r>
      <w:r w:rsidRPr="003156CA">
        <w:rPr>
          <w:szCs w:val="28"/>
        </w:rPr>
        <w:t>Про захист національного товаровиробника від демпінгового імпорту</w:t>
      </w:r>
      <w:r w:rsidR="00757B1F" w:rsidRPr="003156CA">
        <w:t>”</w:t>
      </w:r>
      <w:r w:rsidRPr="003156CA">
        <w:rPr>
          <w:szCs w:val="28"/>
        </w:rPr>
        <w:t xml:space="preserve">, </w:t>
      </w:r>
      <w:r w:rsidR="00757B1F" w:rsidRPr="003156CA">
        <w:t>“</w:t>
      </w:r>
      <w:r w:rsidRPr="003156CA">
        <w:rPr>
          <w:szCs w:val="28"/>
        </w:rPr>
        <w:t>Про захист національного товаровиробника від субсидованого імпорту</w:t>
      </w:r>
      <w:r w:rsidR="00757B1F" w:rsidRPr="003156CA">
        <w:t>”</w:t>
      </w:r>
      <w:r w:rsidR="00757B1F" w:rsidRPr="003156CA">
        <w:rPr>
          <w:szCs w:val="28"/>
        </w:rPr>
        <w:t xml:space="preserve">, </w:t>
      </w:r>
      <w:r w:rsidR="00757B1F" w:rsidRPr="003156CA">
        <w:t>“</w:t>
      </w:r>
      <w:r w:rsidRPr="003156CA">
        <w:rPr>
          <w:szCs w:val="28"/>
        </w:rPr>
        <w:t>Про застосування спеціальних заходів щодо імпорту в Україну</w:t>
      </w:r>
      <w:r w:rsidR="00757B1F" w:rsidRPr="003156CA">
        <w:t>”</w:t>
      </w:r>
      <w:r w:rsidR="00AD6A6F" w:rsidRPr="003156CA">
        <w:rPr>
          <w:szCs w:val="28"/>
        </w:rPr>
        <w:t>)</w:t>
      </w:r>
      <w:r w:rsidR="003E3500" w:rsidRPr="003156CA">
        <w:t xml:space="preserve"> та “</w:t>
      </w:r>
      <w:r w:rsidR="003E3500" w:rsidRPr="003156CA">
        <w:rPr>
          <w:szCs w:val="28"/>
        </w:rPr>
        <w:t>Про внесення змін до Митного кодексу України (щодо торговельного захисту)</w:t>
      </w:r>
      <w:r w:rsidR="003E3500" w:rsidRPr="003156CA">
        <w:t>”.</w:t>
      </w:r>
    </w:p>
    <w:p w14:paraId="45029A63" w14:textId="64BEC60E" w:rsidR="00096FA4" w:rsidRPr="003156CA" w:rsidRDefault="00096FA4" w:rsidP="003156CA">
      <w:pPr>
        <w:spacing w:line="360" w:lineRule="auto"/>
        <w:ind w:firstLine="567"/>
        <w:jc w:val="both"/>
        <w:rPr>
          <w:szCs w:val="28"/>
        </w:rPr>
      </w:pPr>
      <w:r w:rsidRPr="003156CA">
        <w:rPr>
          <w:szCs w:val="28"/>
        </w:rPr>
        <w:t>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 Закону спрямований на досягнення цілі </w:t>
      </w:r>
      <w:r w:rsidR="00410D22" w:rsidRPr="003156CA">
        <w:rPr>
          <w:szCs w:val="28"/>
        </w:rPr>
        <w:t>5.2</w:t>
      </w:r>
      <w:r w:rsidRPr="003156CA">
        <w:rPr>
          <w:szCs w:val="28"/>
        </w:rPr>
        <w:t xml:space="preserve"> </w:t>
      </w:r>
      <w:r w:rsidR="00410D22" w:rsidRPr="003156CA">
        <w:rPr>
          <w:lang w:val="ru-RU"/>
        </w:rPr>
        <w:t>“Підтримка експорту”</w:t>
      </w:r>
      <w:r w:rsidR="00410D22" w:rsidRPr="003156CA">
        <w:t xml:space="preserve"> Програми діяльності Кабінету Міністрів України, схваленої постановою Верховної Ради України від 12 червня 2020 р. № 471</w:t>
      </w:r>
      <w:r w:rsidRPr="003156CA">
        <w:rPr>
          <w:szCs w:val="28"/>
        </w:rPr>
        <w:t>.</w:t>
      </w:r>
    </w:p>
    <w:p w14:paraId="0FE9A99A" w14:textId="77777777" w:rsidR="00C02C84" w:rsidRPr="003156CA" w:rsidRDefault="00C02C84" w:rsidP="00126F3F">
      <w:pPr>
        <w:pStyle w:val="1"/>
        <w:keepNext w:val="0"/>
        <w:numPr>
          <w:ilvl w:val="0"/>
          <w:numId w:val="3"/>
        </w:numPr>
        <w:tabs>
          <w:tab w:val="num" w:pos="1276"/>
        </w:tabs>
        <w:spacing w:line="360" w:lineRule="auto"/>
        <w:jc w:val="both"/>
      </w:pPr>
      <w:r w:rsidRPr="003156CA">
        <w:t>Проблема, яка потребує розв</w:t>
      </w:r>
      <w:r w:rsidR="00096FA4" w:rsidRPr="003156CA">
        <w:t>’</w:t>
      </w:r>
      <w:r w:rsidRPr="003156CA">
        <w:t xml:space="preserve">язання  </w:t>
      </w:r>
    </w:p>
    <w:p w14:paraId="121C2010" w14:textId="77777777" w:rsidR="003237EC" w:rsidRPr="003156CA" w:rsidRDefault="00145BC1" w:rsidP="00126F3F">
      <w:pPr>
        <w:spacing w:after="0" w:line="360" w:lineRule="auto"/>
        <w:ind w:firstLine="562"/>
        <w:jc w:val="both"/>
        <w:rPr>
          <w:szCs w:val="28"/>
        </w:rPr>
      </w:pPr>
      <w:r w:rsidRPr="003156CA">
        <w:rPr>
          <w:szCs w:val="28"/>
        </w:rPr>
        <w:t xml:space="preserve">Існуючі на сьогодні тенденції у сфері зовнішньоекономічної діяльності засвідчують необхідність перегляду підходів національного регулювання у цій сфері. Однією з найбільших проблем, що потребує вирішення, є удосконалення механізмів та процедур захисту </w:t>
      </w:r>
      <w:r w:rsidR="00757B1F" w:rsidRPr="003156CA">
        <w:rPr>
          <w:szCs w:val="28"/>
        </w:rPr>
        <w:t xml:space="preserve">галузей </w:t>
      </w:r>
      <w:r w:rsidRPr="003156CA">
        <w:rPr>
          <w:szCs w:val="28"/>
        </w:rPr>
        <w:t xml:space="preserve">вітчизняного </w:t>
      </w:r>
      <w:r w:rsidR="00757B1F" w:rsidRPr="003156CA">
        <w:rPr>
          <w:szCs w:val="28"/>
        </w:rPr>
        <w:t>виробництва</w:t>
      </w:r>
      <w:r w:rsidRPr="003156CA">
        <w:rPr>
          <w:szCs w:val="28"/>
        </w:rPr>
        <w:t xml:space="preserve"> від недобросовісного/зростаючого імпорту в Україну, що заподіює істотну шкоду або загрожує заподіянням такої шкоди.</w:t>
      </w:r>
    </w:p>
    <w:p w14:paraId="5C06B23E" w14:textId="77777777" w:rsidR="00145BC1" w:rsidRPr="003156CA" w:rsidRDefault="00145BC1" w:rsidP="00126F3F">
      <w:pPr>
        <w:spacing w:after="0" w:line="360" w:lineRule="auto"/>
        <w:ind w:firstLine="562"/>
        <w:jc w:val="both"/>
        <w:rPr>
          <w:szCs w:val="28"/>
        </w:rPr>
      </w:pPr>
      <w:r w:rsidRPr="003156CA">
        <w:rPr>
          <w:szCs w:val="28"/>
        </w:rPr>
        <w:t xml:space="preserve">Застосування інструментів торговельного захисту може мати вплив як на споживачів, так і на користувачів імпортної продукції. </w:t>
      </w:r>
    </w:p>
    <w:p w14:paraId="07F0E9B7" w14:textId="1D2A8365" w:rsidR="00757B1F" w:rsidRPr="003156CA" w:rsidRDefault="00145BC1" w:rsidP="00126F3F">
      <w:pPr>
        <w:spacing w:after="0" w:line="360" w:lineRule="auto"/>
        <w:ind w:firstLine="562"/>
        <w:jc w:val="both"/>
        <w:rPr>
          <w:szCs w:val="28"/>
        </w:rPr>
      </w:pPr>
      <w:r w:rsidRPr="003156CA">
        <w:rPr>
          <w:szCs w:val="28"/>
        </w:rPr>
        <w:lastRenderedPageBreak/>
        <w:t xml:space="preserve">Чинні на сьогодні Закони України </w:t>
      </w:r>
      <w:r w:rsidR="00757B1F" w:rsidRPr="003156CA">
        <w:rPr>
          <w:lang w:val="ru-RU"/>
        </w:rPr>
        <w:t>“</w:t>
      </w:r>
      <w:r w:rsidRPr="003156CA">
        <w:rPr>
          <w:szCs w:val="28"/>
        </w:rPr>
        <w:t>Про захист національного товаровиробника від демпінгового імпорту</w:t>
      </w:r>
      <w:r w:rsidR="00757B1F" w:rsidRPr="003156CA">
        <w:rPr>
          <w:lang w:val="ru-RU"/>
        </w:rPr>
        <w:t>”</w:t>
      </w:r>
      <w:r w:rsidRPr="003156CA">
        <w:rPr>
          <w:szCs w:val="28"/>
        </w:rPr>
        <w:t xml:space="preserve">, </w:t>
      </w:r>
      <w:r w:rsidR="00757B1F" w:rsidRPr="003156CA">
        <w:rPr>
          <w:lang w:val="ru-RU"/>
        </w:rPr>
        <w:t>“</w:t>
      </w:r>
      <w:r w:rsidRPr="003156CA">
        <w:rPr>
          <w:szCs w:val="28"/>
        </w:rPr>
        <w:t>Про</w:t>
      </w:r>
      <w:r w:rsidR="0082605F" w:rsidRPr="003156CA">
        <w:rPr>
          <w:szCs w:val="28"/>
        </w:rPr>
        <w:t xml:space="preserve"> </w:t>
      </w:r>
      <w:r w:rsidRPr="003156CA">
        <w:rPr>
          <w:szCs w:val="28"/>
        </w:rPr>
        <w:t>захист національного товаровиробника від субсидованого імпорту</w:t>
      </w:r>
      <w:r w:rsidR="00757B1F" w:rsidRPr="003156CA">
        <w:rPr>
          <w:lang w:val="ru-RU"/>
        </w:rPr>
        <w:t>”</w:t>
      </w:r>
      <w:r w:rsidR="00757B1F" w:rsidRPr="003156CA">
        <w:rPr>
          <w:szCs w:val="28"/>
        </w:rPr>
        <w:t xml:space="preserve"> та</w:t>
      </w:r>
      <w:r w:rsidRPr="003156CA">
        <w:rPr>
          <w:szCs w:val="28"/>
        </w:rPr>
        <w:t xml:space="preserve"> </w:t>
      </w:r>
      <w:r w:rsidR="00757B1F" w:rsidRPr="003156CA">
        <w:rPr>
          <w:lang w:val="ru-RU"/>
        </w:rPr>
        <w:t>“</w:t>
      </w:r>
      <w:r w:rsidRPr="003156CA">
        <w:rPr>
          <w:szCs w:val="28"/>
        </w:rPr>
        <w:t>Про застосування спеціальних заходів щодо імпорту в Україну</w:t>
      </w:r>
      <w:r w:rsidR="00757B1F" w:rsidRPr="003156CA">
        <w:rPr>
          <w:lang w:val="ru-RU"/>
        </w:rPr>
        <w:t>”</w:t>
      </w:r>
      <w:r w:rsidRPr="003156CA">
        <w:rPr>
          <w:szCs w:val="28"/>
        </w:rPr>
        <w:t xml:space="preserve"> залишалися практично незмінними з моменту їх прийняття, є недостатньо ефективними</w:t>
      </w:r>
      <w:r w:rsidR="00757B1F" w:rsidRPr="003156CA">
        <w:rPr>
          <w:szCs w:val="28"/>
        </w:rPr>
        <w:t xml:space="preserve">, </w:t>
      </w:r>
      <w:r w:rsidRPr="003156CA">
        <w:rPr>
          <w:szCs w:val="28"/>
        </w:rPr>
        <w:t>не відповідають реаліям торгівлі і актуальним на сьогодні міжнародним стандартам та практикам, які використовуються іншими провідними державами у сфері</w:t>
      </w:r>
      <w:r w:rsidR="00757B1F" w:rsidRPr="003156CA">
        <w:rPr>
          <w:szCs w:val="28"/>
        </w:rPr>
        <w:t xml:space="preserve"> торговельного захисту</w:t>
      </w:r>
      <w:r w:rsidRPr="003156CA">
        <w:rPr>
          <w:szCs w:val="28"/>
        </w:rPr>
        <w:t xml:space="preserve">. В умовах постійно змінюваного економічного середовища з метою </w:t>
      </w:r>
      <w:r w:rsidR="00757B1F" w:rsidRPr="003156CA">
        <w:rPr>
          <w:szCs w:val="28"/>
        </w:rPr>
        <w:t xml:space="preserve">вдосконалення </w:t>
      </w:r>
      <w:r w:rsidRPr="003156CA">
        <w:rPr>
          <w:szCs w:val="28"/>
        </w:rPr>
        <w:t xml:space="preserve">механізму </w:t>
      </w:r>
      <w:r w:rsidR="00757B1F" w:rsidRPr="003156CA">
        <w:rPr>
          <w:szCs w:val="28"/>
        </w:rPr>
        <w:t xml:space="preserve">використання </w:t>
      </w:r>
      <w:r w:rsidRPr="003156CA">
        <w:rPr>
          <w:szCs w:val="28"/>
        </w:rPr>
        <w:t>інструментів торговельного захисту</w:t>
      </w:r>
      <w:r w:rsidR="00757B1F" w:rsidRPr="003156CA">
        <w:rPr>
          <w:szCs w:val="28"/>
        </w:rPr>
        <w:t>,</w:t>
      </w:r>
      <w:r w:rsidRPr="003156CA">
        <w:rPr>
          <w:szCs w:val="28"/>
        </w:rPr>
        <w:t xml:space="preserve"> Мінеконом</w:t>
      </w:r>
      <w:r w:rsidR="00954CFB" w:rsidRPr="003156CA">
        <w:rPr>
          <w:szCs w:val="28"/>
        </w:rPr>
        <w:t>іки</w:t>
      </w:r>
      <w:r w:rsidRPr="003156CA">
        <w:rPr>
          <w:szCs w:val="28"/>
        </w:rPr>
        <w:t xml:space="preserve"> розро</w:t>
      </w:r>
      <w:r w:rsidR="00757B1F" w:rsidRPr="003156CA">
        <w:rPr>
          <w:szCs w:val="28"/>
        </w:rPr>
        <w:t>блено</w:t>
      </w:r>
      <w:r w:rsidRPr="003156CA">
        <w:rPr>
          <w:szCs w:val="28"/>
        </w:rPr>
        <w:t xml:space="preserve"> 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кти Законів України </w:t>
      </w:r>
      <w:r w:rsidR="00757B1F" w:rsidRPr="003156CA">
        <w:t>“</w:t>
      </w:r>
      <w:r w:rsidR="00757B1F" w:rsidRPr="003156CA">
        <w:rPr>
          <w:szCs w:val="28"/>
        </w:rPr>
        <w:t>Про захист від демпінгового імпорту</w:t>
      </w:r>
      <w:r w:rsidR="00757B1F" w:rsidRPr="003156CA">
        <w:t>”</w:t>
      </w:r>
      <w:r w:rsidR="00757B1F" w:rsidRPr="003156CA">
        <w:rPr>
          <w:szCs w:val="28"/>
        </w:rPr>
        <w:t xml:space="preserve">, </w:t>
      </w:r>
      <w:r w:rsidR="00757B1F" w:rsidRPr="003156CA">
        <w:t>“</w:t>
      </w:r>
      <w:r w:rsidR="00757B1F" w:rsidRPr="003156CA">
        <w:rPr>
          <w:szCs w:val="28"/>
        </w:rPr>
        <w:t>Про захист від субсидованого імпорту</w:t>
      </w:r>
      <w:r w:rsidR="00757B1F" w:rsidRPr="003156CA">
        <w:t>”</w:t>
      </w:r>
      <w:r w:rsidR="00757B1F" w:rsidRPr="003156CA">
        <w:rPr>
          <w:szCs w:val="28"/>
        </w:rPr>
        <w:t xml:space="preserve">, </w:t>
      </w:r>
      <w:r w:rsidR="00757B1F" w:rsidRPr="003156CA">
        <w:t>“</w:t>
      </w:r>
      <w:r w:rsidR="00757B1F" w:rsidRPr="003156CA">
        <w:rPr>
          <w:szCs w:val="28"/>
        </w:rPr>
        <w:t>Про захисні заходи</w:t>
      </w:r>
      <w:r w:rsidR="00757B1F" w:rsidRPr="003156CA">
        <w:t>”.</w:t>
      </w:r>
    </w:p>
    <w:p w14:paraId="4042C841" w14:textId="1ACE75D9" w:rsidR="00096FA4" w:rsidRPr="003156CA" w:rsidRDefault="00096FA4" w:rsidP="00096FA4">
      <w:pPr>
        <w:spacing w:after="0" w:line="360" w:lineRule="auto"/>
        <w:ind w:firstLine="562"/>
        <w:jc w:val="both"/>
        <w:rPr>
          <w:szCs w:val="28"/>
        </w:rPr>
      </w:pPr>
      <w:r w:rsidRPr="003156CA">
        <w:rPr>
          <w:szCs w:val="28"/>
        </w:rPr>
        <w:t>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 Закону України </w:t>
      </w:r>
      <w:r w:rsidRPr="003156CA">
        <w:t>“</w:t>
      </w:r>
      <w:r w:rsidRPr="003156CA">
        <w:rPr>
          <w:szCs w:val="28"/>
        </w:rPr>
        <w:t>Про внесення змін до деяких законодавчих актів у сфері торговельного захисту</w:t>
      </w:r>
      <w:r w:rsidRPr="003156CA">
        <w:t>”</w:t>
      </w:r>
      <w:r w:rsidRPr="003156CA">
        <w:rPr>
          <w:szCs w:val="28"/>
        </w:rPr>
        <w:t xml:space="preserve"> є системно пов’язаним із 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ктами Законів України </w:t>
      </w:r>
      <w:r w:rsidRPr="003156CA">
        <w:t>“</w:t>
      </w:r>
      <w:r w:rsidRPr="003156CA">
        <w:rPr>
          <w:szCs w:val="28"/>
        </w:rPr>
        <w:t>Про захист від демпінгового імпорту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захист від субсидованого імпорту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захисні заходи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внесення змін до Митного кодексу України (щодо торговельного захисту)</w:t>
      </w:r>
      <w:r w:rsidRPr="003156CA">
        <w:t>”</w:t>
      </w:r>
      <w:r w:rsidRPr="003156CA">
        <w:rPr>
          <w:szCs w:val="28"/>
        </w:rPr>
        <w:t>, а тому розгляд і прийняття цих про</w:t>
      </w:r>
      <w:r w:rsidR="00DE027A">
        <w:rPr>
          <w:szCs w:val="28"/>
        </w:rPr>
        <w:t>е</w:t>
      </w:r>
      <w:r w:rsidRPr="003156CA">
        <w:rPr>
          <w:szCs w:val="28"/>
        </w:rPr>
        <w:t>ктів має відбуватися одночасно.</w:t>
      </w:r>
    </w:p>
    <w:p w14:paraId="5D0936FC" w14:textId="5D57E42C" w:rsidR="00C02C84" w:rsidRPr="003156CA" w:rsidRDefault="00C02C84" w:rsidP="00126F3F">
      <w:pPr>
        <w:pStyle w:val="1"/>
        <w:keepNext w:val="0"/>
        <w:numPr>
          <w:ilvl w:val="0"/>
          <w:numId w:val="3"/>
        </w:numPr>
        <w:tabs>
          <w:tab w:val="num" w:pos="1276"/>
        </w:tabs>
        <w:spacing w:line="360" w:lineRule="auto"/>
        <w:jc w:val="both"/>
      </w:pPr>
      <w:r w:rsidRPr="003156CA">
        <w:t>Суть про</w:t>
      </w:r>
      <w:r w:rsidR="00DE027A">
        <w:t>е</w:t>
      </w:r>
      <w:r w:rsidRPr="003156CA">
        <w:t>кту акта</w:t>
      </w:r>
    </w:p>
    <w:p w14:paraId="458F456D" w14:textId="4E73AF34" w:rsidR="00C02C84" w:rsidRPr="003156CA" w:rsidRDefault="00C02C84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szCs w:val="28"/>
        </w:rPr>
      </w:pPr>
      <w:r w:rsidRPr="003156CA">
        <w:rPr>
          <w:rFonts w:cs="Times New Roman"/>
          <w:color w:val="000000"/>
          <w:szCs w:val="28"/>
          <w:lang w:eastAsia="uk-UA"/>
        </w:rPr>
        <w:t>Про</w:t>
      </w:r>
      <w:r w:rsidR="00DE027A">
        <w:rPr>
          <w:rFonts w:cs="Times New Roman"/>
          <w:color w:val="000000"/>
          <w:szCs w:val="28"/>
          <w:lang w:eastAsia="uk-UA"/>
        </w:rPr>
        <w:t>е</w:t>
      </w:r>
      <w:r w:rsidRPr="003156CA">
        <w:rPr>
          <w:rFonts w:cs="Times New Roman"/>
          <w:color w:val="000000"/>
          <w:szCs w:val="28"/>
          <w:lang w:eastAsia="uk-UA"/>
        </w:rPr>
        <w:t xml:space="preserve">кт Закону розроблений з метою </w:t>
      </w:r>
      <w:r w:rsidRPr="003156CA">
        <w:rPr>
          <w:szCs w:val="28"/>
        </w:rPr>
        <w:t xml:space="preserve">внесення змін до </w:t>
      </w:r>
      <w:r w:rsidR="00096FA4" w:rsidRPr="003156CA">
        <w:rPr>
          <w:szCs w:val="28"/>
        </w:rPr>
        <w:t xml:space="preserve">Господарського кодексу України, Господарського процесуального кодексу України, Кодексу адміністративного судочинства України та Закону України </w:t>
      </w:r>
      <w:r w:rsidR="00096FA4" w:rsidRPr="003156CA">
        <w:t>“Про зовнішньоекономічну діяльність”</w:t>
      </w:r>
      <w:r w:rsidR="00096FA4" w:rsidRPr="003156CA">
        <w:rPr>
          <w:szCs w:val="28"/>
        </w:rPr>
        <w:t xml:space="preserve"> </w:t>
      </w:r>
      <w:r w:rsidRPr="003156CA">
        <w:rPr>
          <w:szCs w:val="28"/>
        </w:rPr>
        <w:t>з метою узгодження понятійного апарату та попередження виникнення колізій у законодавстві</w:t>
      </w:r>
      <w:r w:rsidRPr="003156CA">
        <w:t xml:space="preserve"> </w:t>
      </w:r>
      <w:r w:rsidRPr="003156CA">
        <w:rPr>
          <w:szCs w:val="28"/>
        </w:rPr>
        <w:t>для цілей проведення антидемпінгових, антисубсидиційних, захисних розслідувань.</w:t>
      </w:r>
    </w:p>
    <w:p w14:paraId="2467454F" w14:textId="77777777" w:rsidR="00C02C84" w:rsidRPr="003156CA" w:rsidRDefault="00C02C84" w:rsidP="00126F3F">
      <w:pPr>
        <w:spacing w:after="0" w:line="360" w:lineRule="auto"/>
        <w:ind w:firstLine="709"/>
        <w:jc w:val="both"/>
      </w:pPr>
      <w:r w:rsidRPr="003156CA">
        <w:t xml:space="preserve">В свою чергу такі редакційні зміни необхідні для системного вдосконалення механізму проведення </w:t>
      </w:r>
      <w:r w:rsidRPr="003156CA">
        <w:rPr>
          <w:szCs w:val="28"/>
        </w:rPr>
        <w:t xml:space="preserve">антидемпінгових, антисубсидиційних, захисних </w:t>
      </w:r>
      <w:r w:rsidRPr="003156CA">
        <w:t xml:space="preserve">розслідувань, а також механізму їх застосування. </w:t>
      </w:r>
    </w:p>
    <w:p w14:paraId="28DAB1F4" w14:textId="5154221E" w:rsidR="00A32A23" w:rsidRPr="003156CA" w:rsidRDefault="00A32A23" w:rsidP="00126F3F">
      <w:pPr>
        <w:spacing w:after="0" w:line="360" w:lineRule="auto"/>
        <w:ind w:firstLine="709"/>
        <w:jc w:val="both"/>
      </w:pPr>
      <w:r w:rsidRPr="003156CA">
        <w:lastRenderedPageBreak/>
        <w:t>Так</w:t>
      </w:r>
      <w:r w:rsidR="0082605F" w:rsidRPr="003156CA">
        <w:t>,</w:t>
      </w:r>
      <w:r w:rsidRPr="003156CA">
        <w:t xml:space="preserve"> у Господарському кодексі України необхідно виключити з видів адміністративних санкцій застосування антидемпінгових заходів (абзац </w:t>
      </w:r>
      <w:r w:rsidR="00096FA4" w:rsidRPr="003156CA">
        <w:t xml:space="preserve">шостий </w:t>
      </w:r>
      <w:r w:rsidRPr="003156CA">
        <w:t>частини першої статті 239,</w:t>
      </w:r>
      <w:r w:rsidR="00096FA4" w:rsidRPr="003156CA">
        <w:rPr>
          <w:szCs w:val="28"/>
        </w:rPr>
        <w:t xml:space="preserve"> </w:t>
      </w:r>
      <w:r w:rsidRPr="003156CA">
        <w:t>статт</w:t>
      </w:r>
      <w:r w:rsidR="00096FA4" w:rsidRPr="003156CA">
        <w:t>ю</w:t>
      </w:r>
      <w:r w:rsidRPr="003156CA">
        <w:t xml:space="preserve"> 244), оскільки їх застосування передбачено </w:t>
      </w:r>
      <w:r w:rsidR="0082605F" w:rsidRPr="003156CA">
        <w:t>спеціальними закон</w:t>
      </w:r>
      <w:r w:rsidR="00096FA4" w:rsidRPr="003156CA">
        <w:t>ом</w:t>
      </w:r>
      <w:r w:rsidR="0082605F" w:rsidRPr="003156CA">
        <w:t xml:space="preserve">, а саме </w:t>
      </w:r>
      <w:r w:rsidRPr="003156CA">
        <w:t>Закон</w:t>
      </w:r>
      <w:r w:rsidR="00A46DA8" w:rsidRPr="003156CA">
        <w:t>ом</w:t>
      </w:r>
      <w:r w:rsidRPr="003156CA">
        <w:t xml:space="preserve"> України </w:t>
      </w:r>
      <w:r w:rsidR="00096FA4" w:rsidRPr="003156CA">
        <w:t>“</w:t>
      </w:r>
      <w:r w:rsidRPr="003156CA">
        <w:t>Про захист національного товаровиробника від демпінгового імп</w:t>
      </w:r>
      <w:r w:rsidR="0082605F" w:rsidRPr="003156CA">
        <w:t>орту</w:t>
      </w:r>
      <w:r w:rsidR="00096FA4" w:rsidRPr="003156CA">
        <w:t>”</w:t>
      </w:r>
      <w:r w:rsidRPr="003156CA">
        <w:t>, та</w:t>
      </w:r>
      <w:r w:rsidR="00096FA4" w:rsidRPr="003156CA">
        <w:t>, відповідно,</w:t>
      </w:r>
      <w:r w:rsidRPr="003156CA">
        <w:t xml:space="preserve"> про</w:t>
      </w:r>
      <w:r w:rsidR="00DE027A">
        <w:t>е</w:t>
      </w:r>
      <w:r w:rsidRPr="003156CA">
        <w:t>кт</w:t>
      </w:r>
      <w:r w:rsidR="00096FA4" w:rsidRPr="003156CA">
        <w:t>ом</w:t>
      </w:r>
      <w:r w:rsidR="0082605F" w:rsidRPr="003156CA">
        <w:t xml:space="preserve"> Закону України </w:t>
      </w:r>
      <w:r w:rsidR="00096FA4" w:rsidRPr="003156CA">
        <w:t>“</w:t>
      </w:r>
      <w:r w:rsidR="0082605F" w:rsidRPr="003156CA">
        <w:t>Про захист від демпінгового імпорту</w:t>
      </w:r>
      <w:r w:rsidR="00096FA4" w:rsidRPr="003156CA">
        <w:t>”</w:t>
      </w:r>
      <w:r w:rsidRPr="003156CA">
        <w:t xml:space="preserve">.  </w:t>
      </w:r>
    </w:p>
    <w:p w14:paraId="68E9B7B4" w14:textId="2A3B7D76" w:rsidR="00A32A23" w:rsidRPr="003156CA" w:rsidRDefault="00A32A23" w:rsidP="00126F3F">
      <w:pPr>
        <w:spacing w:after="0" w:line="360" w:lineRule="auto"/>
        <w:ind w:firstLine="709"/>
        <w:jc w:val="both"/>
      </w:pPr>
      <w:r w:rsidRPr="003156CA">
        <w:t>Також у Господарському кодексі України необхідно узгодити понятійний апарат з урахуванням положень розроблених про</w:t>
      </w:r>
      <w:r w:rsidR="00DE027A">
        <w:t>е</w:t>
      </w:r>
      <w:r w:rsidRPr="003156CA">
        <w:t xml:space="preserve">ктів </w:t>
      </w:r>
      <w:r w:rsidR="00A46DA8" w:rsidRPr="003156CA">
        <w:t>З</w:t>
      </w:r>
      <w:r w:rsidRPr="003156CA">
        <w:t xml:space="preserve">аконів, а саме замінити слова </w:t>
      </w:r>
      <w:r w:rsidR="008F7AAA" w:rsidRPr="003156CA">
        <w:t>“</w:t>
      </w:r>
      <w:r w:rsidRPr="003156CA">
        <w:t>національного товаровиробника</w:t>
      </w:r>
      <w:r w:rsidR="008F7AAA" w:rsidRPr="003156CA">
        <w:t>”</w:t>
      </w:r>
      <w:r w:rsidRPr="003156CA">
        <w:t xml:space="preserve"> на </w:t>
      </w:r>
      <w:r w:rsidR="008F7AAA" w:rsidRPr="003156CA">
        <w:t>“</w:t>
      </w:r>
      <w:r w:rsidRPr="003156CA">
        <w:t>галузі вітчизняного виробництва</w:t>
      </w:r>
      <w:r w:rsidR="008F7AAA" w:rsidRPr="003156CA">
        <w:t>”</w:t>
      </w:r>
      <w:r w:rsidRPr="003156CA">
        <w:t xml:space="preserve"> в абзаці шостому частини першої статті 6, та скорегувати формулювання частини третьої статті 389.</w:t>
      </w:r>
      <w:r w:rsidR="00096FA4" w:rsidRPr="003156CA">
        <w:t xml:space="preserve"> </w:t>
      </w:r>
    </w:p>
    <w:p w14:paraId="69395AF7" w14:textId="77777777" w:rsidR="004A38AA" w:rsidRPr="003156CA" w:rsidRDefault="004A38AA" w:rsidP="00126F3F">
      <w:pPr>
        <w:spacing w:after="0" w:line="360" w:lineRule="auto"/>
        <w:ind w:firstLine="709"/>
        <w:jc w:val="both"/>
        <w:rPr>
          <w:szCs w:val="28"/>
        </w:rPr>
      </w:pPr>
      <w:r w:rsidRPr="003156CA">
        <w:t xml:space="preserve">У Господарському процесуальному кодексі України </w:t>
      </w:r>
      <w:r w:rsidR="00A64589" w:rsidRPr="003156CA">
        <w:t xml:space="preserve">та </w:t>
      </w:r>
      <w:r w:rsidR="00A64589" w:rsidRPr="003156CA">
        <w:rPr>
          <w:szCs w:val="28"/>
        </w:rPr>
        <w:t xml:space="preserve">Кодексі адміністративного судочинства України </w:t>
      </w:r>
      <w:r w:rsidRPr="003156CA">
        <w:t xml:space="preserve">необхідно передбачити недопущення забезпечення позову </w:t>
      </w:r>
      <w:r w:rsidR="00B23BEB" w:rsidRPr="003156CA">
        <w:rPr>
          <w:szCs w:val="28"/>
        </w:rPr>
        <w:t>шляхом призупинення або</w:t>
      </w:r>
      <w:r w:rsidRPr="003156CA">
        <w:rPr>
          <w:szCs w:val="28"/>
        </w:rPr>
        <w:t xml:space="preserve"> </w:t>
      </w:r>
      <w:r w:rsidRPr="003156CA">
        <w:rPr>
          <w:rFonts w:hint="eastAsia"/>
          <w:szCs w:val="28"/>
        </w:rPr>
        <w:t>зупинення</w:t>
      </w:r>
      <w:r w:rsidRPr="003156CA">
        <w:rPr>
          <w:szCs w:val="28"/>
        </w:rPr>
        <w:t xml:space="preserve"> дії </w:t>
      </w:r>
      <w:r w:rsidRPr="003156CA">
        <w:rPr>
          <w:rFonts w:hint="eastAsia"/>
          <w:szCs w:val="28"/>
        </w:rPr>
        <w:t>рішень</w:t>
      </w:r>
      <w:r w:rsidRPr="003156CA">
        <w:rPr>
          <w:szCs w:val="28"/>
        </w:rPr>
        <w:t xml:space="preserve"> Міжвідомчої комісії з міжнародної торгівлі про застосування попередніх або остаточних антидемпінгових, компенсаційних та захисних заходів.</w:t>
      </w:r>
    </w:p>
    <w:p w14:paraId="5863A91E" w14:textId="771F6B22" w:rsidR="00A32A23" w:rsidRPr="003156CA" w:rsidRDefault="00A32A23" w:rsidP="00A64589">
      <w:pPr>
        <w:tabs>
          <w:tab w:val="left" w:pos="2478"/>
        </w:tabs>
        <w:spacing w:after="0" w:line="360" w:lineRule="auto"/>
        <w:ind w:firstLine="709"/>
        <w:jc w:val="both"/>
      </w:pPr>
      <w:r w:rsidRPr="003156CA">
        <w:t xml:space="preserve">В Законі України </w:t>
      </w:r>
      <w:r w:rsidR="008F7AAA" w:rsidRPr="003156CA">
        <w:t>“</w:t>
      </w:r>
      <w:r w:rsidRPr="003156CA">
        <w:t>Про зовнішньоекономічну діяльність</w:t>
      </w:r>
      <w:r w:rsidR="008F7AAA" w:rsidRPr="003156CA">
        <w:t>”</w:t>
      </w:r>
      <w:r w:rsidRPr="003156CA">
        <w:t>, у зв</w:t>
      </w:r>
      <w:r w:rsidR="008F7AAA" w:rsidRPr="003156CA">
        <w:t>’</w:t>
      </w:r>
      <w:r w:rsidRPr="003156CA">
        <w:t>язку із необхідністю узгодження понятійного апарату із про</w:t>
      </w:r>
      <w:r w:rsidR="00F07E6C">
        <w:t>е</w:t>
      </w:r>
      <w:r w:rsidRPr="003156CA">
        <w:t xml:space="preserve">ктом </w:t>
      </w:r>
      <w:r w:rsidR="00100E0D" w:rsidRPr="003156CA">
        <w:t>З</w:t>
      </w:r>
      <w:r w:rsidRPr="003156CA">
        <w:t xml:space="preserve">акону </w:t>
      </w:r>
      <w:r w:rsidR="00100E0D" w:rsidRPr="003156CA">
        <w:t xml:space="preserve">України </w:t>
      </w:r>
      <w:r w:rsidR="008F7AAA" w:rsidRPr="003156CA">
        <w:t>“</w:t>
      </w:r>
      <w:r w:rsidRPr="003156CA">
        <w:t>Про захисні заходи</w:t>
      </w:r>
      <w:r w:rsidR="008F7AAA" w:rsidRPr="003156CA">
        <w:t>”</w:t>
      </w:r>
      <w:r w:rsidRPr="003156CA">
        <w:t xml:space="preserve">, необхідно замінити слова </w:t>
      </w:r>
      <w:r w:rsidR="008F7AAA" w:rsidRPr="003156CA">
        <w:t>“</w:t>
      </w:r>
      <w:r w:rsidRPr="003156CA">
        <w:t>квоти спеціальні</w:t>
      </w:r>
      <w:r w:rsidR="008F7AAA" w:rsidRPr="003156CA">
        <w:t>”</w:t>
      </w:r>
      <w:r w:rsidRPr="003156CA">
        <w:t xml:space="preserve"> на </w:t>
      </w:r>
      <w:r w:rsidR="008F7AAA" w:rsidRPr="003156CA">
        <w:t>“</w:t>
      </w:r>
      <w:r w:rsidRPr="003156CA">
        <w:t>квота захисна</w:t>
      </w:r>
      <w:r w:rsidR="008F7AAA" w:rsidRPr="003156CA">
        <w:t>”</w:t>
      </w:r>
      <w:r w:rsidRPr="003156CA">
        <w:t xml:space="preserve">, </w:t>
      </w:r>
      <w:r w:rsidR="008F7AAA" w:rsidRPr="003156CA">
        <w:t>доповнити визначенням “захисна тарифна квота”, замінити слова “</w:t>
      </w:r>
      <w:r w:rsidRPr="003156CA">
        <w:t>спеціальне розслідування</w:t>
      </w:r>
      <w:r w:rsidR="008F7AAA" w:rsidRPr="003156CA">
        <w:t>”</w:t>
      </w:r>
      <w:r w:rsidRPr="003156CA">
        <w:t xml:space="preserve"> на слова </w:t>
      </w:r>
      <w:r w:rsidR="008F7AAA" w:rsidRPr="003156CA">
        <w:t>“</w:t>
      </w:r>
      <w:r w:rsidRPr="003156CA">
        <w:t>захисне розслідування</w:t>
      </w:r>
      <w:r w:rsidR="008F7AAA" w:rsidRPr="003156CA">
        <w:t>”</w:t>
      </w:r>
      <w:r w:rsidRPr="003156CA">
        <w:t xml:space="preserve">, слова </w:t>
      </w:r>
      <w:r w:rsidR="008F7AAA" w:rsidRPr="003156CA">
        <w:t>“</w:t>
      </w:r>
      <w:r w:rsidRPr="003156CA">
        <w:t>спеціальне мито</w:t>
      </w:r>
      <w:r w:rsidR="008F7AAA" w:rsidRPr="003156CA">
        <w:t>”</w:t>
      </w:r>
      <w:r w:rsidRPr="003156CA">
        <w:t xml:space="preserve"> на </w:t>
      </w:r>
      <w:r w:rsidR="008F7AAA" w:rsidRPr="003156CA">
        <w:t>“</w:t>
      </w:r>
      <w:r w:rsidRPr="003156CA">
        <w:t>захисне мито</w:t>
      </w:r>
      <w:r w:rsidR="008F7AAA" w:rsidRPr="003156CA">
        <w:t>”</w:t>
      </w:r>
      <w:r w:rsidRPr="003156CA">
        <w:t xml:space="preserve"> та слова </w:t>
      </w:r>
      <w:r w:rsidR="008F7AAA" w:rsidRPr="003156CA">
        <w:t>“</w:t>
      </w:r>
      <w:r w:rsidRPr="003156CA">
        <w:t>спеціальні заходи</w:t>
      </w:r>
      <w:r w:rsidR="008F7AAA" w:rsidRPr="003156CA">
        <w:t>”</w:t>
      </w:r>
      <w:r w:rsidRPr="003156CA">
        <w:t xml:space="preserve"> на </w:t>
      </w:r>
      <w:r w:rsidR="008F7AAA" w:rsidRPr="003156CA">
        <w:t>“</w:t>
      </w:r>
      <w:r w:rsidRPr="003156CA">
        <w:t>захисні заходи</w:t>
      </w:r>
      <w:r w:rsidR="008F7AAA" w:rsidRPr="003156CA">
        <w:t>”</w:t>
      </w:r>
      <w:r w:rsidRPr="003156CA">
        <w:t>.</w:t>
      </w:r>
    </w:p>
    <w:p w14:paraId="025BD99D" w14:textId="2D878493" w:rsidR="008F7AAA" w:rsidRPr="003156CA" w:rsidRDefault="00C02C84" w:rsidP="008F7AAA">
      <w:pPr>
        <w:spacing w:after="0" w:line="360" w:lineRule="auto"/>
        <w:ind w:firstLine="709"/>
        <w:jc w:val="both"/>
      </w:pPr>
      <w:r w:rsidRPr="003156CA">
        <w:t>Про</w:t>
      </w:r>
      <w:r w:rsidR="00F07E6C">
        <w:t>е</w:t>
      </w:r>
      <w:r w:rsidRPr="003156CA">
        <w:t xml:space="preserve">кт Закону розроблено з метою врахування інтересів усіх заінтересованих сторін в умовах змін економічного середовища, оскільки  вітчизняні товаровиробники, імпортери та споживачі (користувачі), </w:t>
      </w:r>
      <w:r w:rsidR="008F7AAA" w:rsidRPr="003156CA">
        <w:t>включаючи</w:t>
      </w:r>
      <w:r w:rsidRPr="003156CA">
        <w:t xml:space="preserve"> великі компанії</w:t>
      </w:r>
      <w:r w:rsidR="008F7AAA" w:rsidRPr="003156CA">
        <w:t xml:space="preserve">, </w:t>
      </w:r>
      <w:r w:rsidRPr="003156CA">
        <w:t xml:space="preserve">малі та середні підприємства, повинні мати зручні та ефективні інструменти </w:t>
      </w:r>
      <w:r w:rsidR="008F7AAA" w:rsidRPr="003156CA">
        <w:t xml:space="preserve">торговельного захисту </w:t>
      </w:r>
      <w:r w:rsidRPr="003156CA">
        <w:t>у своєму розпорядженні, коли вони стикаються з недобросовісн</w:t>
      </w:r>
      <w:r w:rsidR="008F7AAA" w:rsidRPr="003156CA">
        <w:t xml:space="preserve">им або зростаючим імпортом, </w:t>
      </w:r>
      <w:r w:rsidR="008F7AAA" w:rsidRPr="003156CA">
        <w:rPr>
          <w:szCs w:val="28"/>
        </w:rPr>
        <w:t>що заподіює їм істотну шкоду або загрожує заподіянням такої шкоди.</w:t>
      </w:r>
    </w:p>
    <w:p w14:paraId="18B81D3A" w14:textId="50C8773C" w:rsidR="00EC4746" w:rsidRPr="003156CA" w:rsidRDefault="008D42ED" w:rsidP="00126F3F">
      <w:pPr>
        <w:numPr>
          <w:ilvl w:val="0"/>
          <w:numId w:val="3"/>
        </w:numPr>
        <w:tabs>
          <w:tab w:val="left" w:pos="851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Cs w:val="28"/>
          <w:lang w:eastAsia="uk-UA"/>
        </w:rPr>
      </w:pPr>
      <w:r w:rsidRPr="008D42ED">
        <w:rPr>
          <w:rFonts w:cs="Times New Roman"/>
          <w:b/>
          <w:bCs/>
          <w:color w:val="000000"/>
          <w:szCs w:val="28"/>
          <w:lang w:eastAsia="uk-UA"/>
        </w:rPr>
        <w:lastRenderedPageBreak/>
        <w:t>Фінансово-економічне обґрунтування законопроекту</w:t>
      </w:r>
    </w:p>
    <w:p w14:paraId="6A45EE98" w14:textId="77777777" w:rsidR="00EC4746" w:rsidRPr="003156CA" w:rsidRDefault="00EC4746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 xml:space="preserve">Реалізація Закону </w:t>
      </w:r>
      <w:r w:rsidR="005168B0" w:rsidRPr="003156CA">
        <w:t xml:space="preserve">України </w:t>
      </w:r>
      <w:r w:rsidR="008F7AAA" w:rsidRPr="003156CA">
        <w:rPr>
          <w:lang w:val="ru-RU"/>
        </w:rPr>
        <w:t>“</w:t>
      </w:r>
      <w:r w:rsidR="005168B0" w:rsidRPr="003156CA">
        <w:t>Про внесення змін до деяких законодавчих актів у сфері торговельного захисту</w:t>
      </w:r>
      <w:r w:rsidR="008F7AAA" w:rsidRPr="003156CA">
        <w:rPr>
          <w:lang w:val="ru-RU"/>
        </w:rPr>
        <w:t>”</w:t>
      </w:r>
      <w:r w:rsidR="003D64BB" w:rsidRPr="003156CA">
        <w:t xml:space="preserve"> </w:t>
      </w:r>
      <w:r w:rsidRPr="003156CA">
        <w:rPr>
          <w:rFonts w:cs="Times New Roman"/>
          <w:color w:val="000000"/>
          <w:szCs w:val="28"/>
          <w:lang w:eastAsia="uk-UA"/>
        </w:rPr>
        <w:t xml:space="preserve">не потребуватиме додаткових витрат з </w:t>
      </w:r>
      <w:r w:rsidR="008F7AAA" w:rsidRPr="003156CA">
        <w:rPr>
          <w:rFonts w:cs="Times New Roman"/>
          <w:color w:val="000000"/>
          <w:szCs w:val="28"/>
          <w:lang w:eastAsia="uk-UA"/>
        </w:rPr>
        <w:t xml:space="preserve">Державного </w:t>
      </w:r>
      <w:r w:rsidRPr="003156CA">
        <w:rPr>
          <w:rFonts w:cs="Times New Roman"/>
          <w:color w:val="000000"/>
          <w:szCs w:val="28"/>
          <w:lang w:eastAsia="uk-UA"/>
        </w:rPr>
        <w:t xml:space="preserve">та місцевих бюджетів. </w:t>
      </w:r>
    </w:p>
    <w:p w14:paraId="17DF3ABA" w14:textId="77777777" w:rsidR="00EC4746" w:rsidRPr="003156CA" w:rsidRDefault="00EC4746" w:rsidP="00126F3F">
      <w:pPr>
        <w:numPr>
          <w:ilvl w:val="0"/>
          <w:numId w:val="3"/>
        </w:numPr>
        <w:tabs>
          <w:tab w:val="left" w:pos="851"/>
          <w:tab w:val="num" w:pos="1134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Cs w:val="28"/>
          <w:lang w:eastAsia="uk-UA"/>
        </w:rPr>
      </w:pPr>
      <w:r w:rsidRPr="003156CA">
        <w:rPr>
          <w:rFonts w:cs="Times New Roman"/>
          <w:b/>
          <w:bCs/>
          <w:color w:val="000000"/>
          <w:szCs w:val="28"/>
          <w:lang w:eastAsia="uk-UA"/>
        </w:rPr>
        <w:t>Позиція заінтересованих сторін</w:t>
      </w:r>
    </w:p>
    <w:p w14:paraId="69DCAE8F" w14:textId="77777777" w:rsidR="00EC4746" w:rsidRPr="003156CA" w:rsidRDefault="00EC4746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 xml:space="preserve">Реалізація Закону </w:t>
      </w:r>
      <w:r w:rsidR="00100E0D" w:rsidRPr="003156CA">
        <w:t xml:space="preserve">України </w:t>
      </w:r>
      <w:r w:rsidR="008F7AAA" w:rsidRPr="003156CA">
        <w:t>“</w:t>
      </w:r>
      <w:r w:rsidR="00100E0D" w:rsidRPr="003156CA">
        <w:t>Про внесення змін до деяких законодавчих актів у сфері торговельного захисту</w:t>
      </w:r>
      <w:r w:rsidR="008F7AAA" w:rsidRPr="003156CA">
        <w:t>”</w:t>
      </w:r>
      <w:r w:rsidR="00100E0D" w:rsidRPr="003156CA">
        <w:t xml:space="preserve"> </w:t>
      </w:r>
      <w:r w:rsidRPr="003156CA">
        <w:rPr>
          <w:rFonts w:cs="Times New Roman"/>
          <w:color w:val="000000"/>
          <w:szCs w:val="28"/>
          <w:lang w:eastAsia="uk-UA"/>
        </w:rPr>
        <w:t>матиме вплив на ключові інтереси вітчизняних підприємств, що є національними виробниками товарів та тих, що здійснюють експорт/імпорт товарів, а також іноземних контрагентів, що здійснюють експорт/імпорт товарів на митну територію України за демпінговими цінами.</w:t>
      </w:r>
      <w:r w:rsidR="008F7AAA" w:rsidRPr="003156CA">
        <w:rPr>
          <w:rFonts w:cs="Times New Roman"/>
          <w:color w:val="000000"/>
          <w:szCs w:val="28"/>
          <w:lang w:eastAsia="uk-UA"/>
        </w:rPr>
        <w:t xml:space="preserve"> </w:t>
      </w:r>
    </w:p>
    <w:p w14:paraId="52219E9B" w14:textId="77777777" w:rsidR="00EC4746" w:rsidRPr="003156CA" w:rsidRDefault="00EC4746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 w:themeColor="text1"/>
          <w:szCs w:val="28"/>
          <w:lang w:val="ru-RU" w:eastAsia="uk-UA"/>
        </w:rPr>
      </w:pPr>
      <w:r w:rsidRPr="003156CA">
        <w:rPr>
          <w:rFonts w:cs="Times New Roman"/>
          <w:color w:val="000000" w:themeColor="text1"/>
          <w:szCs w:val="28"/>
          <w:lang w:eastAsia="uk-UA"/>
        </w:rPr>
        <w:t>Прогноз впливу реалізації Закону</w:t>
      </w:r>
      <w:r w:rsidR="00100E0D" w:rsidRPr="003156CA">
        <w:t xml:space="preserve"> України </w:t>
      </w:r>
      <w:r w:rsidR="008F7AAA" w:rsidRPr="003156CA">
        <w:rPr>
          <w:lang w:val="ru-RU"/>
        </w:rPr>
        <w:t>“</w:t>
      </w:r>
      <w:r w:rsidR="00100E0D" w:rsidRPr="003156CA">
        <w:t>Про внесення змін до деяких законодавчих актів у сфері торговельного захисту</w:t>
      </w:r>
      <w:r w:rsidR="008F7AAA" w:rsidRPr="003156CA">
        <w:rPr>
          <w:lang w:val="ru-RU"/>
        </w:rPr>
        <w:t>”</w:t>
      </w:r>
      <w:r w:rsidR="00100E0D" w:rsidRPr="003156CA">
        <w:t xml:space="preserve"> </w:t>
      </w:r>
      <w:r w:rsidRPr="003156CA">
        <w:rPr>
          <w:rFonts w:cs="Times New Roman"/>
          <w:color w:val="000000" w:themeColor="text1"/>
          <w:szCs w:val="28"/>
          <w:lang w:eastAsia="uk-UA"/>
        </w:rPr>
        <w:t>на ключові інтереси заінтересованих сторін додається.</w:t>
      </w:r>
    </w:p>
    <w:p w14:paraId="6ECE8768" w14:textId="77777777" w:rsidR="00EC4746" w:rsidRPr="003156CA" w:rsidRDefault="00EC4746" w:rsidP="00126F3F">
      <w:pPr>
        <w:numPr>
          <w:ilvl w:val="0"/>
          <w:numId w:val="3"/>
        </w:numPr>
        <w:tabs>
          <w:tab w:val="left" w:pos="851"/>
          <w:tab w:val="num" w:pos="1134"/>
          <w:tab w:val="num" w:pos="127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Cs w:val="28"/>
          <w:lang w:eastAsia="uk-UA"/>
        </w:rPr>
      </w:pPr>
      <w:r w:rsidRPr="003156CA">
        <w:rPr>
          <w:rFonts w:cs="Times New Roman"/>
          <w:b/>
          <w:bCs/>
          <w:color w:val="000000"/>
          <w:szCs w:val="28"/>
          <w:lang w:eastAsia="uk-UA"/>
        </w:rPr>
        <w:t>Прогноз впливу</w:t>
      </w:r>
    </w:p>
    <w:p w14:paraId="042D9E97" w14:textId="15FBFC1B" w:rsidR="00EC4746" w:rsidRPr="003156CA" w:rsidRDefault="00EC4746" w:rsidP="008D73D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 xml:space="preserve">Прийняття цього </w:t>
      </w:r>
      <w:r w:rsidR="008F7AAA" w:rsidRPr="003156CA">
        <w:rPr>
          <w:rFonts w:cs="Times New Roman"/>
          <w:color w:val="000000"/>
          <w:szCs w:val="28"/>
          <w:lang w:eastAsia="uk-UA"/>
        </w:rPr>
        <w:t>про</w:t>
      </w:r>
      <w:r w:rsidR="00DE027A">
        <w:rPr>
          <w:rFonts w:cs="Times New Roman"/>
          <w:color w:val="000000"/>
          <w:szCs w:val="28"/>
          <w:lang w:eastAsia="uk-UA"/>
        </w:rPr>
        <w:t>е</w:t>
      </w:r>
      <w:r w:rsidR="008F7AAA" w:rsidRPr="003156CA">
        <w:rPr>
          <w:rFonts w:cs="Times New Roman"/>
          <w:color w:val="000000"/>
          <w:szCs w:val="28"/>
          <w:lang w:eastAsia="uk-UA"/>
        </w:rPr>
        <w:t xml:space="preserve">кту Закону </w:t>
      </w:r>
      <w:r w:rsidRPr="003156CA">
        <w:rPr>
          <w:rFonts w:cs="Times New Roman"/>
          <w:color w:val="000000"/>
          <w:szCs w:val="28"/>
          <w:lang w:eastAsia="uk-UA"/>
        </w:rPr>
        <w:t xml:space="preserve">дозволить </w:t>
      </w:r>
      <w:r w:rsidR="00A32A23" w:rsidRPr="003156CA">
        <w:rPr>
          <w:rFonts w:cs="Times New Roman"/>
          <w:color w:val="000000"/>
          <w:szCs w:val="28"/>
          <w:lang w:eastAsia="uk-UA"/>
        </w:rPr>
        <w:t>узгоди</w:t>
      </w:r>
      <w:r w:rsidRPr="003156CA">
        <w:rPr>
          <w:rFonts w:cs="Times New Roman"/>
          <w:color w:val="000000"/>
          <w:szCs w:val="28"/>
          <w:lang w:eastAsia="uk-UA"/>
        </w:rPr>
        <w:t xml:space="preserve">ти </w:t>
      </w:r>
      <w:r w:rsidR="00A32A23" w:rsidRPr="003156CA">
        <w:rPr>
          <w:rFonts w:cs="Times New Roman"/>
          <w:color w:val="000000"/>
          <w:szCs w:val="28"/>
          <w:lang w:eastAsia="uk-UA"/>
        </w:rPr>
        <w:t xml:space="preserve">понятійний апарат </w:t>
      </w:r>
      <w:r w:rsidR="00A32A23" w:rsidRPr="003156CA">
        <w:rPr>
          <w:szCs w:val="28"/>
        </w:rPr>
        <w:t xml:space="preserve">та попередити виникнення колізій у законодавстві </w:t>
      </w:r>
      <w:r w:rsidRPr="003156CA">
        <w:rPr>
          <w:rFonts w:cs="Times New Roman"/>
          <w:color w:val="000000"/>
          <w:szCs w:val="28"/>
          <w:lang w:eastAsia="uk-UA"/>
        </w:rPr>
        <w:t xml:space="preserve">у сфері проведення </w:t>
      </w:r>
      <w:r w:rsidR="008F7AAA" w:rsidRPr="003156CA">
        <w:rPr>
          <w:szCs w:val="28"/>
        </w:rPr>
        <w:t xml:space="preserve">антидемпінгових, антисубсидиційних, захисних </w:t>
      </w:r>
      <w:r w:rsidRPr="003156CA">
        <w:rPr>
          <w:rFonts w:cs="Times New Roman"/>
          <w:color w:val="000000"/>
          <w:szCs w:val="28"/>
          <w:lang w:eastAsia="uk-UA"/>
        </w:rPr>
        <w:t>розслідувань, зокрема:</w:t>
      </w:r>
    </w:p>
    <w:p w14:paraId="6529B96E" w14:textId="77777777" w:rsidR="00EC283B" w:rsidRPr="003156CA" w:rsidRDefault="00EC283B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>удосконалить нормативно-правову базу;</w:t>
      </w:r>
    </w:p>
    <w:p w14:paraId="0CBBA21B" w14:textId="77777777" w:rsidR="00A32A23" w:rsidRPr="003156CA" w:rsidRDefault="00A32A23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>підвищить ефективність проведення антидемпінгових, антисубсидиційних, захисних розслідувань або переглядів</w:t>
      </w:r>
      <w:r w:rsidR="00EC283B" w:rsidRPr="003156CA">
        <w:rPr>
          <w:rFonts w:cs="Times New Roman"/>
          <w:color w:val="000000"/>
          <w:szCs w:val="28"/>
          <w:lang w:eastAsia="uk-UA"/>
        </w:rPr>
        <w:t>;</w:t>
      </w:r>
      <w:r w:rsidRPr="003156CA">
        <w:rPr>
          <w:rFonts w:cs="Times New Roman"/>
          <w:color w:val="000000"/>
          <w:szCs w:val="28"/>
          <w:lang w:eastAsia="uk-UA"/>
        </w:rPr>
        <w:t xml:space="preserve"> </w:t>
      </w:r>
    </w:p>
    <w:p w14:paraId="1546A3ED" w14:textId="77777777" w:rsidR="00A32A23" w:rsidRPr="003156CA" w:rsidRDefault="00A32A23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>зміцнить економічну надійність державного регулювання в цілому</w:t>
      </w:r>
      <w:r w:rsidR="00EC283B" w:rsidRPr="003156CA">
        <w:rPr>
          <w:rFonts w:cs="Times New Roman"/>
          <w:color w:val="000000"/>
          <w:szCs w:val="28"/>
          <w:lang w:eastAsia="uk-UA"/>
        </w:rPr>
        <w:t>;</w:t>
      </w:r>
    </w:p>
    <w:p w14:paraId="520B84D4" w14:textId="77777777" w:rsidR="00EC4746" w:rsidRPr="003156CA" w:rsidRDefault="00EC4746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>підвищить передбачуваність для усіх заінтересованих сторін</w:t>
      </w:r>
      <w:r w:rsidR="00EC283B" w:rsidRPr="003156CA">
        <w:rPr>
          <w:rFonts w:cs="Times New Roman"/>
          <w:color w:val="000000"/>
          <w:szCs w:val="28"/>
          <w:lang w:eastAsia="uk-UA"/>
        </w:rPr>
        <w:t>.</w:t>
      </w:r>
    </w:p>
    <w:p w14:paraId="1EF388AB" w14:textId="3E20ED89" w:rsidR="00EC4746" w:rsidRPr="003156CA" w:rsidRDefault="00EC4746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>Про</w:t>
      </w:r>
      <w:r w:rsidR="00DE027A">
        <w:rPr>
          <w:rFonts w:cs="Times New Roman"/>
          <w:color w:val="000000"/>
          <w:szCs w:val="28"/>
          <w:lang w:eastAsia="uk-UA"/>
        </w:rPr>
        <w:t>е</w:t>
      </w:r>
      <w:r w:rsidRPr="003156CA">
        <w:rPr>
          <w:rFonts w:cs="Times New Roman"/>
          <w:color w:val="000000"/>
          <w:szCs w:val="28"/>
          <w:lang w:eastAsia="uk-UA"/>
        </w:rPr>
        <w:t xml:space="preserve">кт Закону </w:t>
      </w:r>
      <w:r w:rsidR="00A56CE2" w:rsidRPr="003156CA">
        <w:rPr>
          <w:rFonts w:cs="Times New Roman"/>
          <w:color w:val="000000"/>
          <w:szCs w:val="28"/>
          <w:lang w:eastAsia="uk-UA"/>
        </w:rPr>
        <w:t>не являється</w:t>
      </w:r>
      <w:r w:rsidRPr="003156CA">
        <w:rPr>
          <w:rFonts w:cs="Times New Roman"/>
          <w:color w:val="000000"/>
          <w:szCs w:val="28"/>
          <w:lang w:eastAsia="uk-UA"/>
        </w:rPr>
        <w:t xml:space="preserve"> регуляторним актом та </w:t>
      </w:r>
      <w:r w:rsidR="00A56CE2" w:rsidRPr="003156CA">
        <w:rPr>
          <w:rFonts w:cs="Times New Roman"/>
          <w:color w:val="000000"/>
          <w:szCs w:val="28"/>
          <w:lang w:eastAsia="uk-UA"/>
        </w:rPr>
        <w:t xml:space="preserve">не </w:t>
      </w:r>
      <w:r w:rsidRPr="003156CA">
        <w:rPr>
          <w:rFonts w:cs="Times New Roman"/>
          <w:color w:val="000000"/>
          <w:szCs w:val="28"/>
          <w:lang w:eastAsia="uk-UA"/>
        </w:rPr>
        <w:t xml:space="preserve">потребує проходження процедур, передбачених Законом України </w:t>
      </w:r>
      <w:r w:rsidR="008F7AAA" w:rsidRPr="003156CA">
        <w:rPr>
          <w:lang w:val="ru-RU"/>
        </w:rPr>
        <w:t>“</w:t>
      </w:r>
      <w:r w:rsidRPr="003156CA">
        <w:rPr>
          <w:rFonts w:cs="Times New Roman"/>
          <w:color w:val="000000"/>
          <w:szCs w:val="28"/>
          <w:lang w:eastAsia="uk-UA"/>
        </w:rPr>
        <w:t>Про засади державної регуляторної політики у сфері господарської діяльності</w:t>
      </w:r>
      <w:r w:rsidR="008F7AAA" w:rsidRPr="003156CA">
        <w:rPr>
          <w:lang w:val="ru-RU"/>
        </w:rPr>
        <w:t>”</w:t>
      </w:r>
      <w:r w:rsidRPr="003156CA">
        <w:rPr>
          <w:rFonts w:cs="Times New Roman"/>
          <w:color w:val="000000"/>
          <w:szCs w:val="28"/>
          <w:lang w:eastAsia="uk-UA"/>
        </w:rPr>
        <w:t>.</w:t>
      </w:r>
    </w:p>
    <w:p w14:paraId="7FCEBED1" w14:textId="528F1A96" w:rsidR="00EC4746" w:rsidRPr="003156CA" w:rsidRDefault="00EC4746" w:rsidP="00126F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cs="Times New Roman"/>
          <w:color w:val="000000"/>
          <w:szCs w:val="28"/>
          <w:lang w:eastAsia="uk-UA"/>
        </w:rPr>
      </w:pPr>
      <w:r w:rsidRPr="003156CA">
        <w:rPr>
          <w:rFonts w:cs="Times New Roman"/>
          <w:color w:val="000000"/>
          <w:szCs w:val="28"/>
          <w:lang w:eastAsia="uk-UA"/>
        </w:rPr>
        <w:t>В про</w:t>
      </w:r>
      <w:r w:rsidR="00DE027A">
        <w:rPr>
          <w:rFonts w:cs="Times New Roman"/>
          <w:color w:val="000000"/>
          <w:szCs w:val="28"/>
          <w:lang w:eastAsia="uk-UA"/>
        </w:rPr>
        <w:t>е</w:t>
      </w:r>
      <w:r w:rsidRPr="003156CA">
        <w:rPr>
          <w:rFonts w:cs="Times New Roman"/>
          <w:color w:val="000000"/>
          <w:szCs w:val="28"/>
          <w:lang w:eastAsia="uk-UA"/>
        </w:rPr>
        <w:t xml:space="preserve">кті Закону відсутні положення щодо впливу його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</w:t>
      </w:r>
      <w:r w:rsidRPr="003156CA">
        <w:rPr>
          <w:rFonts w:cs="Times New Roman"/>
          <w:color w:val="000000"/>
          <w:szCs w:val="28"/>
          <w:lang w:eastAsia="uk-UA"/>
        </w:rPr>
        <w:lastRenderedPageBreak/>
        <w:t xml:space="preserve">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397B48B2" w14:textId="77777777" w:rsidR="00126F3F" w:rsidRPr="003156CA" w:rsidRDefault="00126F3F" w:rsidP="00126F3F">
      <w:pPr>
        <w:pStyle w:val="1"/>
        <w:keepNext w:val="0"/>
        <w:numPr>
          <w:ilvl w:val="0"/>
          <w:numId w:val="3"/>
        </w:numPr>
        <w:tabs>
          <w:tab w:val="num" w:pos="1276"/>
        </w:tabs>
        <w:spacing w:line="360" w:lineRule="auto"/>
        <w:jc w:val="both"/>
      </w:pPr>
      <w:r w:rsidRPr="003156CA">
        <w:t>Позиція заінтересованих органів</w:t>
      </w:r>
    </w:p>
    <w:p w14:paraId="49A09660" w14:textId="16A09DC6" w:rsidR="00D84AF1" w:rsidRPr="003156CA" w:rsidRDefault="008B77DA" w:rsidP="003156CA">
      <w:pPr>
        <w:spacing w:line="360" w:lineRule="auto"/>
        <w:ind w:firstLine="567"/>
        <w:jc w:val="both"/>
        <w:rPr>
          <w:szCs w:val="28"/>
        </w:rPr>
      </w:pPr>
      <w:r w:rsidRPr="003156CA">
        <w:rPr>
          <w:szCs w:val="28"/>
        </w:rPr>
        <w:t>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 Закону погоджено Міністерством фінансів України, </w:t>
      </w:r>
      <w:r w:rsidRPr="003156CA">
        <w:rPr>
          <w:bCs/>
        </w:rPr>
        <w:t>Державною митною службою України</w:t>
      </w:r>
      <w:r w:rsidRPr="003156CA">
        <w:rPr>
          <w:szCs w:val="28"/>
        </w:rPr>
        <w:t xml:space="preserve"> та надано висновок Міністерства юстиції України.</w:t>
      </w:r>
    </w:p>
    <w:p w14:paraId="30B5C62E" w14:textId="7BF1316D" w:rsidR="00126F3F" w:rsidRPr="003156CA" w:rsidRDefault="00126F3F" w:rsidP="00126F3F">
      <w:pPr>
        <w:pStyle w:val="1"/>
        <w:keepNext w:val="0"/>
        <w:numPr>
          <w:ilvl w:val="0"/>
          <w:numId w:val="3"/>
        </w:numPr>
        <w:tabs>
          <w:tab w:val="num" w:pos="1276"/>
        </w:tabs>
        <w:spacing w:line="360" w:lineRule="auto"/>
        <w:jc w:val="both"/>
      </w:pPr>
      <w:r w:rsidRPr="003156CA">
        <w:t>Підстава розроблення про</w:t>
      </w:r>
      <w:r w:rsidR="00DE027A">
        <w:t>е</w:t>
      </w:r>
      <w:r w:rsidRPr="003156CA">
        <w:t>кту акта</w:t>
      </w:r>
    </w:p>
    <w:p w14:paraId="48809C5E" w14:textId="1BD90717" w:rsidR="008B77DA" w:rsidRPr="003156CA" w:rsidRDefault="008B77DA" w:rsidP="008B77DA">
      <w:pPr>
        <w:spacing w:after="0" w:line="360" w:lineRule="auto"/>
        <w:ind w:firstLine="562"/>
        <w:jc w:val="both"/>
        <w:rPr>
          <w:szCs w:val="28"/>
        </w:rPr>
      </w:pPr>
      <w:r w:rsidRPr="003156CA">
        <w:rPr>
          <w:szCs w:val="28"/>
        </w:rPr>
        <w:t>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 Закону України </w:t>
      </w:r>
      <w:r w:rsidRPr="003156CA">
        <w:t>“</w:t>
      </w:r>
      <w:r w:rsidRPr="003156CA">
        <w:rPr>
          <w:szCs w:val="28"/>
        </w:rPr>
        <w:t>Про внесення змін до деяких законодавчих актів у сфері торговельного захисту</w:t>
      </w:r>
      <w:r w:rsidRPr="003156CA">
        <w:t>”</w:t>
      </w:r>
      <w:r w:rsidRPr="003156CA">
        <w:rPr>
          <w:szCs w:val="28"/>
        </w:rPr>
        <w:t xml:space="preserve"> є системно пов’язаним із про</w:t>
      </w:r>
      <w:r w:rsidR="00DE027A">
        <w:rPr>
          <w:szCs w:val="28"/>
        </w:rPr>
        <w:t>е</w:t>
      </w:r>
      <w:r w:rsidRPr="003156CA">
        <w:rPr>
          <w:szCs w:val="28"/>
        </w:rPr>
        <w:t xml:space="preserve">ктами Законів України </w:t>
      </w:r>
      <w:r w:rsidRPr="003156CA">
        <w:t>“</w:t>
      </w:r>
      <w:r w:rsidRPr="003156CA">
        <w:rPr>
          <w:szCs w:val="28"/>
        </w:rPr>
        <w:t>Про захист від демпінгового імпорту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захист від субсидованого імпорту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захисні заходи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внесення змін до Митного кодексу України (щодо торговельного захисту)</w:t>
      </w:r>
      <w:r w:rsidRPr="003156CA">
        <w:t>”</w:t>
      </w:r>
      <w:r w:rsidRPr="003156CA">
        <w:rPr>
          <w:szCs w:val="28"/>
        </w:rPr>
        <w:t>, а тому розгляд і прийняття цих про</w:t>
      </w:r>
      <w:r w:rsidR="00DE027A">
        <w:rPr>
          <w:szCs w:val="28"/>
        </w:rPr>
        <w:t>е</w:t>
      </w:r>
      <w:r w:rsidRPr="003156CA">
        <w:rPr>
          <w:szCs w:val="28"/>
        </w:rPr>
        <w:t>ктів має відбуватися одночасно.</w:t>
      </w:r>
    </w:p>
    <w:p w14:paraId="08FB8AD5" w14:textId="77777777" w:rsidR="008B77DA" w:rsidRPr="003156CA" w:rsidRDefault="008B77DA" w:rsidP="00126F3F">
      <w:pPr>
        <w:spacing w:after="0" w:line="360" w:lineRule="auto"/>
        <w:ind w:firstLine="709"/>
        <w:jc w:val="both"/>
      </w:pPr>
    </w:p>
    <w:p w14:paraId="7A6A856A" w14:textId="77777777" w:rsidR="004451FF" w:rsidRPr="004451FF" w:rsidRDefault="004451FF" w:rsidP="004451FF">
      <w:pPr>
        <w:autoSpaceDE w:val="0"/>
        <w:autoSpaceDN w:val="0"/>
        <w:spacing w:after="0" w:line="360" w:lineRule="auto"/>
        <w:ind w:firstLine="561"/>
        <w:jc w:val="both"/>
        <w:rPr>
          <w:szCs w:val="28"/>
        </w:rPr>
      </w:pPr>
    </w:p>
    <w:tbl>
      <w:tblPr>
        <w:tblW w:w="9072" w:type="dxa"/>
        <w:tblInd w:w="562" w:type="dxa"/>
        <w:tblLook w:val="01E0" w:firstRow="1" w:lastRow="1" w:firstColumn="1" w:lastColumn="1" w:noHBand="0" w:noVBand="0"/>
      </w:tblPr>
      <w:tblGrid>
        <w:gridCol w:w="4967"/>
        <w:gridCol w:w="3543"/>
        <w:gridCol w:w="562"/>
      </w:tblGrid>
      <w:tr w:rsidR="004451FF" w:rsidRPr="004451FF" w14:paraId="15B7CB56" w14:textId="77777777" w:rsidTr="00B77C42">
        <w:trPr>
          <w:trHeight w:val="609"/>
        </w:trPr>
        <w:tc>
          <w:tcPr>
            <w:tcW w:w="4967" w:type="dxa"/>
          </w:tcPr>
          <w:p w14:paraId="638D3894" w14:textId="2376D7C6" w:rsidR="004451FF" w:rsidRPr="004451FF" w:rsidRDefault="004451FF" w:rsidP="00B77C42">
            <w:pPr>
              <w:shd w:val="clear" w:color="auto" w:fill="FFFFFF"/>
              <w:spacing w:line="240" w:lineRule="atLeast"/>
              <w:textAlignment w:val="baseline"/>
              <w:outlineLvl w:val="1"/>
            </w:pPr>
          </w:p>
        </w:tc>
        <w:tc>
          <w:tcPr>
            <w:tcW w:w="3543" w:type="dxa"/>
          </w:tcPr>
          <w:p w14:paraId="3BC07662" w14:textId="182D788F" w:rsidR="004451FF" w:rsidRPr="004451FF" w:rsidRDefault="004451FF" w:rsidP="00B77C42">
            <w:pPr>
              <w:shd w:val="clear" w:color="auto" w:fill="FFFFFF"/>
              <w:spacing w:line="240" w:lineRule="atLeast"/>
              <w:ind w:firstLine="187"/>
              <w:textAlignment w:val="baseline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562" w:type="dxa"/>
          </w:tcPr>
          <w:p w14:paraId="618A67AA" w14:textId="57489FF6" w:rsidR="004451FF" w:rsidRPr="004451FF" w:rsidRDefault="004451FF" w:rsidP="00B77C42">
            <w:pPr>
              <w:ind w:left="-276" w:firstLine="141"/>
              <w:rPr>
                <w:rFonts w:cs="Times New Roman"/>
                <w:b/>
                <w:bCs/>
                <w:szCs w:val="28"/>
              </w:rPr>
            </w:pPr>
          </w:p>
        </w:tc>
      </w:tr>
    </w:tbl>
    <w:p w14:paraId="531DF5C5" w14:textId="77777777" w:rsidR="00A22A57" w:rsidRPr="004451FF" w:rsidRDefault="00A22A57" w:rsidP="008D73D7">
      <w:pPr>
        <w:spacing w:after="0" w:line="240" w:lineRule="auto"/>
        <w:rPr>
          <w:b/>
        </w:rPr>
      </w:pPr>
    </w:p>
    <w:p w14:paraId="3F6A728A" w14:textId="77777777" w:rsidR="00A22A57" w:rsidRPr="003156CA" w:rsidRDefault="00A22A57" w:rsidP="008D73D7">
      <w:pPr>
        <w:spacing w:after="0" w:line="240" w:lineRule="auto"/>
        <w:rPr>
          <w:b/>
          <w:color w:val="000000"/>
        </w:rPr>
        <w:sectPr w:rsidR="00A22A57" w:rsidRPr="003156CA" w:rsidSect="005168B0">
          <w:headerReference w:type="even" r:id="rId11"/>
          <w:headerReference w:type="default" r:id="rId12"/>
          <w:pgSz w:w="11906" w:h="16838"/>
          <w:pgMar w:top="1276" w:right="567" w:bottom="1276" w:left="1701" w:header="709" w:footer="709" w:gutter="0"/>
          <w:cols w:space="708"/>
          <w:titlePg/>
          <w:docGrid w:linePitch="360"/>
        </w:sectPr>
      </w:pPr>
    </w:p>
    <w:p w14:paraId="71B8E827" w14:textId="77777777" w:rsidR="00A22A57" w:rsidRPr="003156CA" w:rsidRDefault="00A22A57" w:rsidP="00A22A57">
      <w:pPr>
        <w:spacing w:after="0" w:line="240" w:lineRule="auto"/>
        <w:jc w:val="right"/>
        <w:rPr>
          <w:rFonts w:cs="Times New Roman"/>
          <w:szCs w:val="28"/>
        </w:rPr>
      </w:pPr>
      <w:r w:rsidRPr="003156CA">
        <w:rPr>
          <w:rFonts w:cs="Times New Roman"/>
          <w:szCs w:val="28"/>
        </w:rPr>
        <w:lastRenderedPageBreak/>
        <w:t>Додаток</w:t>
      </w:r>
    </w:p>
    <w:p w14:paraId="5DAF2012" w14:textId="3BB2C56D" w:rsidR="00A22A57" w:rsidRPr="003156CA" w:rsidRDefault="00A22A57" w:rsidP="00A22A57">
      <w:pPr>
        <w:spacing w:after="0" w:line="240" w:lineRule="auto"/>
        <w:jc w:val="center"/>
        <w:rPr>
          <w:rFonts w:cs="Times New Roman"/>
          <w:b/>
          <w:szCs w:val="28"/>
        </w:rPr>
      </w:pPr>
      <w:r w:rsidRPr="003156CA">
        <w:rPr>
          <w:rFonts w:cs="Times New Roman"/>
          <w:b/>
          <w:szCs w:val="28"/>
        </w:rPr>
        <w:t>Прогноз впливу</w:t>
      </w:r>
    </w:p>
    <w:p w14:paraId="226E2EC7" w14:textId="6ABDABCF" w:rsidR="00A22A57" w:rsidRPr="003156CA" w:rsidRDefault="00A22A57" w:rsidP="00A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szCs w:val="28"/>
        </w:rPr>
      </w:pPr>
      <w:r w:rsidRPr="003156CA">
        <w:rPr>
          <w:rFonts w:cs="Times New Roman"/>
          <w:b/>
          <w:szCs w:val="28"/>
        </w:rPr>
        <w:t xml:space="preserve">реалізації </w:t>
      </w:r>
      <w:r w:rsidR="008B77DA" w:rsidRPr="003156CA">
        <w:rPr>
          <w:rFonts w:cs="Times New Roman"/>
          <w:b/>
          <w:szCs w:val="28"/>
        </w:rPr>
        <w:t>про</w:t>
      </w:r>
      <w:r w:rsidR="00F07E6C">
        <w:rPr>
          <w:rFonts w:cs="Times New Roman"/>
          <w:b/>
          <w:szCs w:val="28"/>
        </w:rPr>
        <w:t>е</w:t>
      </w:r>
      <w:r w:rsidR="008B77DA" w:rsidRPr="003156CA">
        <w:rPr>
          <w:rFonts w:cs="Times New Roman"/>
          <w:b/>
          <w:szCs w:val="28"/>
        </w:rPr>
        <w:t xml:space="preserve">кту </w:t>
      </w:r>
      <w:r w:rsidRPr="003156CA">
        <w:rPr>
          <w:rFonts w:cs="Times New Roman"/>
          <w:b/>
          <w:szCs w:val="28"/>
        </w:rPr>
        <w:t xml:space="preserve">Закону України </w:t>
      </w:r>
      <w:r w:rsidR="008B77DA" w:rsidRPr="003156CA">
        <w:rPr>
          <w:b/>
          <w:lang w:val="ru-RU"/>
        </w:rPr>
        <w:t>“</w:t>
      </w:r>
      <w:r w:rsidRPr="003156CA">
        <w:rPr>
          <w:rFonts w:cs="Times New Roman"/>
          <w:b/>
          <w:szCs w:val="28"/>
        </w:rPr>
        <w:t xml:space="preserve">Про внесення змін до деяких законодавчих актів </w:t>
      </w:r>
    </w:p>
    <w:p w14:paraId="780552C5" w14:textId="68FD6EE5" w:rsidR="00A22A57" w:rsidRPr="003156CA" w:rsidRDefault="00A22A57" w:rsidP="00A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szCs w:val="28"/>
        </w:rPr>
      </w:pPr>
      <w:r w:rsidRPr="003156CA">
        <w:rPr>
          <w:rFonts w:cs="Times New Roman"/>
          <w:b/>
          <w:szCs w:val="28"/>
        </w:rPr>
        <w:t>у сфері торговельного захисту</w:t>
      </w:r>
      <w:r w:rsidR="008B77DA" w:rsidRPr="003156CA">
        <w:rPr>
          <w:b/>
          <w:lang w:val="ru-RU"/>
        </w:rPr>
        <w:t>”</w:t>
      </w:r>
      <w:r w:rsidRPr="003156CA">
        <w:rPr>
          <w:rFonts w:cs="Times New Roman"/>
          <w:b/>
          <w:szCs w:val="28"/>
        </w:rPr>
        <w:t xml:space="preserve"> (далі </w:t>
      </w:r>
      <w:r w:rsidR="008B77DA" w:rsidRPr="003156CA">
        <w:rPr>
          <w:rFonts w:cs="Times New Roman"/>
          <w:b/>
          <w:szCs w:val="28"/>
        </w:rPr>
        <w:t>–</w:t>
      </w:r>
      <w:r w:rsidRPr="003156CA">
        <w:rPr>
          <w:rFonts w:cs="Times New Roman"/>
          <w:b/>
          <w:szCs w:val="28"/>
        </w:rPr>
        <w:t xml:space="preserve"> </w:t>
      </w:r>
      <w:r w:rsidR="008B77DA" w:rsidRPr="003156CA">
        <w:rPr>
          <w:rFonts w:cs="Times New Roman"/>
          <w:b/>
          <w:szCs w:val="28"/>
        </w:rPr>
        <w:t>про</w:t>
      </w:r>
      <w:r w:rsidR="00F07E6C">
        <w:rPr>
          <w:rFonts w:cs="Times New Roman"/>
          <w:b/>
          <w:szCs w:val="28"/>
        </w:rPr>
        <w:t>е</w:t>
      </w:r>
      <w:r w:rsidR="008B77DA" w:rsidRPr="003156CA">
        <w:rPr>
          <w:rFonts w:cs="Times New Roman"/>
          <w:b/>
          <w:szCs w:val="28"/>
        </w:rPr>
        <w:t xml:space="preserve">кт </w:t>
      </w:r>
      <w:r w:rsidRPr="003156CA">
        <w:rPr>
          <w:rFonts w:cs="Times New Roman"/>
          <w:b/>
          <w:szCs w:val="28"/>
        </w:rPr>
        <w:t>Закон</w:t>
      </w:r>
      <w:r w:rsidR="008B77DA" w:rsidRPr="003156CA">
        <w:rPr>
          <w:rFonts w:cs="Times New Roman"/>
          <w:b/>
          <w:szCs w:val="28"/>
        </w:rPr>
        <w:t>у</w:t>
      </w:r>
      <w:r w:rsidRPr="003156CA">
        <w:rPr>
          <w:rFonts w:cs="Times New Roman"/>
          <w:b/>
          <w:szCs w:val="28"/>
        </w:rPr>
        <w:t>)</w:t>
      </w:r>
    </w:p>
    <w:p w14:paraId="7F453E88" w14:textId="77777777" w:rsidR="00A22A57" w:rsidRPr="003156CA" w:rsidRDefault="00A22A57" w:rsidP="00A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cs="Times New Roman"/>
          <w:b/>
          <w:szCs w:val="28"/>
        </w:rPr>
      </w:pPr>
    </w:p>
    <w:p w14:paraId="1E7CE80F" w14:textId="1C8C5EFA" w:rsidR="00A22A57" w:rsidRPr="003156CA" w:rsidRDefault="00A22A57" w:rsidP="00A22A57">
      <w:pPr>
        <w:spacing w:after="0" w:line="240" w:lineRule="auto"/>
        <w:ind w:firstLine="709"/>
        <w:rPr>
          <w:rFonts w:cs="Times New Roman"/>
          <w:b/>
          <w:szCs w:val="28"/>
        </w:rPr>
      </w:pPr>
      <w:r w:rsidRPr="003156CA">
        <w:rPr>
          <w:rFonts w:cs="Times New Roman"/>
          <w:b/>
          <w:szCs w:val="28"/>
        </w:rPr>
        <w:t xml:space="preserve">1. Короткий опис суті </w:t>
      </w:r>
      <w:r w:rsidR="00824CF1" w:rsidRPr="003156CA">
        <w:rPr>
          <w:rFonts w:cs="Times New Roman"/>
          <w:b/>
          <w:szCs w:val="28"/>
        </w:rPr>
        <w:t>про</w:t>
      </w:r>
      <w:r w:rsidR="00F07E6C">
        <w:rPr>
          <w:rFonts w:cs="Times New Roman"/>
          <w:b/>
          <w:szCs w:val="28"/>
        </w:rPr>
        <w:t>е</w:t>
      </w:r>
      <w:r w:rsidR="00824CF1" w:rsidRPr="003156CA">
        <w:rPr>
          <w:rFonts w:cs="Times New Roman"/>
          <w:b/>
          <w:szCs w:val="28"/>
        </w:rPr>
        <w:t xml:space="preserve">кту </w:t>
      </w:r>
      <w:r w:rsidRPr="003156CA">
        <w:rPr>
          <w:rFonts w:cs="Times New Roman"/>
          <w:b/>
          <w:szCs w:val="28"/>
        </w:rPr>
        <w:t xml:space="preserve">Закону </w:t>
      </w:r>
    </w:p>
    <w:p w14:paraId="38DF5CA5" w14:textId="77777777" w:rsidR="003E3500" w:rsidRPr="003156CA" w:rsidRDefault="003E3500" w:rsidP="00A22A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56CA">
        <w:rPr>
          <w:szCs w:val="28"/>
        </w:rPr>
        <w:t xml:space="preserve">Необхідність внесення змін до Господарського кодексу України, Господарського процесуального кодексу України, Кодексу адміністративного судочинства України та Закону України </w:t>
      </w:r>
      <w:r w:rsidRPr="003156CA">
        <w:t>“Про зовнішньоекономічну діяльність”</w:t>
      </w:r>
      <w:r w:rsidRPr="003156CA">
        <w:rPr>
          <w:szCs w:val="28"/>
        </w:rPr>
        <w:t xml:space="preserve"> з метою узгодження понятійного апарату та попередження виникнення колізій у законодавстві, враховуючи прийняття Законів України </w:t>
      </w:r>
      <w:r w:rsidRPr="003156CA">
        <w:t>“</w:t>
      </w:r>
      <w:r w:rsidRPr="003156CA">
        <w:rPr>
          <w:szCs w:val="28"/>
        </w:rPr>
        <w:t>Про захист від демпінгового імпорту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захист від субсидованого імпорту</w:t>
      </w:r>
      <w:r w:rsidRPr="003156CA">
        <w:t>”</w:t>
      </w:r>
      <w:r w:rsidRPr="003156CA">
        <w:rPr>
          <w:szCs w:val="28"/>
        </w:rPr>
        <w:t xml:space="preserve">, </w:t>
      </w:r>
      <w:r w:rsidRPr="003156CA">
        <w:t>“</w:t>
      </w:r>
      <w:r w:rsidRPr="003156CA">
        <w:rPr>
          <w:szCs w:val="28"/>
        </w:rPr>
        <w:t>Про захисні заходи</w:t>
      </w:r>
      <w:r w:rsidRPr="003156CA">
        <w:t>” та “</w:t>
      </w:r>
      <w:r w:rsidRPr="003156CA">
        <w:rPr>
          <w:szCs w:val="28"/>
        </w:rPr>
        <w:t>Про внесення змін до Митного кодексу України (щодо торговельного захисту)</w:t>
      </w:r>
      <w:r w:rsidRPr="003156CA">
        <w:t>”.</w:t>
      </w:r>
    </w:p>
    <w:p w14:paraId="6BF1ED92" w14:textId="77777777" w:rsidR="00A22A57" w:rsidRPr="003156CA" w:rsidRDefault="00A22A57" w:rsidP="00A22A57">
      <w:pPr>
        <w:spacing w:after="0" w:line="240" w:lineRule="auto"/>
        <w:ind w:firstLine="709"/>
        <w:rPr>
          <w:rFonts w:cs="Times New Roman"/>
          <w:b/>
          <w:szCs w:val="28"/>
        </w:rPr>
      </w:pPr>
      <w:r w:rsidRPr="003156CA">
        <w:rPr>
          <w:rFonts w:cs="Times New Roman"/>
          <w:b/>
          <w:szCs w:val="28"/>
        </w:rPr>
        <w:t>2. Вплив на ключові інтереси заінтересованих сторін</w:t>
      </w: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3056"/>
        <w:gridCol w:w="2147"/>
        <w:gridCol w:w="2072"/>
        <w:gridCol w:w="10"/>
        <w:gridCol w:w="5473"/>
      </w:tblGrid>
      <w:tr w:rsidR="00A22A57" w:rsidRPr="003156CA" w14:paraId="1E99F542" w14:textId="77777777" w:rsidTr="00120C98">
        <w:tc>
          <w:tcPr>
            <w:tcW w:w="1838" w:type="dxa"/>
            <w:vMerge w:val="restart"/>
          </w:tcPr>
          <w:p w14:paraId="3B33ECC1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56CA">
              <w:rPr>
                <w:rFonts w:ascii="Times New Roman" w:hAnsi="Times New Roman" w:cs="Times New Roman"/>
                <w:b/>
                <w:szCs w:val="28"/>
              </w:rPr>
              <w:t>Заінтересована сторона</w:t>
            </w:r>
          </w:p>
          <w:p w14:paraId="520E858C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1226391C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5F699434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70676F19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4B1DF49D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573DFF7A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007EE05D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1E71F8A0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56" w:type="dxa"/>
            <w:vMerge w:val="restart"/>
          </w:tcPr>
          <w:p w14:paraId="155BC561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56CA">
              <w:rPr>
                <w:rFonts w:ascii="Times New Roman" w:hAnsi="Times New Roman" w:cs="Times New Roman"/>
                <w:b/>
                <w:szCs w:val="28"/>
              </w:rPr>
              <w:t>Ключовий інтерес</w:t>
            </w:r>
          </w:p>
        </w:tc>
        <w:tc>
          <w:tcPr>
            <w:tcW w:w="4229" w:type="dxa"/>
            <w:gridSpan w:val="3"/>
          </w:tcPr>
          <w:p w14:paraId="7CAFE281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56CA">
              <w:rPr>
                <w:rFonts w:ascii="Times New Roman" w:hAnsi="Times New Roman" w:cs="Times New Roman"/>
                <w:b/>
                <w:szCs w:val="28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чи якісному вимірі)</w:t>
            </w:r>
          </w:p>
        </w:tc>
        <w:tc>
          <w:tcPr>
            <w:tcW w:w="5473" w:type="dxa"/>
          </w:tcPr>
          <w:p w14:paraId="02916345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56CA">
              <w:rPr>
                <w:rFonts w:ascii="Times New Roman" w:hAnsi="Times New Roman" w:cs="Times New Roman"/>
                <w:b/>
                <w:szCs w:val="28"/>
              </w:rPr>
              <w:t>Пояснення (чому саме реалізація акту призведе очікуваного впливу)</w:t>
            </w:r>
          </w:p>
        </w:tc>
      </w:tr>
      <w:tr w:rsidR="00A22A57" w:rsidRPr="003156CA" w14:paraId="74F20B82" w14:textId="77777777" w:rsidTr="00120C98">
        <w:tc>
          <w:tcPr>
            <w:tcW w:w="1838" w:type="dxa"/>
            <w:vMerge/>
          </w:tcPr>
          <w:p w14:paraId="13629862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6" w:type="dxa"/>
            <w:vMerge/>
          </w:tcPr>
          <w:p w14:paraId="487CA2F2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7" w:type="dxa"/>
          </w:tcPr>
          <w:p w14:paraId="7083F25B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56CA">
              <w:rPr>
                <w:rFonts w:ascii="Times New Roman" w:hAnsi="Times New Roman" w:cs="Times New Roman"/>
                <w:b/>
                <w:szCs w:val="28"/>
              </w:rPr>
              <w:t>Короткостроковий вплив (до року)</w:t>
            </w:r>
          </w:p>
        </w:tc>
        <w:tc>
          <w:tcPr>
            <w:tcW w:w="2072" w:type="dxa"/>
          </w:tcPr>
          <w:p w14:paraId="10F5821A" w14:textId="77777777" w:rsidR="00A22A57" w:rsidRPr="003156CA" w:rsidRDefault="00A22A57" w:rsidP="00120C9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156CA">
              <w:rPr>
                <w:rFonts w:ascii="Times New Roman" w:hAnsi="Times New Roman" w:cs="Times New Roman"/>
                <w:b/>
                <w:szCs w:val="28"/>
              </w:rPr>
              <w:t xml:space="preserve">Середньостроковий вплив </w:t>
            </w:r>
            <w:r w:rsidRPr="003156CA">
              <w:rPr>
                <w:rFonts w:ascii="Times New Roman" w:hAnsi="Times New Roman" w:cs="Times New Roman"/>
                <w:b/>
                <w:szCs w:val="28"/>
              </w:rPr>
              <w:br/>
              <w:t>(після року)</w:t>
            </w:r>
          </w:p>
        </w:tc>
        <w:tc>
          <w:tcPr>
            <w:tcW w:w="5483" w:type="dxa"/>
            <w:gridSpan w:val="2"/>
          </w:tcPr>
          <w:p w14:paraId="358CC86F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A57" w:rsidRPr="003156CA" w14:paraId="0AE328AE" w14:textId="77777777" w:rsidTr="00120C98">
        <w:trPr>
          <w:trHeight w:val="701"/>
        </w:trPr>
        <w:tc>
          <w:tcPr>
            <w:tcW w:w="1838" w:type="dxa"/>
          </w:tcPr>
          <w:p w14:paraId="04B07B7B" w14:textId="77777777" w:rsidR="00A22A57" w:rsidRPr="003156CA" w:rsidRDefault="003E3500" w:rsidP="00120C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Галузі вітчизняного виробництва</w:t>
            </w:r>
            <w:r w:rsidR="00A22A57" w:rsidRPr="003156C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56" w:type="dxa"/>
          </w:tcPr>
          <w:p w14:paraId="017DDDE7" w14:textId="77777777" w:rsidR="00A22A57" w:rsidRPr="003156CA" w:rsidRDefault="00A22A57" w:rsidP="003E3500">
            <w:pPr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 xml:space="preserve">Узгодження законодавчих норм у сфері застосування інструментів торговельного захисту для захисту інтересів </w:t>
            </w:r>
            <w:r w:rsidR="003E3500" w:rsidRPr="003156CA">
              <w:rPr>
                <w:rFonts w:ascii="Times New Roman" w:hAnsi="Times New Roman" w:cs="Times New Roman"/>
                <w:szCs w:val="28"/>
              </w:rPr>
              <w:t>галузей національного виробництва</w:t>
            </w:r>
            <w:r w:rsidRPr="003156CA">
              <w:rPr>
                <w:rFonts w:ascii="Times New Roman" w:hAnsi="Times New Roman" w:cs="Times New Roman"/>
                <w:szCs w:val="28"/>
              </w:rPr>
              <w:t xml:space="preserve"> від </w:t>
            </w:r>
            <w:r w:rsidRPr="003156CA">
              <w:rPr>
                <w:rFonts w:ascii="Times New Roman" w:hAnsi="Times New Roman" w:cs="Times New Roman"/>
                <w:szCs w:val="28"/>
              </w:rPr>
              <w:lastRenderedPageBreak/>
              <w:t>недобросовісного та зростаючого імпорту</w:t>
            </w:r>
          </w:p>
        </w:tc>
        <w:tc>
          <w:tcPr>
            <w:tcW w:w="2147" w:type="dxa"/>
          </w:tcPr>
          <w:p w14:paraId="54B68D94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lastRenderedPageBreak/>
              <w:t>Позитивний</w:t>
            </w:r>
          </w:p>
          <w:p w14:paraId="7A625C7A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2" w:type="dxa"/>
          </w:tcPr>
          <w:p w14:paraId="2A82A756" w14:textId="77777777" w:rsidR="00A22A57" w:rsidRPr="003156CA" w:rsidRDefault="00A22A57" w:rsidP="00120C98">
            <w:pPr>
              <w:tabs>
                <w:tab w:val="left" w:pos="1812"/>
              </w:tabs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Позитивний</w:t>
            </w:r>
          </w:p>
          <w:p w14:paraId="715A612F" w14:textId="77777777" w:rsidR="00A22A57" w:rsidRPr="003156CA" w:rsidRDefault="00A22A57" w:rsidP="00120C98">
            <w:pPr>
              <w:tabs>
                <w:tab w:val="left" w:pos="1812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83" w:type="dxa"/>
            <w:gridSpan w:val="2"/>
          </w:tcPr>
          <w:p w14:paraId="334F4B33" w14:textId="77777777" w:rsidR="00A22A57" w:rsidRPr="003156CA" w:rsidRDefault="00A22A57" w:rsidP="00120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Приведення законодавства до сучасних умов проведення 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антидемпінгових, антисубсидиційних, захисних 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розслідувань та застосування 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відповідних 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таких розслідувань.</w:t>
            </w:r>
          </w:p>
          <w:p w14:paraId="0404B893" w14:textId="77777777" w:rsidR="00A22A57" w:rsidRPr="003156CA" w:rsidRDefault="00A22A57" w:rsidP="00120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згодження законодавчих норм та понятійного апарату</w:t>
            </w:r>
            <w:r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4299919" w14:textId="77777777" w:rsidR="00A22A57" w:rsidRPr="003156CA" w:rsidRDefault="00A22A57" w:rsidP="00120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транспарентності проведення 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антидемпінгових, антисубсидиційних, 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захисних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 розслідувань та їх передбачуваність для усіх заінтересованих сторін.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A57" w:rsidRPr="003156CA" w14:paraId="387DCE34" w14:textId="77777777" w:rsidTr="00120C98">
        <w:trPr>
          <w:trHeight w:val="2208"/>
        </w:trPr>
        <w:tc>
          <w:tcPr>
            <w:tcW w:w="1838" w:type="dxa"/>
          </w:tcPr>
          <w:p w14:paraId="479C5175" w14:textId="77777777" w:rsidR="00A22A57" w:rsidRPr="003156CA" w:rsidRDefault="00A22A57" w:rsidP="00120C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lastRenderedPageBreak/>
              <w:t>Імпортери</w:t>
            </w:r>
          </w:p>
        </w:tc>
        <w:tc>
          <w:tcPr>
            <w:tcW w:w="3056" w:type="dxa"/>
          </w:tcPr>
          <w:p w14:paraId="52EDE2D3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 xml:space="preserve">Узгодження законодавчих норм у сфері застосування інструментів торговельного захисту для захисту інтересів вітчизняних імпортерів у ході </w:t>
            </w:r>
            <w:r w:rsidR="003E3500" w:rsidRPr="003156CA">
              <w:rPr>
                <w:rFonts w:ascii="Times New Roman" w:hAnsi="Times New Roman" w:cs="Times New Roman"/>
                <w:szCs w:val="28"/>
              </w:rPr>
              <w:t xml:space="preserve">антидемпінгових, антисубсидиційних та </w:t>
            </w:r>
            <w:r w:rsidRPr="003156CA">
              <w:rPr>
                <w:rFonts w:ascii="Times New Roman" w:hAnsi="Times New Roman" w:cs="Times New Roman"/>
                <w:szCs w:val="28"/>
              </w:rPr>
              <w:t>захисних розслідувань</w:t>
            </w:r>
          </w:p>
        </w:tc>
        <w:tc>
          <w:tcPr>
            <w:tcW w:w="2147" w:type="dxa"/>
          </w:tcPr>
          <w:p w14:paraId="0B239305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Позитивний</w:t>
            </w:r>
          </w:p>
          <w:p w14:paraId="6ECBDC8A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2" w:type="dxa"/>
          </w:tcPr>
          <w:p w14:paraId="1DD87D0A" w14:textId="77777777" w:rsidR="00A22A57" w:rsidRPr="003156CA" w:rsidRDefault="00A22A57" w:rsidP="00120C98">
            <w:pPr>
              <w:tabs>
                <w:tab w:val="left" w:pos="1812"/>
              </w:tabs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Позитивний</w:t>
            </w:r>
          </w:p>
          <w:p w14:paraId="1541B97C" w14:textId="77777777" w:rsidR="00A22A57" w:rsidRPr="003156CA" w:rsidRDefault="00A22A57" w:rsidP="00120C98">
            <w:pPr>
              <w:tabs>
                <w:tab w:val="left" w:pos="1812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83" w:type="dxa"/>
            <w:gridSpan w:val="2"/>
          </w:tcPr>
          <w:p w14:paraId="15757D27" w14:textId="77777777" w:rsidR="003E3500" w:rsidRPr="003156CA" w:rsidRDefault="003E3500" w:rsidP="003E350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Приведення законодавства до сучасних умов проведення антидемпінгових, антисубсидиційних, захисних розслідувань та застосування відповідних заходів за результатами таких розслідувань.</w:t>
            </w:r>
          </w:p>
          <w:p w14:paraId="574EEFFF" w14:textId="77777777" w:rsidR="00A22A57" w:rsidRPr="003156CA" w:rsidRDefault="00A22A57" w:rsidP="00120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Узгодження законодавчих норм та понятійного апарату.</w:t>
            </w:r>
          </w:p>
          <w:p w14:paraId="0A59F7A3" w14:textId="77777777" w:rsidR="00A22A57" w:rsidRPr="003156CA" w:rsidRDefault="00A22A57" w:rsidP="00120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транспарентності проведення 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 xml:space="preserve">антидемпінгових, антисубсидиційних, 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захисних розслідувань та їх передбачуваність для усіх заінтересованих сторін.</w:t>
            </w:r>
          </w:p>
        </w:tc>
      </w:tr>
      <w:tr w:rsidR="00A22A57" w:rsidRPr="00355F39" w14:paraId="25275132" w14:textId="77777777" w:rsidTr="00120C98">
        <w:trPr>
          <w:trHeight w:val="557"/>
        </w:trPr>
        <w:tc>
          <w:tcPr>
            <w:tcW w:w="1838" w:type="dxa"/>
          </w:tcPr>
          <w:p w14:paraId="4D5C7E40" w14:textId="77777777" w:rsidR="00A22A57" w:rsidRPr="003156CA" w:rsidRDefault="00A22A57" w:rsidP="00120C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Іноземні виробники/</w:t>
            </w:r>
          </w:p>
          <w:p w14:paraId="70644386" w14:textId="77777777" w:rsidR="00A22A57" w:rsidRPr="003156CA" w:rsidRDefault="00A22A57" w:rsidP="00120C9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експортери</w:t>
            </w:r>
          </w:p>
        </w:tc>
        <w:tc>
          <w:tcPr>
            <w:tcW w:w="3056" w:type="dxa"/>
          </w:tcPr>
          <w:p w14:paraId="517F698F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 xml:space="preserve">Узгодження законодавчих норм у сфері застосування інструментів торговельного захисту для забезпечення права на захист інтересів іноземних виробників/експортерів у ході </w:t>
            </w:r>
            <w:r w:rsidR="003E3500" w:rsidRPr="003156CA">
              <w:rPr>
                <w:rFonts w:ascii="Times New Roman" w:hAnsi="Times New Roman" w:cs="Times New Roman"/>
                <w:szCs w:val="28"/>
              </w:rPr>
              <w:t xml:space="preserve">антидемпінгових, антисубсидиційних, </w:t>
            </w:r>
            <w:r w:rsidRPr="003156CA">
              <w:rPr>
                <w:rFonts w:ascii="Times New Roman" w:hAnsi="Times New Roman" w:cs="Times New Roman"/>
                <w:szCs w:val="28"/>
              </w:rPr>
              <w:t>захисних розслідувань</w:t>
            </w:r>
          </w:p>
        </w:tc>
        <w:tc>
          <w:tcPr>
            <w:tcW w:w="2147" w:type="dxa"/>
          </w:tcPr>
          <w:p w14:paraId="200172C9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Позитивний</w:t>
            </w:r>
          </w:p>
          <w:p w14:paraId="729D48B5" w14:textId="77777777" w:rsidR="00A22A57" w:rsidRPr="003156CA" w:rsidRDefault="00A22A57" w:rsidP="00120C9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2" w:type="dxa"/>
          </w:tcPr>
          <w:p w14:paraId="16FB30BB" w14:textId="77777777" w:rsidR="00A22A57" w:rsidRPr="003156CA" w:rsidRDefault="00A22A57" w:rsidP="00120C98">
            <w:pPr>
              <w:tabs>
                <w:tab w:val="left" w:pos="1812"/>
              </w:tabs>
              <w:rPr>
                <w:rFonts w:ascii="Times New Roman" w:hAnsi="Times New Roman" w:cs="Times New Roman"/>
                <w:szCs w:val="28"/>
              </w:rPr>
            </w:pPr>
            <w:r w:rsidRPr="003156CA">
              <w:rPr>
                <w:rFonts w:ascii="Times New Roman" w:hAnsi="Times New Roman" w:cs="Times New Roman"/>
                <w:szCs w:val="28"/>
              </w:rPr>
              <w:t>Позитивний</w:t>
            </w:r>
          </w:p>
          <w:p w14:paraId="3D893BD8" w14:textId="77777777" w:rsidR="00A22A57" w:rsidRPr="003156CA" w:rsidRDefault="00A22A57" w:rsidP="00120C98">
            <w:pPr>
              <w:tabs>
                <w:tab w:val="left" w:pos="1812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83" w:type="dxa"/>
            <w:gridSpan w:val="2"/>
          </w:tcPr>
          <w:p w14:paraId="54C99300" w14:textId="77777777" w:rsidR="003E3500" w:rsidRPr="003156CA" w:rsidRDefault="003E3500" w:rsidP="003E350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Приведення законодавства до сучасних умов проведення антидемпінгових, антисубсидиційних, захисних розслідувань та застосування відповідних заходів за результатами таких розслідувань.</w:t>
            </w:r>
          </w:p>
          <w:p w14:paraId="5419566B" w14:textId="77777777" w:rsidR="00A22A57" w:rsidRPr="003156CA" w:rsidRDefault="00A22A57" w:rsidP="00120C98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6CA">
              <w:rPr>
                <w:rFonts w:ascii="Times New Roman" w:hAnsi="Times New Roman" w:cs="Times New Roman"/>
                <w:sz w:val="28"/>
                <w:szCs w:val="28"/>
              </w:rPr>
              <w:t>згодження законодавчих норм та понятійного апарату</w:t>
            </w:r>
            <w:r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B152487" w14:textId="77777777" w:rsidR="00A22A57" w:rsidRPr="00DF6D90" w:rsidRDefault="00A22A57" w:rsidP="00120C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Підвищення транспарентності проведення 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</w:rPr>
              <w:t>антидемпінгових, антисубсидиційних,</w:t>
            </w:r>
            <w:r w:rsidR="003E3500"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захисних розслідувань та їх передбачуваність для усіх заінтересованих сторін.</w:t>
            </w:r>
          </w:p>
        </w:tc>
      </w:tr>
    </w:tbl>
    <w:tbl>
      <w:tblPr>
        <w:tblW w:w="14256" w:type="dxa"/>
        <w:tblInd w:w="562" w:type="dxa"/>
        <w:tblLook w:val="01E0" w:firstRow="1" w:lastRow="1" w:firstColumn="1" w:lastColumn="1" w:noHBand="0" w:noVBand="0"/>
      </w:tblPr>
      <w:tblGrid>
        <w:gridCol w:w="5215"/>
        <w:gridCol w:w="7831"/>
        <w:gridCol w:w="1210"/>
      </w:tblGrid>
      <w:tr w:rsidR="00DE027A" w:rsidRPr="00B0722D" w14:paraId="31A4BFDD" w14:textId="77777777" w:rsidTr="00B77C42">
        <w:trPr>
          <w:trHeight w:val="609"/>
        </w:trPr>
        <w:tc>
          <w:tcPr>
            <w:tcW w:w="5215" w:type="dxa"/>
          </w:tcPr>
          <w:p w14:paraId="3214C909" w14:textId="77777777" w:rsidR="00DE027A" w:rsidRPr="00B0722D" w:rsidRDefault="00DE027A" w:rsidP="00B77C42">
            <w:pPr>
              <w:shd w:val="clear" w:color="auto" w:fill="FFFFFF"/>
              <w:spacing w:line="240" w:lineRule="atLeast"/>
              <w:textAlignment w:val="baseline"/>
              <w:outlineLvl w:val="1"/>
            </w:pPr>
            <w:r w:rsidRPr="00B0722D">
              <w:rPr>
                <w:b/>
                <w:szCs w:val="28"/>
                <w:lang w:eastAsia="ru-RU"/>
              </w:rPr>
              <w:t xml:space="preserve">Народні депутати України                                                                   </w:t>
            </w:r>
          </w:p>
        </w:tc>
        <w:tc>
          <w:tcPr>
            <w:tcW w:w="7831" w:type="dxa"/>
          </w:tcPr>
          <w:p w14:paraId="62713CE7" w14:textId="0FA4E0B9" w:rsidR="00DE027A" w:rsidRPr="00B0722D" w:rsidRDefault="00DE027A" w:rsidP="00B77C42">
            <w:pPr>
              <w:shd w:val="clear" w:color="auto" w:fill="FFFFFF"/>
              <w:spacing w:line="240" w:lineRule="atLeast"/>
              <w:ind w:firstLine="187"/>
              <w:textAlignment w:val="baseline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1210" w:type="dxa"/>
          </w:tcPr>
          <w:p w14:paraId="2D3A5391" w14:textId="5BDB85B2" w:rsidR="00DE027A" w:rsidRPr="00B0722D" w:rsidRDefault="00DE027A" w:rsidP="00B77C42">
            <w:pPr>
              <w:ind w:left="-276" w:firstLine="141"/>
              <w:rPr>
                <w:rFonts w:cs="Times New Roman"/>
                <w:b/>
                <w:bCs/>
                <w:szCs w:val="28"/>
              </w:rPr>
            </w:pPr>
          </w:p>
        </w:tc>
      </w:tr>
    </w:tbl>
    <w:p w14:paraId="155DE95F" w14:textId="77777777" w:rsidR="00A22A57" w:rsidRPr="00D8078D" w:rsidRDefault="00A22A57" w:rsidP="008D73D7">
      <w:pPr>
        <w:spacing w:after="0" w:line="240" w:lineRule="auto"/>
        <w:rPr>
          <w:b/>
          <w:color w:val="000000"/>
        </w:rPr>
      </w:pPr>
    </w:p>
    <w:sectPr w:rsidR="00A22A57" w:rsidRPr="00D8078D" w:rsidSect="00A22A57">
      <w:pgSz w:w="16838" w:h="11906" w:orient="landscape"/>
      <w:pgMar w:top="1276" w:right="678" w:bottom="5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FD3C" w14:textId="77777777" w:rsidR="009B602F" w:rsidRDefault="009B602F">
      <w:r>
        <w:separator/>
      </w:r>
    </w:p>
  </w:endnote>
  <w:endnote w:type="continuationSeparator" w:id="0">
    <w:p w14:paraId="65987F67" w14:textId="77777777" w:rsidR="009B602F" w:rsidRDefault="009B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C3A0" w14:textId="77777777" w:rsidR="009B602F" w:rsidRDefault="009B602F">
      <w:r>
        <w:separator/>
      </w:r>
    </w:p>
  </w:footnote>
  <w:footnote w:type="continuationSeparator" w:id="0">
    <w:p w14:paraId="5867A8FD" w14:textId="77777777" w:rsidR="009B602F" w:rsidRDefault="009B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1FB7" w14:textId="77777777" w:rsidR="004E443E" w:rsidRDefault="005026CC" w:rsidP="00663E5F">
    <w:pPr>
      <w:pStyle w:val="a6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4E443E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14:paraId="1662662E" w14:textId="77777777" w:rsidR="004E443E" w:rsidRDefault="004E44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E989" w14:textId="50FBEA3F" w:rsidR="004E443E" w:rsidRDefault="005026CC" w:rsidP="00663E5F">
    <w:pPr>
      <w:pStyle w:val="a6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4E443E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78708C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14:paraId="3D290B1B" w14:textId="77777777" w:rsidR="004E443E" w:rsidRDefault="004E44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DB3"/>
    <w:multiLevelType w:val="hybridMultilevel"/>
    <w:tmpl w:val="410605A6"/>
    <w:lvl w:ilvl="0" w:tplc="D9F64F4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31356DE"/>
    <w:multiLevelType w:val="hybridMultilevel"/>
    <w:tmpl w:val="23F012B8"/>
    <w:lvl w:ilvl="0" w:tplc="E7CE4D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317358DB"/>
    <w:multiLevelType w:val="hybridMultilevel"/>
    <w:tmpl w:val="C6CC13E2"/>
    <w:lvl w:ilvl="0" w:tplc="37C4E9BC">
      <w:start w:val="1"/>
      <w:numFmt w:val="decimal"/>
      <w:lvlText w:val="%1."/>
      <w:lvlJc w:val="left"/>
      <w:pPr>
        <w:ind w:left="8419" w:hanging="771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EE0D9B"/>
    <w:multiLevelType w:val="hybridMultilevel"/>
    <w:tmpl w:val="C6CC13E2"/>
    <w:lvl w:ilvl="0" w:tplc="37C4E9BC">
      <w:start w:val="1"/>
      <w:numFmt w:val="decimal"/>
      <w:lvlText w:val="%1."/>
      <w:lvlJc w:val="left"/>
      <w:pPr>
        <w:ind w:left="8419" w:hanging="771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8D"/>
    <w:rsid w:val="00014277"/>
    <w:rsid w:val="000143D1"/>
    <w:rsid w:val="0002002C"/>
    <w:rsid w:val="00023605"/>
    <w:rsid w:val="00031DC7"/>
    <w:rsid w:val="000353C7"/>
    <w:rsid w:val="00040875"/>
    <w:rsid w:val="00043DED"/>
    <w:rsid w:val="0006270D"/>
    <w:rsid w:val="00071D8D"/>
    <w:rsid w:val="00077EF1"/>
    <w:rsid w:val="00080425"/>
    <w:rsid w:val="00096FA4"/>
    <w:rsid w:val="00097643"/>
    <w:rsid w:val="000A2661"/>
    <w:rsid w:val="000B71F4"/>
    <w:rsid w:val="000D1486"/>
    <w:rsid w:val="000D1583"/>
    <w:rsid w:val="000D31B0"/>
    <w:rsid w:val="000E0A00"/>
    <w:rsid w:val="000E5D63"/>
    <w:rsid w:val="000E7CA9"/>
    <w:rsid w:val="000F33F1"/>
    <w:rsid w:val="00100E0D"/>
    <w:rsid w:val="00101436"/>
    <w:rsid w:val="001138BA"/>
    <w:rsid w:val="00113F61"/>
    <w:rsid w:val="00126190"/>
    <w:rsid w:val="00126F3F"/>
    <w:rsid w:val="0013020B"/>
    <w:rsid w:val="00145BC1"/>
    <w:rsid w:val="00147AE3"/>
    <w:rsid w:val="00152BD6"/>
    <w:rsid w:val="00171361"/>
    <w:rsid w:val="00175012"/>
    <w:rsid w:val="00187178"/>
    <w:rsid w:val="001B018F"/>
    <w:rsid w:val="001B050C"/>
    <w:rsid w:val="001B08E6"/>
    <w:rsid w:val="001B4C16"/>
    <w:rsid w:val="001B5D7B"/>
    <w:rsid w:val="001E68E8"/>
    <w:rsid w:val="001F2F33"/>
    <w:rsid w:val="00214E40"/>
    <w:rsid w:val="0024021C"/>
    <w:rsid w:val="0025641C"/>
    <w:rsid w:val="00266E30"/>
    <w:rsid w:val="00296327"/>
    <w:rsid w:val="002A0760"/>
    <w:rsid w:val="002A196A"/>
    <w:rsid w:val="002B7F09"/>
    <w:rsid w:val="002C6E5C"/>
    <w:rsid w:val="002E4D6E"/>
    <w:rsid w:val="002F2B2F"/>
    <w:rsid w:val="0031271B"/>
    <w:rsid w:val="003156CA"/>
    <w:rsid w:val="003237EC"/>
    <w:rsid w:val="00327508"/>
    <w:rsid w:val="00331205"/>
    <w:rsid w:val="003429BE"/>
    <w:rsid w:val="00344169"/>
    <w:rsid w:val="00345A28"/>
    <w:rsid w:val="0035006A"/>
    <w:rsid w:val="00350814"/>
    <w:rsid w:val="003538E6"/>
    <w:rsid w:val="00366FBC"/>
    <w:rsid w:val="0037251B"/>
    <w:rsid w:val="003752C4"/>
    <w:rsid w:val="00375BA5"/>
    <w:rsid w:val="00382914"/>
    <w:rsid w:val="00387052"/>
    <w:rsid w:val="00395C81"/>
    <w:rsid w:val="00396925"/>
    <w:rsid w:val="003C0693"/>
    <w:rsid w:val="003D64BB"/>
    <w:rsid w:val="003E3500"/>
    <w:rsid w:val="003E669F"/>
    <w:rsid w:val="004010EF"/>
    <w:rsid w:val="004041E0"/>
    <w:rsid w:val="00404DAA"/>
    <w:rsid w:val="00410D22"/>
    <w:rsid w:val="00425800"/>
    <w:rsid w:val="00434EC6"/>
    <w:rsid w:val="00435754"/>
    <w:rsid w:val="00437043"/>
    <w:rsid w:val="00440534"/>
    <w:rsid w:val="004434FA"/>
    <w:rsid w:val="004451FF"/>
    <w:rsid w:val="00446DBB"/>
    <w:rsid w:val="0047338E"/>
    <w:rsid w:val="00473613"/>
    <w:rsid w:val="0047448F"/>
    <w:rsid w:val="004765AD"/>
    <w:rsid w:val="004826C6"/>
    <w:rsid w:val="00490431"/>
    <w:rsid w:val="004A2308"/>
    <w:rsid w:val="004A245A"/>
    <w:rsid w:val="004A38AA"/>
    <w:rsid w:val="004B1F30"/>
    <w:rsid w:val="004B53F3"/>
    <w:rsid w:val="004C00C5"/>
    <w:rsid w:val="004D652E"/>
    <w:rsid w:val="004E443E"/>
    <w:rsid w:val="004E60CF"/>
    <w:rsid w:val="004F1FC6"/>
    <w:rsid w:val="005026CC"/>
    <w:rsid w:val="0051114C"/>
    <w:rsid w:val="005168B0"/>
    <w:rsid w:val="005277CD"/>
    <w:rsid w:val="00560A58"/>
    <w:rsid w:val="00571C3A"/>
    <w:rsid w:val="00582FEC"/>
    <w:rsid w:val="0058357E"/>
    <w:rsid w:val="0058432E"/>
    <w:rsid w:val="0059030E"/>
    <w:rsid w:val="005907F8"/>
    <w:rsid w:val="005A3E58"/>
    <w:rsid w:val="005B232C"/>
    <w:rsid w:val="005B3D8A"/>
    <w:rsid w:val="005D1248"/>
    <w:rsid w:val="005D38D9"/>
    <w:rsid w:val="005E18D5"/>
    <w:rsid w:val="005E57B8"/>
    <w:rsid w:val="005F22DD"/>
    <w:rsid w:val="005F3C72"/>
    <w:rsid w:val="005F60D4"/>
    <w:rsid w:val="00603CC4"/>
    <w:rsid w:val="006105A3"/>
    <w:rsid w:val="006127C9"/>
    <w:rsid w:val="00631BD1"/>
    <w:rsid w:val="00634E94"/>
    <w:rsid w:val="006455F6"/>
    <w:rsid w:val="00663E5F"/>
    <w:rsid w:val="006675E4"/>
    <w:rsid w:val="006D005C"/>
    <w:rsid w:val="006D2645"/>
    <w:rsid w:val="006D50C2"/>
    <w:rsid w:val="006D6648"/>
    <w:rsid w:val="006E235B"/>
    <w:rsid w:val="006F2794"/>
    <w:rsid w:val="006F7646"/>
    <w:rsid w:val="00715C63"/>
    <w:rsid w:val="0074162D"/>
    <w:rsid w:val="00744A60"/>
    <w:rsid w:val="0074529C"/>
    <w:rsid w:val="00757B1F"/>
    <w:rsid w:val="00762BC3"/>
    <w:rsid w:val="007636DD"/>
    <w:rsid w:val="00766E19"/>
    <w:rsid w:val="0078708C"/>
    <w:rsid w:val="007A532B"/>
    <w:rsid w:val="007A72AF"/>
    <w:rsid w:val="007B015E"/>
    <w:rsid w:val="007B0E71"/>
    <w:rsid w:val="007B3A60"/>
    <w:rsid w:val="007D4E9A"/>
    <w:rsid w:val="007E2934"/>
    <w:rsid w:val="007E357C"/>
    <w:rsid w:val="007F2D6C"/>
    <w:rsid w:val="00800A33"/>
    <w:rsid w:val="00824CF1"/>
    <w:rsid w:val="0082605F"/>
    <w:rsid w:val="00836900"/>
    <w:rsid w:val="00837A3B"/>
    <w:rsid w:val="0086030A"/>
    <w:rsid w:val="00866560"/>
    <w:rsid w:val="00870943"/>
    <w:rsid w:val="008A54E5"/>
    <w:rsid w:val="008B77DA"/>
    <w:rsid w:val="008D42ED"/>
    <w:rsid w:val="008D73D7"/>
    <w:rsid w:val="008E67C3"/>
    <w:rsid w:val="008F120F"/>
    <w:rsid w:val="008F7AAA"/>
    <w:rsid w:val="00900195"/>
    <w:rsid w:val="00910AB7"/>
    <w:rsid w:val="00912ED8"/>
    <w:rsid w:val="00917318"/>
    <w:rsid w:val="00953DAC"/>
    <w:rsid w:val="00954CFB"/>
    <w:rsid w:val="00967671"/>
    <w:rsid w:val="00981CBB"/>
    <w:rsid w:val="009B38DB"/>
    <w:rsid w:val="009B602F"/>
    <w:rsid w:val="009B70E0"/>
    <w:rsid w:val="009C2A65"/>
    <w:rsid w:val="009F1472"/>
    <w:rsid w:val="009F4EC5"/>
    <w:rsid w:val="009F72FE"/>
    <w:rsid w:val="00A0301D"/>
    <w:rsid w:val="00A22A57"/>
    <w:rsid w:val="00A32A23"/>
    <w:rsid w:val="00A36452"/>
    <w:rsid w:val="00A43CE2"/>
    <w:rsid w:val="00A43E1C"/>
    <w:rsid w:val="00A46DA8"/>
    <w:rsid w:val="00A56CE2"/>
    <w:rsid w:val="00A604BD"/>
    <w:rsid w:val="00A615AC"/>
    <w:rsid w:val="00A6422B"/>
    <w:rsid w:val="00A64589"/>
    <w:rsid w:val="00A65180"/>
    <w:rsid w:val="00A75A2F"/>
    <w:rsid w:val="00A7733D"/>
    <w:rsid w:val="00AA3EF3"/>
    <w:rsid w:val="00AA76F3"/>
    <w:rsid w:val="00AA7FFD"/>
    <w:rsid w:val="00AC53C5"/>
    <w:rsid w:val="00AD6A6F"/>
    <w:rsid w:val="00AD7A50"/>
    <w:rsid w:val="00AF7F61"/>
    <w:rsid w:val="00B20A21"/>
    <w:rsid w:val="00B23BEB"/>
    <w:rsid w:val="00B23D7A"/>
    <w:rsid w:val="00B64E8A"/>
    <w:rsid w:val="00B76EF8"/>
    <w:rsid w:val="00BA50BC"/>
    <w:rsid w:val="00BA5573"/>
    <w:rsid w:val="00BD1B37"/>
    <w:rsid w:val="00BD4875"/>
    <w:rsid w:val="00BD5D2E"/>
    <w:rsid w:val="00BE3AD3"/>
    <w:rsid w:val="00BF4C79"/>
    <w:rsid w:val="00BF79B4"/>
    <w:rsid w:val="00C02C84"/>
    <w:rsid w:val="00C138B7"/>
    <w:rsid w:val="00C33B51"/>
    <w:rsid w:val="00C41CE6"/>
    <w:rsid w:val="00C51DBF"/>
    <w:rsid w:val="00C52512"/>
    <w:rsid w:val="00C6292F"/>
    <w:rsid w:val="00C76C46"/>
    <w:rsid w:val="00C86AA1"/>
    <w:rsid w:val="00C9102C"/>
    <w:rsid w:val="00C921A7"/>
    <w:rsid w:val="00CC29ED"/>
    <w:rsid w:val="00CC5C90"/>
    <w:rsid w:val="00CD2818"/>
    <w:rsid w:val="00CD4179"/>
    <w:rsid w:val="00CE0E0D"/>
    <w:rsid w:val="00CE3F7C"/>
    <w:rsid w:val="00CE7C2F"/>
    <w:rsid w:val="00CF12BB"/>
    <w:rsid w:val="00CF633F"/>
    <w:rsid w:val="00D079D0"/>
    <w:rsid w:val="00D167FD"/>
    <w:rsid w:val="00D41154"/>
    <w:rsid w:val="00D442D7"/>
    <w:rsid w:val="00D6320A"/>
    <w:rsid w:val="00D702AB"/>
    <w:rsid w:val="00D75E24"/>
    <w:rsid w:val="00D77A11"/>
    <w:rsid w:val="00D77C7A"/>
    <w:rsid w:val="00D8078D"/>
    <w:rsid w:val="00D84AF1"/>
    <w:rsid w:val="00D9726C"/>
    <w:rsid w:val="00DA6D00"/>
    <w:rsid w:val="00DB2B73"/>
    <w:rsid w:val="00DD66CD"/>
    <w:rsid w:val="00DE027A"/>
    <w:rsid w:val="00DE48E5"/>
    <w:rsid w:val="00DF0001"/>
    <w:rsid w:val="00DF0107"/>
    <w:rsid w:val="00DF7E72"/>
    <w:rsid w:val="00E00567"/>
    <w:rsid w:val="00E13703"/>
    <w:rsid w:val="00E166C9"/>
    <w:rsid w:val="00E25AB4"/>
    <w:rsid w:val="00E2736C"/>
    <w:rsid w:val="00E36F13"/>
    <w:rsid w:val="00E64D13"/>
    <w:rsid w:val="00E87E58"/>
    <w:rsid w:val="00E90A0A"/>
    <w:rsid w:val="00EC0A76"/>
    <w:rsid w:val="00EC283B"/>
    <w:rsid w:val="00EC2D11"/>
    <w:rsid w:val="00EC4746"/>
    <w:rsid w:val="00EE6166"/>
    <w:rsid w:val="00EE7ACE"/>
    <w:rsid w:val="00EF1D53"/>
    <w:rsid w:val="00EF7A8E"/>
    <w:rsid w:val="00F047C3"/>
    <w:rsid w:val="00F05B10"/>
    <w:rsid w:val="00F07E6C"/>
    <w:rsid w:val="00F306C2"/>
    <w:rsid w:val="00F41684"/>
    <w:rsid w:val="00F509EF"/>
    <w:rsid w:val="00F50EB6"/>
    <w:rsid w:val="00F64566"/>
    <w:rsid w:val="00F97E7C"/>
    <w:rsid w:val="00FA3AD5"/>
    <w:rsid w:val="00FB3300"/>
    <w:rsid w:val="00FB4420"/>
    <w:rsid w:val="00FB5112"/>
    <w:rsid w:val="00FC2F67"/>
    <w:rsid w:val="00FC3B3F"/>
    <w:rsid w:val="00FD1413"/>
    <w:rsid w:val="00FD7863"/>
    <w:rsid w:val="00FE039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F232"/>
  <w15:docId w15:val="{0365B257-9A9A-4757-B197-CBDBFC3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8D"/>
    <w:rPr>
      <w:rFonts w:cs="Calibri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41E0"/>
    <w:pPr>
      <w:keepNext/>
      <w:autoSpaceDE w:val="0"/>
      <w:autoSpaceDN w:val="0"/>
      <w:spacing w:after="0" w:line="240" w:lineRule="auto"/>
      <w:ind w:firstLine="720"/>
      <w:jc w:val="center"/>
      <w:outlineLvl w:val="0"/>
    </w:pPr>
    <w:rPr>
      <w:rFonts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041E0"/>
    <w:pPr>
      <w:spacing w:before="240" w:after="60" w:line="240" w:lineRule="auto"/>
      <w:outlineLvl w:val="5"/>
    </w:pPr>
    <w:rPr>
      <w:rFonts w:cs="Times New Roman"/>
      <w:b/>
      <w:bCs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1E0"/>
    <w:rPr>
      <w:rFonts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041E0"/>
    <w:rPr>
      <w:rFonts w:cs="Times New Roman"/>
      <w:b/>
      <w:bCs/>
      <w:sz w:val="22"/>
      <w:szCs w:val="22"/>
      <w:lang w:val="ru-RU" w:eastAsia="ru-RU"/>
    </w:rPr>
  </w:style>
  <w:style w:type="paragraph" w:styleId="a3">
    <w:name w:val="footer"/>
    <w:basedOn w:val="a"/>
    <w:link w:val="a4"/>
    <w:uiPriority w:val="99"/>
    <w:rsid w:val="004E443E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sid w:val="005A3E58"/>
    <w:rPr>
      <w:rFonts w:cs="Calibri"/>
      <w:sz w:val="28"/>
      <w:lang w:val="uk-UA"/>
    </w:rPr>
  </w:style>
  <w:style w:type="character" w:customStyle="1" w:styleId="apple-converted-space">
    <w:name w:val="apple-converted-space"/>
    <w:basedOn w:val="a0"/>
    <w:uiPriority w:val="99"/>
    <w:rsid w:val="00071D8D"/>
    <w:rPr>
      <w:rFonts w:cs="Times New Roman"/>
    </w:rPr>
  </w:style>
  <w:style w:type="character" w:styleId="a5">
    <w:name w:val="page number"/>
    <w:basedOn w:val="a0"/>
    <w:uiPriority w:val="99"/>
    <w:rsid w:val="004E443E"/>
    <w:rPr>
      <w:rFonts w:cs="Times New Roman"/>
    </w:rPr>
  </w:style>
  <w:style w:type="paragraph" w:styleId="a6">
    <w:name w:val="header"/>
    <w:basedOn w:val="a"/>
    <w:link w:val="a7"/>
    <w:uiPriority w:val="99"/>
    <w:rsid w:val="004E443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5A3E58"/>
    <w:rPr>
      <w:rFonts w:cs="Calibri"/>
      <w:sz w:val="28"/>
      <w:lang w:val="uk-UA"/>
    </w:rPr>
  </w:style>
  <w:style w:type="character" w:customStyle="1" w:styleId="fontstyle01">
    <w:name w:val="fontstyle01"/>
    <w:rsid w:val="00C02C84"/>
    <w:rPr>
      <w:rFonts w:ascii="Times New Roman" w:hAnsi="Times New Roman"/>
      <w:b/>
      <w:color w:val="000000"/>
      <w:sz w:val="28"/>
    </w:rPr>
  </w:style>
  <w:style w:type="table" w:styleId="a8">
    <w:name w:val="Table Grid"/>
    <w:basedOn w:val="a1"/>
    <w:uiPriority w:val="39"/>
    <w:rsid w:val="00A22A5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2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22A57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F7AAA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44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7541-3F4F-43F6-AE94-97EF6D363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961606-F4A5-4C22-9BFC-5F0C34263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4EC69-44DC-4646-8776-8DDBF16F7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58DCF-8E37-447D-A7D0-620CE21D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7259</Words>
  <Characters>4138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2020-09-22T11:43:00Z</dcterms:created>
  <dcterms:modified xsi:type="dcterms:W3CDTF">2020-09-22T11:43:00Z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