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5A0E4" w14:textId="77777777" w:rsidR="00D67DFC" w:rsidRPr="00556EA9" w:rsidRDefault="00526343" w:rsidP="00D67DFC">
      <w:pPr>
        <w:pStyle w:val="a3"/>
        <w:tabs>
          <w:tab w:val="clear" w:pos="4677"/>
          <w:tab w:val="clear" w:pos="9355"/>
        </w:tabs>
        <w:jc w:val="center"/>
        <w:rPr>
          <w:color w:val="002060"/>
          <w:sz w:val="32"/>
          <w:szCs w:val="32"/>
        </w:rPr>
      </w:pPr>
      <w:r w:rsidRPr="00556EA9">
        <w:rPr>
          <w:noProof/>
          <w:lang w:val="uk-UA" w:eastAsia="uk-UA"/>
        </w:rPr>
        <w:drawing>
          <wp:anchor distT="360045" distB="0" distL="114300" distR="114300" simplePos="0" relativeHeight="251657728" behindDoc="0" locked="0" layoutInCell="1" allowOverlap="1" wp14:anchorId="5E85A0F9" wp14:editId="5E85A0FA">
            <wp:simplePos x="0" y="0"/>
            <wp:positionH relativeFrom="margin">
              <wp:posOffset>2758440</wp:posOffset>
            </wp:positionH>
            <wp:positionV relativeFrom="paragraph">
              <wp:posOffset>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5A0E5" w14:textId="77777777" w:rsidR="00D67DFC" w:rsidRPr="00556EA9" w:rsidRDefault="00D67DFC" w:rsidP="00D67DFC">
      <w:pPr>
        <w:pStyle w:val="a3"/>
        <w:tabs>
          <w:tab w:val="clear" w:pos="4677"/>
          <w:tab w:val="clear" w:pos="9355"/>
        </w:tabs>
        <w:jc w:val="center"/>
        <w:rPr>
          <w:color w:val="002060"/>
          <w:sz w:val="32"/>
          <w:szCs w:val="32"/>
        </w:rPr>
      </w:pPr>
    </w:p>
    <w:p w14:paraId="5E85A0E6" w14:textId="77777777" w:rsidR="00D67DFC" w:rsidRPr="00556EA9" w:rsidRDefault="00D67DFC" w:rsidP="00D67DFC">
      <w:pPr>
        <w:pStyle w:val="a3"/>
        <w:tabs>
          <w:tab w:val="clear" w:pos="4677"/>
          <w:tab w:val="clear" w:pos="9355"/>
        </w:tabs>
        <w:jc w:val="center"/>
        <w:rPr>
          <w:color w:val="002060"/>
          <w:sz w:val="32"/>
          <w:szCs w:val="32"/>
        </w:rPr>
      </w:pPr>
    </w:p>
    <w:p w14:paraId="5E85A0E7" w14:textId="77777777" w:rsidR="00D67DFC" w:rsidRPr="00556EA9" w:rsidRDefault="00D67DFC" w:rsidP="00D67DFC">
      <w:pPr>
        <w:pStyle w:val="a3"/>
        <w:tabs>
          <w:tab w:val="clear" w:pos="4677"/>
          <w:tab w:val="clear" w:pos="9355"/>
        </w:tabs>
        <w:spacing w:before="80"/>
        <w:jc w:val="center"/>
        <w:rPr>
          <w:color w:val="1829A8"/>
          <w:spacing w:val="20"/>
          <w:sz w:val="34"/>
          <w:szCs w:val="34"/>
          <w:lang w:val="ru-RU"/>
        </w:rPr>
      </w:pPr>
      <w:r w:rsidRPr="00556EA9">
        <w:rPr>
          <w:color w:val="1829A8"/>
          <w:spacing w:val="20"/>
          <w:sz w:val="34"/>
          <w:szCs w:val="34"/>
          <w:lang w:val="uk-UA"/>
        </w:rPr>
        <w:t>ВЕРХОВНА РАДА УКРАЇНИ</w:t>
      </w:r>
    </w:p>
    <w:p w14:paraId="5E85A0E8" w14:textId="77777777" w:rsidR="00D67DFC" w:rsidRPr="00556EA9" w:rsidRDefault="00D67DFC" w:rsidP="00D67DFC">
      <w:pPr>
        <w:pStyle w:val="a3"/>
        <w:tabs>
          <w:tab w:val="clear" w:pos="4677"/>
          <w:tab w:val="clear" w:pos="9355"/>
        </w:tabs>
        <w:spacing w:before="100"/>
        <w:jc w:val="center"/>
        <w:rPr>
          <w:b/>
          <w:color w:val="1829A8"/>
          <w:spacing w:val="20"/>
          <w:sz w:val="24"/>
          <w:szCs w:val="24"/>
          <w:lang w:val="ru-RU"/>
        </w:rPr>
      </w:pPr>
      <w:r w:rsidRPr="00556EA9">
        <w:rPr>
          <w:b/>
          <w:color w:val="1829A8"/>
          <w:spacing w:val="20"/>
          <w:sz w:val="24"/>
          <w:szCs w:val="24"/>
          <w:lang w:val="uk-UA"/>
        </w:rPr>
        <w:t>Комітет з питань інтеграції України з Європейським Союзом</w:t>
      </w:r>
    </w:p>
    <w:p w14:paraId="5E85A0E9" w14:textId="77777777" w:rsidR="00D67DFC" w:rsidRPr="00556EA9" w:rsidRDefault="00D67DFC" w:rsidP="00D67DFC">
      <w:pPr>
        <w:jc w:val="center"/>
        <w:rPr>
          <w:lang w:val="uk-UA"/>
        </w:rPr>
      </w:pPr>
      <w:r w:rsidRPr="00556EA9">
        <w:rPr>
          <w:color w:val="1829A8"/>
          <w:sz w:val="20"/>
          <w:szCs w:val="20"/>
          <w:lang w:val="uk-UA"/>
        </w:rPr>
        <w:t>01008, м.Київ-8, вул. М. Грушевського, 5, тел.: 255-34-42, факс</w:t>
      </w:r>
      <w:r w:rsidRPr="00556EA9">
        <w:rPr>
          <w:color w:val="1829A8"/>
          <w:sz w:val="20"/>
          <w:szCs w:val="20"/>
          <w:lang w:val="ru-RU"/>
        </w:rPr>
        <w:t>:</w:t>
      </w:r>
      <w:r w:rsidRPr="00556EA9">
        <w:rPr>
          <w:color w:val="1829A8"/>
          <w:sz w:val="20"/>
          <w:szCs w:val="20"/>
          <w:lang w:val="uk-UA"/>
        </w:rPr>
        <w:t xml:space="preserve"> 255-33-13, </w:t>
      </w:r>
      <w:r w:rsidRPr="00556EA9">
        <w:rPr>
          <w:color w:val="1829A8"/>
          <w:sz w:val="20"/>
          <w:szCs w:val="20"/>
        </w:rPr>
        <w:t>e</w:t>
      </w:r>
      <w:r w:rsidRPr="00556EA9">
        <w:rPr>
          <w:color w:val="1829A8"/>
          <w:sz w:val="20"/>
          <w:szCs w:val="20"/>
          <w:lang w:val="ru-RU"/>
        </w:rPr>
        <w:t>-</w:t>
      </w:r>
      <w:r w:rsidRPr="00556EA9">
        <w:rPr>
          <w:color w:val="1829A8"/>
          <w:sz w:val="20"/>
          <w:szCs w:val="20"/>
        </w:rPr>
        <w:t>mail</w:t>
      </w:r>
      <w:r w:rsidRPr="00556EA9">
        <w:rPr>
          <w:color w:val="1829A8"/>
          <w:sz w:val="20"/>
          <w:szCs w:val="20"/>
          <w:lang w:val="ru-RU"/>
        </w:rPr>
        <w:t xml:space="preserve">: </w:t>
      </w:r>
      <w:r w:rsidRPr="00556EA9">
        <w:rPr>
          <w:color w:val="1829A8"/>
          <w:sz w:val="20"/>
          <w:szCs w:val="20"/>
        </w:rPr>
        <w:t>comeuroint</w:t>
      </w:r>
      <w:r w:rsidRPr="00556EA9">
        <w:rPr>
          <w:color w:val="1829A8"/>
          <w:sz w:val="20"/>
          <w:szCs w:val="20"/>
          <w:lang w:val="ru-RU"/>
        </w:rPr>
        <w:t>@</w:t>
      </w:r>
      <w:r w:rsidRPr="00556EA9">
        <w:rPr>
          <w:color w:val="1829A8"/>
          <w:sz w:val="20"/>
          <w:szCs w:val="20"/>
        </w:rPr>
        <w:t>v</w:t>
      </w:r>
      <w:r w:rsidRPr="00556EA9">
        <w:rPr>
          <w:color w:val="1829A8"/>
          <w:sz w:val="20"/>
          <w:szCs w:val="20"/>
          <w:lang w:val="ru-RU"/>
        </w:rPr>
        <w:t>.</w:t>
      </w:r>
      <w:r w:rsidRPr="00556EA9">
        <w:rPr>
          <w:color w:val="1829A8"/>
          <w:sz w:val="20"/>
          <w:szCs w:val="20"/>
        </w:rPr>
        <w:t>rada</w:t>
      </w:r>
      <w:r w:rsidRPr="00556EA9">
        <w:rPr>
          <w:color w:val="1829A8"/>
          <w:sz w:val="20"/>
          <w:szCs w:val="20"/>
          <w:lang w:val="ru-RU"/>
        </w:rPr>
        <w:t>.</w:t>
      </w:r>
      <w:r w:rsidRPr="00556EA9">
        <w:rPr>
          <w:color w:val="1829A8"/>
          <w:sz w:val="20"/>
          <w:szCs w:val="20"/>
        </w:rPr>
        <w:t>gov</w:t>
      </w:r>
      <w:r w:rsidRPr="00556EA9">
        <w:rPr>
          <w:color w:val="1829A8"/>
          <w:sz w:val="20"/>
          <w:szCs w:val="20"/>
          <w:lang w:val="ru-RU"/>
        </w:rPr>
        <w:t>.</w:t>
      </w:r>
      <w:r w:rsidRPr="00556EA9">
        <w:rPr>
          <w:color w:val="1829A8"/>
          <w:sz w:val="20"/>
          <w:szCs w:val="20"/>
        </w:rPr>
        <w:t>ua</w:t>
      </w:r>
    </w:p>
    <w:p w14:paraId="5E85A0EB" w14:textId="77777777" w:rsidR="00D67DFC" w:rsidRPr="00556EA9" w:rsidRDefault="00D67DFC" w:rsidP="00CA3A43">
      <w:pPr>
        <w:jc w:val="center"/>
        <w:rPr>
          <w:lang w:val="uk-UA"/>
        </w:rPr>
      </w:pPr>
    </w:p>
    <w:p w14:paraId="7746255E" w14:textId="77777777" w:rsidR="00CE3A52" w:rsidRPr="00CE3A52" w:rsidRDefault="00CE3A52" w:rsidP="00CE3A52">
      <w:pPr>
        <w:suppressAutoHyphens/>
        <w:spacing w:after="60"/>
        <w:ind w:firstLine="567"/>
        <w:jc w:val="center"/>
        <w:rPr>
          <w:b/>
          <w:bCs/>
          <w:lang w:val="uk-UA" w:eastAsia="ar-SA"/>
        </w:rPr>
      </w:pPr>
      <w:r w:rsidRPr="00CE3A52">
        <w:rPr>
          <w:b/>
          <w:bCs/>
          <w:lang w:val="uk-UA" w:eastAsia="ar-SA"/>
        </w:rPr>
        <w:t>ВИСНОВОК</w:t>
      </w:r>
    </w:p>
    <w:p w14:paraId="1BC922DC" w14:textId="6B0C5CC0" w:rsidR="00CE3A52" w:rsidRPr="00CE3A52" w:rsidRDefault="00CE3A52" w:rsidP="00CE3A52">
      <w:pPr>
        <w:suppressAutoHyphens/>
        <w:jc w:val="center"/>
        <w:rPr>
          <w:b/>
          <w:lang w:val="uk-UA" w:eastAsia="ar-SA"/>
        </w:rPr>
      </w:pPr>
      <w:r w:rsidRPr="00CE3A52">
        <w:rPr>
          <w:b/>
          <w:bCs/>
          <w:lang w:val="uk-UA" w:eastAsia="ar-SA"/>
        </w:rPr>
        <w:t xml:space="preserve"> </w:t>
      </w:r>
      <w:r w:rsidRPr="00CE3A52">
        <w:rPr>
          <w:b/>
          <w:bCs/>
          <w:lang w:val="uk-UA" w:eastAsia="ar-SA"/>
        </w:rPr>
        <w:t>(реєстр. № 4142 від 22.09.2020р., внесений народними депутатами України М.Радуцьким, Л.Булах, В.Вагнєр та ін)</w:t>
      </w:r>
    </w:p>
    <w:p w14:paraId="0E4B0BD9" w14:textId="77777777" w:rsidR="00CE3A52" w:rsidRPr="00CE3A52" w:rsidRDefault="00CE3A52" w:rsidP="00CE3A52">
      <w:pPr>
        <w:suppressAutoHyphens/>
        <w:jc w:val="center"/>
        <w:rPr>
          <w:b/>
          <w:lang w:val="uk-UA" w:eastAsia="ar-SA"/>
        </w:rPr>
      </w:pPr>
    </w:p>
    <w:p w14:paraId="70122C1A" w14:textId="77777777" w:rsidR="00CE3A52" w:rsidRPr="00CE3A52" w:rsidRDefault="00CE3A52" w:rsidP="00CE3A52">
      <w:pPr>
        <w:numPr>
          <w:ilvl w:val="0"/>
          <w:numId w:val="15"/>
        </w:numPr>
        <w:suppressAutoHyphens/>
        <w:spacing w:before="120"/>
        <w:jc w:val="both"/>
        <w:rPr>
          <w:b/>
          <w:lang w:val="uk-UA" w:eastAsia="ar-SA"/>
        </w:rPr>
      </w:pPr>
      <w:r w:rsidRPr="00CE3A52">
        <w:rPr>
          <w:b/>
          <w:bCs/>
          <w:lang w:val="uk-UA" w:eastAsia="ar-SA"/>
        </w:rPr>
        <w:t>Загальна характеристика законопроекту.</w:t>
      </w:r>
    </w:p>
    <w:p w14:paraId="0432E6B6" w14:textId="77777777" w:rsidR="00CE3A52" w:rsidRPr="00CE3A52" w:rsidRDefault="00CE3A52" w:rsidP="00CE3A52">
      <w:pPr>
        <w:suppressAutoHyphens/>
        <w:ind w:firstLine="709"/>
        <w:jc w:val="both"/>
        <w:rPr>
          <w:lang w:val="uk-UA" w:eastAsia="ar-SA"/>
        </w:rPr>
      </w:pPr>
      <w:r w:rsidRPr="00CE3A52">
        <w:rPr>
          <w:lang w:val="uk-UA" w:eastAsia="ar-SA"/>
        </w:rPr>
        <w:t>Проект Закону розроблено з метою</w:t>
      </w:r>
      <w:r w:rsidRPr="00CE3A52">
        <w:rPr>
          <w:bCs/>
          <w:lang w:val="uk-UA" w:eastAsia="ar-SA"/>
        </w:rPr>
        <w:t xml:space="preserve"> </w:t>
      </w:r>
      <w:r w:rsidRPr="00CE3A52">
        <w:rPr>
          <w:lang w:val="uk-UA" w:eastAsia="ar-SA"/>
        </w:rPr>
        <w:t>врегулювання механізмів створення ефективної системи громадського здоров’я в Україні, що сприятиме зміцненню здоров’я населення, запобіганню хворобам та збільшенню тривалості життя.</w:t>
      </w:r>
    </w:p>
    <w:p w14:paraId="2FC9765C" w14:textId="77777777" w:rsidR="00CE3A52" w:rsidRPr="00CE3A52" w:rsidRDefault="00CE3A52" w:rsidP="00CE3A52">
      <w:pPr>
        <w:suppressAutoHyphens/>
        <w:ind w:firstLine="709"/>
        <w:jc w:val="both"/>
        <w:rPr>
          <w:lang w:val="uk-UA" w:eastAsia="ar-SA"/>
        </w:rPr>
      </w:pPr>
    </w:p>
    <w:p w14:paraId="5ECE81A2" w14:textId="77777777" w:rsidR="00CE3A52" w:rsidRPr="00CE3A52" w:rsidRDefault="00CE3A52" w:rsidP="00CE3A52">
      <w:pPr>
        <w:suppressAutoHyphens/>
        <w:spacing w:after="120"/>
        <w:ind w:firstLine="567"/>
        <w:jc w:val="both"/>
        <w:rPr>
          <w:bCs/>
          <w:lang w:val="uk-UA" w:eastAsia="ar-SA"/>
        </w:rPr>
      </w:pPr>
      <w:r w:rsidRPr="00CE3A52">
        <w:rPr>
          <w:rFonts w:eastAsia="Verdana"/>
          <w:b/>
          <w:lang w:val="uk-UA" w:eastAsia="ar-SA"/>
        </w:rPr>
        <w:t xml:space="preserve">2. </w:t>
      </w:r>
      <w:r w:rsidRPr="00CE3A52">
        <w:rPr>
          <w:b/>
          <w:lang w:val="uk-UA" w:eastAsia="ar-SA"/>
        </w:rPr>
        <w:t>Належність законопроекту за предметом правового регулювання до сфери дії права Європейського Союзу та Ради Європи.</w:t>
      </w:r>
    </w:p>
    <w:p w14:paraId="3350185E" w14:textId="77777777" w:rsidR="00CE3A52" w:rsidRPr="00CE3A52" w:rsidRDefault="00CE3A52" w:rsidP="00CE3A52">
      <w:pPr>
        <w:suppressAutoHyphens/>
        <w:ind w:firstLine="720"/>
        <w:jc w:val="both"/>
        <w:rPr>
          <w:bCs/>
          <w:lang w:val="uk-UA" w:eastAsia="ar-SA"/>
        </w:rPr>
      </w:pPr>
      <w:r w:rsidRPr="00CE3A52">
        <w:rPr>
          <w:bCs/>
          <w:lang w:val="uk-UA" w:eastAsia="ar-SA"/>
        </w:rPr>
        <w:t>Правовідносини, що належать до сфери правового регулювання законопроекту регулюються наступними актами acquis ЄС:</w:t>
      </w:r>
    </w:p>
    <w:p w14:paraId="22C392EF" w14:textId="77777777" w:rsidR="00CE3A52" w:rsidRPr="00CE3A52" w:rsidRDefault="00CE3A52" w:rsidP="00CE3A52">
      <w:pPr>
        <w:numPr>
          <w:ilvl w:val="0"/>
          <w:numId w:val="14"/>
        </w:numPr>
        <w:tabs>
          <w:tab w:val="left" w:pos="0"/>
        </w:tabs>
        <w:suppressAutoHyphens/>
        <w:ind w:hanging="371"/>
        <w:jc w:val="both"/>
        <w:rPr>
          <w:bCs/>
          <w:lang w:val="uk-UA" w:eastAsia="ar-SA"/>
        </w:rPr>
      </w:pPr>
      <w:r w:rsidRPr="00CE3A52">
        <w:rPr>
          <w:bCs/>
          <w:lang w:val="uk-UA" w:eastAsia="ar-SA"/>
        </w:rPr>
        <w:t>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27.06.2014 р. (далі - Угода про асоціацію);</w:t>
      </w:r>
    </w:p>
    <w:p w14:paraId="43E8AAEC" w14:textId="77777777" w:rsidR="00CE3A52" w:rsidRPr="00CE3A52" w:rsidRDefault="00CE3A52" w:rsidP="00CE3A52">
      <w:pPr>
        <w:numPr>
          <w:ilvl w:val="0"/>
          <w:numId w:val="14"/>
        </w:numPr>
        <w:tabs>
          <w:tab w:val="left" w:pos="0"/>
        </w:tabs>
        <w:suppressAutoHyphens/>
        <w:ind w:hanging="371"/>
        <w:jc w:val="both"/>
        <w:rPr>
          <w:bCs/>
          <w:lang w:val="uk-UA" w:eastAsia="ar-SA"/>
        </w:rPr>
      </w:pPr>
      <w:r w:rsidRPr="00CE3A52">
        <w:rPr>
          <w:bCs/>
          <w:lang w:val="uk-UA" w:eastAsia="ar-SA"/>
        </w:rPr>
        <w:t>Консолідованою версією Договору про Європейський Союз та Договору про Функціонування Європейського Союзу від 30.03.2010р.;</w:t>
      </w:r>
    </w:p>
    <w:p w14:paraId="4FF2003E" w14:textId="77777777" w:rsidR="00CE3A52" w:rsidRPr="00CE3A52" w:rsidRDefault="00CE3A52" w:rsidP="00CE3A52">
      <w:pPr>
        <w:numPr>
          <w:ilvl w:val="0"/>
          <w:numId w:val="14"/>
        </w:numPr>
        <w:tabs>
          <w:tab w:val="left" w:pos="0"/>
        </w:tabs>
        <w:suppressAutoHyphens/>
        <w:ind w:hanging="371"/>
        <w:jc w:val="both"/>
        <w:rPr>
          <w:bCs/>
          <w:lang w:val="uk-UA" w:eastAsia="ar-SA"/>
        </w:rPr>
      </w:pPr>
      <w:r w:rsidRPr="00CE3A52">
        <w:rPr>
          <w:bCs/>
          <w:lang w:val="uk-UA" w:eastAsia="ar-SA"/>
        </w:rPr>
        <w:t>Хартією основоположних прав Європейського Союзу від 7.12.2000 р.</w:t>
      </w:r>
    </w:p>
    <w:p w14:paraId="12002291" w14:textId="77777777" w:rsidR="00CE3A52" w:rsidRPr="00CE3A52" w:rsidRDefault="00CE3A52" w:rsidP="00CE3A52">
      <w:pPr>
        <w:tabs>
          <w:tab w:val="left" w:pos="1200"/>
        </w:tabs>
        <w:suppressAutoHyphens/>
        <w:ind w:left="1080"/>
        <w:jc w:val="both"/>
        <w:rPr>
          <w:bCs/>
          <w:lang w:val="ru-RU" w:eastAsia="ar-SA"/>
        </w:rPr>
      </w:pPr>
    </w:p>
    <w:p w14:paraId="2A3AD890" w14:textId="77777777" w:rsidR="00CE3A52" w:rsidRPr="00CE3A52" w:rsidRDefault="00CE3A52" w:rsidP="00CE3A52">
      <w:pPr>
        <w:suppressAutoHyphens/>
        <w:spacing w:before="120"/>
        <w:ind w:firstLine="567"/>
        <w:jc w:val="both"/>
        <w:rPr>
          <w:lang w:val="uk-UA" w:eastAsia="ar-SA"/>
        </w:rPr>
      </w:pPr>
      <w:r w:rsidRPr="00CE3A52">
        <w:rPr>
          <w:rFonts w:eastAsia="Verdana"/>
          <w:b/>
          <w:bCs/>
          <w:lang w:val="uk-UA" w:eastAsia="ar-SA"/>
        </w:rPr>
        <w:t xml:space="preserve">3. </w:t>
      </w:r>
      <w:r w:rsidRPr="00CE3A52">
        <w:rPr>
          <w:b/>
          <w:lang w:val="uk-UA" w:eastAsia="ar-SA"/>
        </w:rPr>
        <w:t>Відповідність законопроекту праву ЄС та зобов’язанням України в рамках Ради Європи.</w:t>
      </w:r>
    </w:p>
    <w:p w14:paraId="2E92D585" w14:textId="77777777" w:rsidR="00CE3A52" w:rsidRPr="00CE3A52" w:rsidRDefault="00CE3A52" w:rsidP="00CE3A52">
      <w:pPr>
        <w:shd w:val="clear" w:color="auto" w:fill="FFFFFF"/>
        <w:spacing w:before="150" w:after="150"/>
        <w:ind w:right="54" w:firstLine="450"/>
        <w:jc w:val="both"/>
        <w:rPr>
          <w:bCs/>
          <w:lang w:val="uk-UA" w:eastAsia="ar-SA"/>
        </w:rPr>
      </w:pPr>
      <w:r w:rsidRPr="00CE3A52">
        <w:rPr>
          <w:bCs/>
          <w:lang w:val="uk-UA" w:eastAsia="ar-SA"/>
        </w:rPr>
        <w:t>Відповідно до статті 426 Глави 22 «Громадське здоров’я» розділу V «Економічне та галузеве співробітництво» Угоди про асоціацію між Україною, з однієї сторони, та Європейським Союзом, Європейським співтовариством з атомної енергії та їх державами-членами, з іншої сторони (далі – Угода)</w:t>
      </w:r>
      <w:bookmarkStart w:id="0" w:name="n2574"/>
      <w:bookmarkStart w:id="1" w:name="n2575"/>
      <w:bookmarkEnd w:id="0"/>
      <w:bookmarkEnd w:id="1"/>
      <w:r w:rsidRPr="00CE3A52">
        <w:rPr>
          <w:bCs/>
          <w:lang w:val="uk-UA" w:eastAsia="ar-SA"/>
        </w:rPr>
        <w:t xml:space="preserve"> сторони розвивають співробітництво в галузі охорони здоров’я з метою підвищення рівня його безпеки та захисту здоров’я людини як передумови сталого розвитку та економічного зростання.</w:t>
      </w:r>
      <w:bookmarkStart w:id="2" w:name="n2576"/>
      <w:bookmarkEnd w:id="2"/>
    </w:p>
    <w:p w14:paraId="5216148D" w14:textId="77777777" w:rsidR="00CE3A52" w:rsidRPr="00CE3A52" w:rsidRDefault="00CE3A52" w:rsidP="00CE3A52">
      <w:pPr>
        <w:shd w:val="clear" w:color="auto" w:fill="FFFFFF"/>
        <w:spacing w:before="150" w:after="150"/>
        <w:ind w:right="54" w:firstLine="450"/>
        <w:jc w:val="both"/>
        <w:rPr>
          <w:bCs/>
          <w:lang w:val="uk-UA" w:eastAsia="ar-SA"/>
        </w:rPr>
      </w:pPr>
      <w:r w:rsidRPr="00CE3A52">
        <w:rPr>
          <w:bCs/>
          <w:lang w:val="uk-UA" w:eastAsia="ar-SA"/>
        </w:rPr>
        <w:t>Стаття 427 Угоди визначає сфе</w:t>
      </w:r>
      <w:bookmarkStart w:id="3" w:name="_GoBack"/>
      <w:bookmarkEnd w:id="3"/>
      <w:r w:rsidRPr="00CE3A52">
        <w:rPr>
          <w:bCs/>
          <w:lang w:val="uk-UA" w:eastAsia="ar-SA"/>
        </w:rPr>
        <w:t>ри, які охоплює співробітництво між Україною та ЄС, це</w:t>
      </w:r>
      <w:bookmarkStart w:id="4" w:name="n2577"/>
      <w:bookmarkStart w:id="5" w:name="n2578"/>
      <w:bookmarkEnd w:id="4"/>
      <w:bookmarkEnd w:id="5"/>
      <w:r w:rsidRPr="00CE3A52">
        <w:rPr>
          <w:bCs/>
          <w:lang w:val="uk-UA" w:eastAsia="ar-SA"/>
        </w:rPr>
        <w:t>, зокрема:</w:t>
      </w:r>
    </w:p>
    <w:p w14:paraId="341F38C5" w14:textId="77777777" w:rsidR="00CE3A52" w:rsidRPr="00CE3A52" w:rsidRDefault="00CE3A52" w:rsidP="00CE3A52">
      <w:pPr>
        <w:shd w:val="clear" w:color="auto" w:fill="FFFFFF"/>
        <w:spacing w:before="150" w:after="150"/>
        <w:ind w:right="54" w:firstLine="450"/>
        <w:jc w:val="both"/>
        <w:rPr>
          <w:color w:val="333333"/>
          <w:sz w:val="24"/>
          <w:szCs w:val="24"/>
          <w:lang w:val="uk-UA" w:eastAsia="uk-UA"/>
        </w:rPr>
      </w:pPr>
      <w:r w:rsidRPr="00CE3A52">
        <w:rPr>
          <w:bCs/>
          <w:lang w:val="uk-UA" w:eastAsia="ar-SA"/>
        </w:rPr>
        <w:t>a) зміцнення системи охорони здоров’я України та її потенціалу, зокрема шляхом впровадження реформ, подальшого розвитку первинної медико-санітарної допомоги та навчання персоналу</w:t>
      </w:r>
      <w:r w:rsidRPr="00CE3A52">
        <w:rPr>
          <w:color w:val="333333"/>
          <w:sz w:val="24"/>
          <w:szCs w:val="24"/>
          <w:lang w:val="uk-UA" w:eastAsia="uk-UA"/>
        </w:rPr>
        <w:t>;</w:t>
      </w:r>
    </w:p>
    <w:p w14:paraId="2CD1A559" w14:textId="77777777" w:rsidR="00CE3A52" w:rsidRPr="00CE3A52" w:rsidRDefault="00CE3A52" w:rsidP="00CE3A52">
      <w:pPr>
        <w:shd w:val="clear" w:color="auto" w:fill="FFFFFF"/>
        <w:spacing w:after="150"/>
        <w:ind w:right="54" w:firstLine="450"/>
        <w:jc w:val="both"/>
        <w:rPr>
          <w:bCs/>
          <w:lang w:val="uk-UA" w:eastAsia="ar-SA"/>
        </w:rPr>
      </w:pPr>
      <w:bookmarkStart w:id="6" w:name="n2579"/>
      <w:bookmarkEnd w:id="6"/>
      <w:r w:rsidRPr="00CE3A52">
        <w:rPr>
          <w:bCs/>
          <w:lang w:val="uk-UA" w:eastAsia="ar-SA"/>
        </w:rPr>
        <w:lastRenderedPageBreak/>
        <w:t>b) попередження і контроль над інфекційними хворобами, такими як ВІЛ/СНІД і туберкульоз, підвищення готовності до ризику спалахів високо патогенних хвороб та імплементацію Міжнародних медико-санітарних правил;</w:t>
      </w:r>
    </w:p>
    <w:p w14:paraId="01C121A0" w14:textId="77777777" w:rsidR="00CE3A52" w:rsidRPr="00CE3A52" w:rsidRDefault="00CE3A52" w:rsidP="00CE3A52">
      <w:pPr>
        <w:shd w:val="clear" w:color="auto" w:fill="FFFFFF"/>
        <w:spacing w:after="150"/>
        <w:ind w:right="54" w:firstLine="450"/>
        <w:jc w:val="both"/>
        <w:rPr>
          <w:bCs/>
          <w:lang w:val="uk-UA" w:eastAsia="ar-SA"/>
        </w:rPr>
      </w:pPr>
      <w:bookmarkStart w:id="7" w:name="n2580"/>
      <w:bookmarkEnd w:id="7"/>
      <w:r w:rsidRPr="00CE3A52">
        <w:rPr>
          <w:bCs/>
          <w:lang w:val="uk-UA" w:eastAsia="ar-SA"/>
        </w:rPr>
        <w:t>c) попередження та контроль за неінфекційними хворобами шляхом обміну інформацією та найкращими практиками, пропагування здорового способу життя, визначення основних детермінант здоров’я та проблем в галузі охорони здоров’я, наприклад здоров’я матері і дитини, психічне здоров’я, алкогольна, наркотична та тютюнова залежність, зокрема імплементацію Рамкової конвенції з контролю над тютюном 2003 року;</w:t>
      </w:r>
    </w:p>
    <w:p w14:paraId="6933A5E1" w14:textId="77777777" w:rsidR="00CE3A52" w:rsidRPr="00CE3A52" w:rsidRDefault="00CE3A52" w:rsidP="00CE3A52">
      <w:pPr>
        <w:shd w:val="clear" w:color="auto" w:fill="FFFFFF"/>
        <w:spacing w:after="150"/>
        <w:ind w:firstLine="450"/>
        <w:jc w:val="both"/>
        <w:rPr>
          <w:bCs/>
          <w:lang w:val="uk-UA" w:eastAsia="ar-SA"/>
        </w:rPr>
      </w:pPr>
      <w:bookmarkStart w:id="8" w:name="n2581"/>
      <w:bookmarkEnd w:id="8"/>
      <w:r w:rsidRPr="00CE3A52">
        <w:rPr>
          <w:bCs/>
          <w:lang w:val="uk-UA" w:eastAsia="ar-SA"/>
        </w:rPr>
        <w:t>d) якість та безпечність субстанцій людського походження, зокрема крові, тканини та клітин;</w:t>
      </w:r>
    </w:p>
    <w:p w14:paraId="7D6F8FC3" w14:textId="77777777" w:rsidR="00CE3A52" w:rsidRPr="00CE3A52" w:rsidRDefault="00CE3A52" w:rsidP="00CE3A52">
      <w:pPr>
        <w:shd w:val="clear" w:color="auto" w:fill="FFFFFF"/>
        <w:spacing w:after="150"/>
        <w:ind w:firstLine="450"/>
        <w:jc w:val="both"/>
        <w:rPr>
          <w:bCs/>
          <w:lang w:val="uk-UA" w:eastAsia="ar-SA"/>
        </w:rPr>
      </w:pPr>
      <w:bookmarkStart w:id="9" w:name="n2582"/>
      <w:bookmarkEnd w:id="9"/>
      <w:r w:rsidRPr="00CE3A52">
        <w:rPr>
          <w:bCs/>
          <w:lang w:val="uk-UA" w:eastAsia="ar-SA"/>
        </w:rPr>
        <w:t>e) інформація та знання в галузі охорони здоров’я, у тому числі керуючись підходом «охорона здоров’я у всіх політиках держави».</w:t>
      </w:r>
    </w:p>
    <w:p w14:paraId="3BEB39AE" w14:textId="77777777" w:rsidR="00CE3A52" w:rsidRPr="00CE3A52" w:rsidRDefault="00CE3A52" w:rsidP="00CE3A52">
      <w:pPr>
        <w:shd w:val="clear" w:color="auto" w:fill="FFFFFF"/>
        <w:spacing w:after="150"/>
        <w:ind w:firstLine="450"/>
        <w:jc w:val="both"/>
        <w:rPr>
          <w:bCs/>
          <w:lang w:val="uk-UA" w:eastAsia="ar-SA"/>
        </w:rPr>
      </w:pPr>
      <w:bookmarkStart w:id="10" w:name="n2583"/>
      <w:bookmarkEnd w:id="10"/>
      <w:r w:rsidRPr="00CE3A52">
        <w:rPr>
          <w:bCs/>
          <w:lang w:val="uk-UA" w:eastAsia="ar-SA"/>
        </w:rPr>
        <w:t>В рамках співробітництва Сторони обмінюються інформацією та найкращими практиками і здійснюють інші спільні заходи, в тому числі в рамках підходу «охорона здоров’я у всіх політиках» та поступової інтеграції України в європейські мережі охорони здоров’я.</w:t>
      </w:r>
      <w:bookmarkStart w:id="11" w:name="n2584"/>
      <w:bookmarkStart w:id="12" w:name="n2585"/>
      <w:bookmarkEnd w:id="11"/>
      <w:bookmarkEnd w:id="12"/>
      <w:r w:rsidRPr="00CE3A52">
        <w:rPr>
          <w:bCs/>
          <w:lang w:val="uk-UA" w:eastAsia="ar-SA"/>
        </w:rPr>
        <w:t xml:space="preserve"> Крім того, Україна поступово наближує своє законодавство та практику до принципів acquis ЄС, зокрема у сфері інфекційних хвороб, служб крові, трансплантації тканин і клітин, а також тютюну. Перелік відповідних актів acquis ЄС визначено у Додатку XLІ до цієї Угоди.</w:t>
      </w:r>
    </w:p>
    <w:p w14:paraId="4A109C35" w14:textId="77777777" w:rsidR="00CE3A52" w:rsidRPr="00CE3A52" w:rsidRDefault="00CE3A52" w:rsidP="00CE3A52">
      <w:pPr>
        <w:shd w:val="clear" w:color="auto" w:fill="FFFFFF"/>
        <w:ind w:firstLine="720"/>
        <w:jc w:val="both"/>
        <w:rPr>
          <w:lang w:val="uk-UA" w:eastAsia="ar-SA"/>
        </w:rPr>
      </w:pPr>
      <w:r w:rsidRPr="00CE3A52">
        <w:rPr>
          <w:lang w:val="uk-UA" w:eastAsia="ar-SA"/>
        </w:rPr>
        <w:t xml:space="preserve">У статті168 Розділу XIV «Охорона громадського здоров’я» </w:t>
      </w:r>
      <w:r w:rsidRPr="00CE3A52">
        <w:rPr>
          <w:bCs/>
          <w:lang w:val="uk-UA" w:eastAsia="ar-SA"/>
        </w:rPr>
        <w:t>Консолідованої версії Договору про Європейський Союз та Договору про Функціонування Європейського Союзу зазначається, що п</w:t>
      </w:r>
      <w:r w:rsidRPr="00CE3A52">
        <w:rPr>
          <w:lang w:val="uk-UA" w:eastAsia="ar-SA"/>
        </w:rPr>
        <w:t xml:space="preserve">ід час визначення та виконання всіх політик та заходів Союзу </w:t>
      </w:r>
      <w:r w:rsidRPr="00CE3A52">
        <w:rPr>
          <w:b/>
          <w:lang w:val="uk-UA" w:eastAsia="ar-SA"/>
        </w:rPr>
        <w:t>забезпечується високий рівень захисту здоров’я людини</w:t>
      </w:r>
      <w:r w:rsidRPr="00CE3A52">
        <w:rPr>
          <w:lang w:val="uk-UA" w:eastAsia="ar-SA"/>
        </w:rPr>
        <w:t xml:space="preserve">. </w:t>
      </w:r>
    </w:p>
    <w:p w14:paraId="7A45687B" w14:textId="77777777" w:rsidR="00CE3A52" w:rsidRPr="00CE3A52" w:rsidRDefault="00CE3A52" w:rsidP="00CE3A52">
      <w:pPr>
        <w:shd w:val="clear" w:color="auto" w:fill="FFFFFF"/>
        <w:ind w:firstLine="720"/>
        <w:jc w:val="both"/>
        <w:rPr>
          <w:lang w:val="uk-UA" w:eastAsia="ar-SA"/>
        </w:rPr>
      </w:pPr>
      <w:r w:rsidRPr="00CE3A52">
        <w:rPr>
          <w:lang w:val="uk-UA" w:eastAsia="ar-SA"/>
        </w:rPr>
        <w:t xml:space="preserve">1. Діяльність Союзу, що доповнює національні політики, спрямована на поліпшення охорони громадського здоров’я, запобігання фізичним та психічним розладам та захворюванням і усунення джерел небезпеки фізичному та психічному здоров’ю. Така діяльність охоплює боротьбу проти тяжких хвороб, сприяючи дослідженню їхніх причин, шляхів поширення та методів запобігання цим хворобам, а також інформаційну та освітню роботу у питаннях охорони здоров’я та моніторингу, раннього виявлення і боротьби проти серйозних транскордонних загроз здоров’ю. Союз доповнює діяльність держав-членів щодо зменшення шкоди здоров’ю, спричиненої наркотиками, включаючи інформаційну та профілактичну роботу. </w:t>
      </w:r>
    </w:p>
    <w:p w14:paraId="53C61E9C" w14:textId="77777777" w:rsidR="00CE3A52" w:rsidRPr="00CE3A52" w:rsidRDefault="00CE3A52" w:rsidP="00CE3A52">
      <w:pPr>
        <w:shd w:val="clear" w:color="auto" w:fill="FFFFFF"/>
        <w:ind w:firstLine="720"/>
        <w:jc w:val="both"/>
        <w:rPr>
          <w:lang w:val="uk-UA" w:eastAsia="ar-SA"/>
        </w:rPr>
      </w:pPr>
      <w:r w:rsidRPr="00CE3A52">
        <w:rPr>
          <w:lang w:val="uk-UA" w:eastAsia="ar-SA"/>
        </w:rPr>
        <w:t xml:space="preserve">2. Союз заохочує співпрацю між державами-членами у сферах, зазначених у цій статті, та в разі потреби надає підтримку їхній діяльності. Союз, зокрема, заохочує співпрацю між державами-членами з метою покращення взаємодоповнюваності їхніх служб охорони здоров’я на прикордонних територіях. Держави-члени, підтримуючи зв’язок із Комісією, координують між собою свої політики та програми у сферах, зазначених у частині 1. Комісія може у тісному контакті з державами-членами висувати будь-які конструктивні ініціативи з метою сприяння такій координації, зокрема ініціативи, спрямовані на запровадження керівних принципів та показників, на організацію обміну найкращим досвідом та </w:t>
      </w:r>
      <w:r w:rsidRPr="00CE3A52">
        <w:rPr>
          <w:lang w:val="uk-UA" w:eastAsia="ar-SA"/>
        </w:rPr>
        <w:lastRenderedPageBreak/>
        <w:t xml:space="preserve">на підготовку необхідних елементів періодичного моніторингу та оцінювання. Європейський Парламент інформується у повному обсязі. </w:t>
      </w:r>
    </w:p>
    <w:p w14:paraId="72911E1C" w14:textId="77777777" w:rsidR="00CE3A52" w:rsidRPr="00CE3A52" w:rsidRDefault="00CE3A52" w:rsidP="00CE3A52">
      <w:pPr>
        <w:shd w:val="clear" w:color="auto" w:fill="FFFFFF"/>
        <w:ind w:firstLine="720"/>
        <w:jc w:val="both"/>
        <w:rPr>
          <w:lang w:val="uk-UA" w:eastAsia="ar-SA"/>
        </w:rPr>
      </w:pPr>
      <w:r w:rsidRPr="00CE3A52">
        <w:rPr>
          <w:lang w:val="uk-UA" w:eastAsia="ar-SA"/>
        </w:rPr>
        <w:t xml:space="preserve">3. Союз та держави-члени заохочують співпрацю з третіми країнами та компетентними міжнародними організаціями у сфері охорони громадського здоров’я. </w:t>
      </w:r>
    </w:p>
    <w:p w14:paraId="443D1766" w14:textId="77777777" w:rsidR="00CE3A52" w:rsidRPr="00CE3A52" w:rsidRDefault="00CE3A52" w:rsidP="00CE3A52">
      <w:pPr>
        <w:shd w:val="clear" w:color="auto" w:fill="FFFFFF"/>
        <w:ind w:firstLine="720"/>
        <w:jc w:val="both"/>
        <w:rPr>
          <w:lang w:val="uk-UA" w:eastAsia="ar-SA"/>
        </w:rPr>
      </w:pPr>
      <w:r w:rsidRPr="00CE3A52">
        <w:rPr>
          <w:lang w:val="uk-UA" w:eastAsia="ar-SA"/>
        </w:rPr>
        <w:t xml:space="preserve">4. Шляхом відступу від частини 5 статті 2 та пункту (а) статті 6 та відповідно до пункту (k) частини 2 статті 4 Європейський Парламент та Рада, діючи згідно зі звичайною законодавчою процедурою та після проведення консультацій з Економічно-соціальним комітетом та Комітетом регіонів, сприяють досягненню цілей, зазначених в цій статті, з метою дотримання інтересів спільної безпеки за допомогою ухвалення: (а) заходів, що встановлюють високі стандарти якості та захисту органів та речовин людського походження, крові та похідних крові; ці заходи не перешкоджають будь якій державі-члену зберігати або впроваджувати суворіші захисні заходи; (b) заходів у сферах ветеринарії та фітосанітарії, безпосереднім завданням яких є захист громадського здоров’я; (с) заходів, що встановлюють високі стандарти якості та безпеки лікарських засобів та устаткування медичного призначення; </w:t>
      </w:r>
    </w:p>
    <w:p w14:paraId="76B78E60" w14:textId="77777777" w:rsidR="00CE3A52" w:rsidRPr="00CE3A52" w:rsidRDefault="00CE3A52" w:rsidP="00CE3A52">
      <w:pPr>
        <w:shd w:val="clear" w:color="auto" w:fill="FFFFFF"/>
        <w:ind w:firstLine="720"/>
        <w:jc w:val="both"/>
        <w:rPr>
          <w:lang w:val="uk-UA" w:eastAsia="ar-SA"/>
        </w:rPr>
      </w:pPr>
      <w:r w:rsidRPr="00CE3A52">
        <w:rPr>
          <w:lang w:val="uk-UA" w:eastAsia="ar-SA"/>
        </w:rPr>
        <w:t xml:space="preserve">5. Європейський Парламент та Рада, діючи згідно зі звичайною законодавчою процедурою та після проведення консультацій з Економічно-соціальним комітетом та Комітетом регіонів, також можуть ухвалити заохочувальні заходи, призначені для захисту та поліпшення здоров’я людини, зокрема для боротьби проти основних тяжких хвороб, що носять транскордонний характер, а також заходи, безпосередньою ціллю яких є захист громадського здоров’я від тютюну та зловживання алкоголем, за винятком будь-якої гармонізації законів та підзаконних актів держав-членів. </w:t>
      </w:r>
    </w:p>
    <w:p w14:paraId="7ADDEF69" w14:textId="77777777" w:rsidR="00CE3A52" w:rsidRPr="00CE3A52" w:rsidRDefault="00CE3A52" w:rsidP="00CE3A52">
      <w:pPr>
        <w:shd w:val="clear" w:color="auto" w:fill="FFFFFF"/>
        <w:ind w:firstLine="720"/>
        <w:jc w:val="both"/>
        <w:rPr>
          <w:lang w:val="uk-UA" w:eastAsia="ar-SA"/>
        </w:rPr>
      </w:pPr>
      <w:r w:rsidRPr="00CE3A52">
        <w:rPr>
          <w:lang w:val="uk-UA" w:eastAsia="ar-SA"/>
        </w:rPr>
        <w:t xml:space="preserve">6. Для цілей цієї статті Рада за пропозицією Комісії може також ухвалювати рекомендації. </w:t>
      </w:r>
    </w:p>
    <w:p w14:paraId="2F3676C6" w14:textId="77777777" w:rsidR="00CE3A52" w:rsidRPr="00CE3A52" w:rsidRDefault="00CE3A52" w:rsidP="00CE3A52">
      <w:pPr>
        <w:shd w:val="clear" w:color="auto" w:fill="FFFFFF"/>
        <w:ind w:firstLine="720"/>
        <w:jc w:val="both"/>
        <w:rPr>
          <w:lang w:val="uk-UA" w:eastAsia="ar-SA"/>
        </w:rPr>
      </w:pPr>
      <w:r w:rsidRPr="00CE3A52">
        <w:rPr>
          <w:lang w:val="uk-UA" w:eastAsia="ar-SA"/>
        </w:rPr>
        <w:t xml:space="preserve">7. У своїй діяльності </w:t>
      </w:r>
      <w:r w:rsidRPr="00CE3A52">
        <w:rPr>
          <w:b/>
          <w:lang w:val="uk-UA" w:eastAsia="ar-SA"/>
        </w:rPr>
        <w:t>Союз ставиться з повагою до обов’язків держав-членів щодо визначення своєї політики охорони здоров’я та за організацію і надання послуг з охорони здоров’я та медичної допомоги</w:t>
      </w:r>
      <w:r w:rsidRPr="00CE3A52">
        <w:rPr>
          <w:lang w:val="uk-UA" w:eastAsia="ar-SA"/>
        </w:rPr>
        <w:t>. Відповідальність держав-членів включає управління послугами з охорони здоров’я та медичною допомогою, а також розподіл ресурсів, призначених для них. Заходи, зазначені в пункті (а) частини 4, не впливають на національні положення про донорство або медичне використання органів та крові.</w:t>
      </w:r>
    </w:p>
    <w:p w14:paraId="5777457F" w14:textId="77777777" w:rsidR="00CE3A52" w:rsidRPr="00CE3A52" w:rsidRDefault="00CE3A52" w:rsidP="00CE3A52">
      <w:pPr>
        <w:suppressAutoHyphens/>
        <w:spacing w:before="120" w:after="120"/>
        <w:ind w:firstLine="709"/>
        <w:jc w:val="both"/>
        <w:textAlignment w:val="baseline"/>
        <w:rPr>
          <w:b/>
          <w:color w:val="000000"/>
          <w:lang w:val="uk-UA" w:eastAsia="uk-UA"/>
        </w:rPr>
      </w:pPr>
      <w:r w:rsidRPr="00CE3A52">
        <w:rPr>
          <w:lang w:val="uk-UA" w:eastAsia="ar-SA"/>
        </w:rPr>
        <w:t xml:space="preserve">У Статті 35 Хартії про основоположні права Європейського Союзу закріплено, що кожен </w:t>
      </w:r>
      <w:r w:rsidRPr="00CE3A52">
        <w:rPr>
          <w:b/>
          <w:lang w:val="uk-UA" w:eastAsia="ar-SA"/>
        </w:rPr>
        <w:t>має право</w:t>
      </w:r>
      <w:r w:rsidRPr="00CE3A52">
        <w:rPr>
          <w:lang w:val="uk-UA" w:eastAsia="ar-SA"/>
        </w:rPr>
        <w:t xml:space="preserve"> отримувати профілактичне медичне обслуговування та лікування згідно з умовами, встановленими національним законодавством та практикою. </w:t>
      </w:r>
      <w:r w:rsidRPr="00CE3A52">
        <w:rPr>
          <w:b/>
          <w:lang w:val="uk-UA" w:eastAsia="ar-SA"/>
        </w:rPr>
        <w:t>Високий рівень охорони здоров’я людини забезпечується у рамках визначення та реалізації всіх політик і дій Союзу.</w:t>
      </w:r>
      <w:r w:rsidRPr="00CE3A52">
        <w:rPr>
          <w:b/>
          <w:color w:val="000000"/>
          <w:lang w:val="uk-UA" w:eastAsia="uk-UA"/>
        </w:rPr>
        <w:t xml:space="preserve"> </w:t>
      </w:r>
    </w:p>
    <w:p w14:paraId="15B2027D" w14:textId="77777777" w:rsidR="00CE3A52" w:rsidRPr="00CE3A52" w:rsidRDefault="00CE3A52" w:rsidP="00CE3A52">
      <w:pPr>
        <w:shd w:val="clear" w:color="auto" w:fill="FFFFFF"/>
        <w:suppressAutoHyphens/>
        <w:ind w:firstLine="708"/>
        <w:jc w:val="both"/>
        <w:rPr>
          <w:b/>
          <w:lang w:val="uk-UA" w:eastAsia="ar-SA"/>
        </w:rPr>
      </w:pPr>
      <w:r w:rsidRPr="00CE3A52">
        <w:rPr>
          <w:lang w:val="uk-UA" w:eastAsia="ar-SA"/>
        </w:rPr>
        <w:t xml:space="preserve">Стаття 41 проекту Закону регулює питання щодо профілактичних щеплень. Профілактичні щеплення з метою запобігання захворюванням на дифтерію, кашлюк, кір, поліомієліт, правець, туберкульоз, вірусний гепатит В, паротит, краснуху, пневмококову та гемофільну інфекцію є обов'язковими і включаються до календаря щеплень. Медичні працівники, які проводять профілактичні щеплення, повинні мати відповідну підготовку з питань їх проведення та зобов'язані надати об'єктивну інформацію особам, яким проводиться щеплення, або їх законним </w:t>
      </w:r>
      <w:r w:rsidRPr="00CE3A52">
        <w:rPr>
          <w:lang w:val="uk-UA" w:eastAsia="ar-SA"/>
        </w:rPr>
        <w:lastRenderedPageBreak/>
        <w:t xml:space="preserve">представникам про ефективність профілактичних щеплень, ризики для здоров’я від інфекційних хвороб, про можливі поствакцинальні ускладнення та </w:t>
      </w:r>
      <w:r w:rsidRPr="00CE3A52">
        <w:rPr>
          <w:i/>
          <w:lang w:val="uk-UA" w:eastAsia="ar-SA"/>
        </w:rPr>
        <w:t>рекомендації щодо їх усунення</w:t>
      </w:r>
      <w:r w:rsidRPr="00CE3A52">
        <w:rPr>
          <w:lang w:val="uk-UA" w:eastAsia="ar-SA"/>
        </w:rPr>
        <w:t xml:space="preserve">. </w:t>
      </w:r>
      <w:r w:rsidRPr="00CE3A52">
        <w:rPr>
          <w:b/>
          <w:lang w:val="uk-UA" w:eastAsia="ar-SA"/>
        </w:rPr>
        <w:t>Водночас відсутні положення, які б гарантували надання якісної медичної допомоги у разі поствакцинальних ускладнень, передбачали механізм компенсації шкоди, завданої пацієнтам внаслідок вакцинації та встановлювали відповідальність за неякісні або сумнівної якості медичні імунобіологічні препарати, що використовуються для проведення щеплень.</w:t>
      </w:r>
    </w:p>
    <w:p w14:paraId="691637B8" w14:textId="77777777" w:rsidR="00CE3A52" w:rsidRPr="00CE3A52" w:rsidRDefault="00CE3A52" w:rsidP="00CE3A52">
      <w:pPr>
        <w:shd w:val="clear" w:color="auto" w:fill="FFFFFF"/>
        <w:suppressAutoHyphens/>
        <w:ind w:firstLine="708"/>
        <w:jc w:val="both"/>
        <w:rPr>
          <w:b/>
          <w:lang w:val="uk-UA" w:eastAsia="ar-SA"/>
        </w:rPr>
      </w:pPr>
      <w:r w:rsidRPr="00CE3A52">
        <w:rPr>
          <w:lang w:val="uk-UA" w:eastAsia="ar-SA"/>
        </w:rPr>
        <w:t xml:space="preserve">Також законопроектом передбачено, що профілактичні щеплення проводяться після медичного огляду особи в разі відсутності у неї відповідних медичних протипоказань. В той же час, якщо особа та (або) її законні представники відмовляються від обов'язкових профілактичних щеплень, </w:t>
      </w:r>
      <w:r w:rsidRPr="00CE3A52">
        <w:rPr>
          <w:i/>
          <w:lang w:val="uk-UA" w:eastAsia="ar-SA"/>
        </w:rPr>
        <w:t>лікар зобов’язаний взяти у них відповідне письмове підтвердження про відмову, а в разі небажання дати таке підтвердження - засвідчити це актом у присутності свідка.</w:t>
      </w:r>
      <w:r w:rsidRPr="00CE3A52">
        <w:rPr>
          <w:lang w:val="uk-UA" w:eastAsia="ar-SA"/>
        </w:rPr>
        <w:t xml:space="preserve"> Відповідна норма </w:t>
      </w:r>
      <w:r w:rsidRPr="00CE3A52">
        <w:rPr>
          <w:b/>
          <w:lang w:val="uk-UA" w:eastAsia="ar-SA"/>
        </w:rPr>
        <w:t xml:space="preserve">порушує основний принцип Міжнародних медико-санітарних правил, згідно з яким правила мають застосовуватися з повною повагою до гідності, прав людини та основних свобод людини. </w:t>
      </w:r>
      <w:bookmarkStart w:id="13" w:name="o87"/>
      <w:bookmarkEnd w:id="13"/>
    </w:p>
    <w:p w14:paraId="14648488" w14:textId="77777777" w:rsidR="00CE3A52" w:rsidRPr="00CE3A52" w:rsidRDefault="00CE3A52" w:rsidP="00CE3A52">
      <w:pPr>
        <w:suppressAutoHyphens/>
        <w:spacing w:before="120" w:after="120"/>
        <w:ind w:firstLine="720"/>
        <w:jc w:val="both"/>
        <w:rPr>
          <w:color w:val="000000"/>
          <w:lang w:val="uk-UA" w:eastAsia="uk-UA"/>
        </w:rPr>
      </w:pPr>
      <w:r w:rsidRPr="00CE3A52">
        <w:rPr>
          <w:color w:val="000000"/>
          <w:lang w:val="uk-UA" w:eastAsia="uk-UA"/>
        </w:rPr>
        <w:t>Проект Закону регулює суспільні відносини у сфері громадського здоров’я та санітарно-епідемічного благополуччя, визначає відповідні права і обов’язки державних органів та органів місцевого самоврядування, юридичних і фізичних осіб у цій сфері, встановлює правові та організаційні засади здійснення державного нагляду (контролю) у сферах господарської діяльності, які можуть становити ризик для санітарно-епідемічного благополуччя.</w:t>
      </w:r>
    </w:p>
    <w:p w14:paraId="6F3D2474" w14:textId="77777777" w:rsidR="00CE3A52" w:rsidRPr="00CE3A52" w:rsidRDefault="00CE3A52" w:rsidP="00CE3A52">
      <w:pPr>
        <w:suppressAutoHyphens/>
        <w:spacing w:before="120" w:after="120"/>
        <w:ind w:firstLine="720"/>
        <w:jc w:val="both"/>
        <w:rPr>
          <w:color w:val="000000"/>
          <w:lang w:val="uk-UA" w:eastAsia="uk-UA"/>
        </w:rPr>
      </w:pPr>
      <w:r w:rsidRPr="00CE3A52">
        <w:rPr>
          <w:color w:val="222222"/>
          <w:lang w:val="uk-UA" w:eastAsia="uk-UA"/>
        </w:rPr>
        <w:t>Варто зауважити, що положення проекту закону поширюється на харчові продукти щодо яких проводяться санітарно-епідеміологічні розслідування захворювань, спричинених інфекційними хворобами, масовими неінфекційними захворюваннями, отруєннями та радіаційним ураженням людей, а також випадків, прямо передбачених цим Законом (частина 3 статті 2 проекту Закону).</w:t>
      </w:r>
    </w:p>
    <w:p w14:paraId="17AC682F" w14:textId="77777777" w:rsidR="00CE3A52" w:rsidRPr="00CE3A52" w:rsidRDefault="00CE3A52" w:rsidP="00CE3A52">
      <w:pPr>
        <w:shd w:val="clear" w:color="auto" w:fill="FFFFFF"/>
        <w:ind w:firstLine="720"/>
        <w:jc w:val="both"/>
        <w:rPr>
          <w:rFonts w:ascii="Arial" w:hAnsi="Arial" w:cs="Arial"/>
          <w:color w:val="222222"/>
          <w:sz w:val="24"/>
          <w:szCs w:val="24"/>
          <w:lang w:val="uk-UA" w:eastAsia="uk-UA"/>
        </w:rPr>
      </w:pPr>
      <w:r w:rsidRPr="00CE3A52">
        <w:rPr>
          <w:color w:val="222222"/>
          <w:lang w:val="uk-UA" w:eastAsia="uk-UA"/>
        </w:rPr>
        <w:t>Окрім того, важливо підкреслити, що відносини між органами виконавчої влади, операторами ринку харчових продуктів та споживачами харчових продуктів, порядок забезпечення безпечності та окремих показників якості харчових продуктів, що виробляються, перебувають в обігу, ввозяться (пересилаються) на митну територію України та/або вивозяться (пересилаються) з неї, регулює Закон України "Про основні принципи та вимоги до безпечності та якості харчових продуктів".</w:t>
      </w:r>
    </w:p>
    <w:p w14:paraId="4C25983C" w14:textId="77777777" w:rsidR="00CE3A52" w:rsidRPr="00CE3A52" w:rsidRDefault="00CE3A52" w:rsidP="00CE3A52">
      <w:pPr>
        <w:shd w:val="clear" w:color="auto" w:fill="FFFFFF"/>
        <w:ind w:firstLine="720"/>
        <w:jc w:val="both"/>
        <w:rPr>
          <w:rFonts w:ascii="Arial" w:hAnsi="Arial" w:cs="Arial"/>
          <w:color w:val="222222"/>
          <w:sz w:val="24"/>
          <w:szCs w:val="24"/>
          <w:lang w:val="uk-UA" w:eastAsia="uk-UA"/>
        </w:rPr>
      </w:pPr>
      <w:r w:rsidRPr="00CE3A52">
        <w:rPr>
          <w:color w:val="222222"/>
          <w:lang w:val="uk-UA" w:eastAsia="uk-UA"/>
        </w:rPr>
        <w:t>Правові та організаційні засади державного контролю, що здійснюється з метою перевірки дотримання операторами ринку законодавства про харчові продукти, корми, здоров’я та благополуччя тварин, а також законодавства про побічні продукти тваринного походження під час ввезення (пересилання) таких побічних продуктів на митну територію України визначає Закон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594E025F" w14:textId="77777777" w:rsidR="00CE3A52" w:rsidRPr="00CE3A52" w:rsidRDefault="00CE3A52" w:rsidP="00CE3A52">
      <w:pPr>
        <w:shd w:val="clear" w:color="auto" w:fill="FFFFFF"/>
        <w:ind w:firstLine="720"/>
        <w:jc w:val="both"/>
        <w:rPr>
          <w:color w:val="222222"/>
          <w:lang w:val="uk-UA" w:eastAsia="uk-UA"/>
        </w:rPr>
      </w:pPr>
      <w:r w:rsidRPr="00CE3A52">
        <w:rPr>
          <w:b/>
          <w:color w:val="222222"/>
          <w:lang w:val="uk-UA" w:eastAsia="uk-UA"/>
        </w:rPr>
        <w:t>Необхідно зазначити, що Сторона ЄС із занепокоєнням стежить за окремими заявами щодо відновлення діяльності окремої санітарно-епідеміологічної служби.</w:t>
      </w:r>
      <w:bookmarkStart w:id="14" w:name="n2586"/>
      <w:bookmarkEnd w:id="14"/>
      <w:r w:rsidRPr="00CE3A52">
        <w:rPr>
          <w:rFonts w:ascii="Arial" w:hAnsi="Arial" w:cs="Arial"/>
          <w:color w:val="222222"/>
          <w:sz w:val="24"/>
          <w:szCs w:val="24"/>
          <w:lang w:val="uk-UA" w:eastAsia="uk-UA"/>
        </w:rPr>
        <w:t xml:space="preserve"> </w:t>
      </w:r>
      <w:r w:rsidRPr="00CE3A52">
        <w:rPr>
          <w:color w:val="222222"/>
          <w:lang w:val="uk-UA" w:eastAsia="uk-UA"/>
        </w:rPr>
        <w:t xml:space="preserve">Необхідність створення Уповноваженого органу у сфері громадського здоров'я не є чітко визначеною чи обґрунтованою. На думку сторони </w:t>
      </w:r>
      <w:r w:rsidRPr="00CE3A52">
        <w:rPr>
          <w:color w:val="222222"/>
          <w:lang w:val="uk-UA" w:eastAsia="uk-UA"/>
        </w:rPr>
        <w:lastRenderedPageBreak/>
        <w:t xml:space="preserve">ЄС, створення нового органу під прямим мандатом Кабінету Міністрів України та паралельно МОЗ може призвести до ризику </w:t>
      </w:r>
      <w:r w:rsidRPr="00CE3A52">
        <w:rPr>
          <w:b/>
          <w:color w:val="222222"/>
          <w:lang w:val="uk-UA" w:eastAsia="uk-UA"/>
        </w:rPr>
        <w:t>дублювання функцій та потенційних конфліктів інтересів</w:t>
      </w:r>
      <w:r w:rsidRPr="00CE3A52">
        <w:rPr>
          <w:color w:val="222222"/>
          <w:lang w:val="uk-UA" w:eastAsia="uk-UA"/>
        </w:rPr>
        <w:t>. Це також може негативно вплинути на національні цілі заохочення до підходу «Єдине здоров'я», зазначеного у законопроекті. Створення нової установи не вважається доцільним ні з бюджетної, ні з архітектурної точок зору. Крім того, покладання функцій інспекції на Уповноважений орган у сфері громадського здоров’я не відповідає системі стримувань та противаг. Та існує ризик накладання функцій на вже функціонуючу на сьогодні службу – Державну служби з питань безпеки харчових продуктів та захисту споживачів.</w:t>
      </w:r>
    </w:p>
    <w:p w14:paraId="20BDE8C8" w14:textId="77777777" w:rsidR="00CE3A52" w:rsidRPr="00CE3A52" w:rsidRDefault="00CE3A52" w:rsidP="00CE3A52">
      <w:pPr>
        <w:shd w:val="clear" w:color="auto" w:fill="FFFFFF"/>
        <w:rPr>
          <w:color w:val="222222"/>
          <w:lang w:val="uk-UA" w:eastAsia="uk-UA"/>
        </w:rPr>
      </w:pPr>
      <w:r w:rsidRPr="00CE3A52">
        <w:rPr>
          <w:color w:val="222222"/>
          <w:lang w:val="uk-UA" w:eastAsia="uk-UA"/>
        </w:rPr>
        <w:t> </w:t>
      </w:r>
    </w:p>
    <w:p w14:paraId="3097F435" w14:textId="77777777" w:rsidR="00CE3A52" w:rsidRPr="00CE3A52" w:rsidRDefault="00CE3A52" w:rsidP="00CE3A52">
      <w:pPr>
        <w:shd w:val="clear" w:color="auto" w:fill="FFFFFF"/>
        <w:jc w:val="both"/>
        <w:rPr>
          <w:color w:val="222222"/>
          <w:lang w:val="uk-UA" w:eastAsia="uk-UA"/>
        </w:rPr>
      </w:pPr>
      <w:r w:rsidRPr="00CE3A52">
        <w:rPr>
          <w:color w:val="222222"/>
          <w:lang w:val="uk-UA" w:eastAsia="uk-UA"/>
        </w:rPr>
        <w:t>Враховуючи вищевикладене, сторона ЄС вважає, що законопроект можна було б вдосконалити, врахувавши наступні зміни:</w:t>
      </w:r>
    </w:p>
    <w:p w14:paraId="50806DE5" w14:textId="77777777" w:rsidR="00CE3A52" w:rsidRPr="00CE3A52" w:rsidRDefault="00CE3A52" w:rsidP="00CE3A52">
      <w:pPr>
        <w:shd w:val="clear" w:color="auto" w:fill="FFFFFF"/>
        <w:jc w:val="both"/>
        <w:rPr>
          <w:color w:val="222222"/>
          <w:lang w:val="uk-UA" w:eastAsia="uk-UA"/>
        </w:rPr>
      </w:pPr>
      <w:r w:rsidRPr="00CE3A52">
        <w:rPr>
          <w:color w:val="222222"/>
          <w:lang w:val="uk-UA" w:eastAsia="uk-UA"/>
        </w:rPr>
        <w:t> </w:t>
      </w:r>
    </w:p>
    <w:p w14:paraId="6A04BF75" w14:textId="77777777" w:rsidR="00CE3A52" w:rsidRPr="00CE3A52" w:rsidRDefault="00CE3A52" w:rsidP="00CE3A52">
      <w:pPr>
        <w:shd w:val="clear" w:color="auto" w:fill="FFFFFF"/>
        <w:jc w:val="both"/>
        <w:rPr>
          <w:color w:val="222222"/>
          <w:lang w:val="uk-UA" w:eastAsia="uk-UA"/>
        </w:rPr>
      </w:pPr>
      <w:r w:rsidRPr="00CE3A52">
        <w:rPr>
          <w:color w:val="222222"/>
          <w:lang w:val="uk-UA" w:eastAsia="uk-UA"/>
        </w:rPr>
        <w:t>(i) Необхідно передбачити чіткі довгострокові пріоритети та стратегії у сфері громадського здоров'я. У проекті Закону не визначені всі основні цілі, і тому імплементація запропонованого закону не обов'язково сприятиме вдосконаленню та модернізації національної системи громадського здоров'я. Дуже важливо визначити довгострокове бачення та пріоритети громадського здоров’я; та відповідні стратегії, які будуть розроблені та прийняті у прозорий спосіб. Без цих положень закон може мати обмежений вплив і не забезпечить всеохоплюючого вирішення поточних проблем системи громадського здоров’я.</w:t>
      </w:r>
    </w:p>
    <w:p w14:paraId="5331E077" w14:textId="77777777" w:rsidR="00CE3A52" w:rsidRPr="00CE3A52" w:rsidRDefault="00CE3A52" w:rsidP="00CE3A52">
      <w:pPr>
        <w:shd w:val="clear" w:color="auto" w:fill="FFFFFF"/>
        <w:jc w:val="both"/>
        <w:rPr>
          <w:color w:val="222222"/>
          <w:lang w:val="uk-UA" w:eastAsia="uk-UA"/>
        </w:rPr>
      </w:pPr>
      <w:r w:rsidRPr="00CE3A52">
        <w:rPr>
          <w:color w:val="222222"/>
          <w:lang w:val="uk-UA" w:eastAsia="uk-UA"/>
        </w:rPr>
        <w:t xml:space="preserve">(ii) Щоб уникнути дублювання функцій та можливого дублювання відповідальності, необхідно передбачити чіткий опис мережі систем громадського здоров’я та її установ на національному та регіональному рівнях з чітким визначенням їх повноважень та відповідальностей. Незважаючи на те, що в законопроекті згадується багато структурних елементів системи громадського здоров'я, водночас </w:t>
      </w:r>
      <w:r w:rsidRPr="00CE3A52">
        <w:rPr>
          <w:b/>
          <w:color w:val="222222"/>
          <w:lang w:val="uk-UA" w:eastAsia="uk-UA"/>
        </w:rPr>
        <w:t>відсутні чіткі рамки їх підзвітності</w:t>
      </w:r>
      <w:r w:rsidRPr="00CE3A52">
        <w:rPr>
          <w:color w:val="222222"/>
          <w:lang w:val="uk-UA" w:eastAsia="uk-UA"/>
        </w:rPr>
        <w:t xml:space="preserve"> та </w:t>
      </w:r>
      <w:r w:rsidRPr="00CE3A52">
        <w:rPr>
          <w:b/>
          <w:color w:val="222222"/>
          <w:lang w:val="uk-UA" w:eastAsia="uk-UA"/>
        </w:rPr>
        <w:t>не передбачено чіткого розподілу повноважень та функцій між ними</w:t>
      </w:r>
      <w:r w:rsidRPr="00CE3A52">
        <w:rPr>
          <w:color w:val="222222"/>
          <w:lang w:val="uk-UA" w:eastAsia="uk-UA"/>
        </w:rPr>
        <w:t>, що може спричинити подальшу фрагментацію системи.</w:t>
      </w:r>
    </w:p>
    <w:p w14:paraId="3B7D23D3" w14:textId="77777777" w:rsidR="00CE3A52" w:rsidRPr="00CE3A52" w:rsidRDefault="00CE3A52" w:rsidP="00CE3A52">
      <w:pPr>
        <w:shd w:val="clear" w:color="auto" w:fill="FFFFFF"/>
        <w:jc w:val="both"/>
        <w:rPr>
          <w:color w:val="222222"/>
          <w:lang w:val="uk-UA" w:eastAsia="uk-UA"/>
        </w:rPr>
      </w:pPr>
      <w:r w:rsidRPr="00CE3A52">
        <w:rPr>
          <w:color w:val="222222"/>
          <w:lang w:val="uk-UA" w:eastAsia="uk-UA"/>
        </w:rPr>
        <w:t>(iii) Необхідно чітко визначити роль незалежного експертного закладу громадського здоров'я на національному рівні, який має координувати діяльність в галузі громадського здоров'я в Україні, а також регіональної мережі закладів громадського здоров'я та приділити належну увагу до всіх 10 основних операційних функцій у сфері громадського здоров’я.</w:t>
      </w:r>
    </w:p>
    <w:p w14:paraId="4AD43363" w14:textId="77777777" w:rsidR="00CE3A52" w:rsidRPr="00CE3A52" w:rsidRDefault="00CE3A52" w:rsidP="00CE3A52">
      <w:pPr>
        <w:shd w:val="clear" w:color="auto" w:fill="FFFFFF"/>
        <w:jc w:val="both"/>
        <w:rPr>
          <w:color w:val="222222"/>
          <w:lang w:val="uk-UA" w:eastAsia="uk-UA"/>
        </w:rPr>
      </w:pPr>
      <w:r w:rsidRPr="00CE3A52">
        <w:rPr>
          <w:color w:val="222222"/>
          <w:lang w:val="uk-UA" w:eastAsia="uk-UA"/>
        </w:rPr>
        <w:t>(iv) Важливо чітко визначити основні функції та відповідальності Головного державного санітарного лікаря.</w:t>
      </w:r>
    </w:p>
    <w:p w14:paraId="49C43FB8" w14:textId="77777777" w:rsidR="00CE3A52" w:rsidRPr="00CE3A52" w:rsidRDefault="00CE3A52" w:rsidP="00CE3A52">
      <w:pPr>
        <w:shd w:val="clear" w:color="auto" w:fill="FFFFFF"/>
        <w:jc w:val="both"/>
        <w:rPr>
          <w:color w:val="222222"/>
          <w:lang w:val="uk-UA" w:eastAsia="uk-UA"/>
        </w:rPr>
      </w:pPr>
      <w:r w:rsidRPr="00CE3A52">
        <w:rPr>
          <w:color w:val="222222"/>
          <w:lang w:val="uk-UA" w:eastAsia="uk-UA"/>
        </w:rPr>
        <w:t xml:space="preserve">(v) Потрібно гарантувати розмежування повноважень та функцій, зокрема, між інспекційними функціями Уповноваженого органу у сфері громадського здоров'я та іншими контролюючими (наглядовими) органами щодо дотримання санітарно-епідеміологічного законодавства. </w:t>
      </w:r>
    </w:p>
    <w:p w14:paraId="08CD5F1F" w14:textId="77777777" w:rsidR="00CE3A52" w:rsidRPr="00CE3A52" w:rsidRDefault="00CE3A52" w:rsidP="00CE3A52">
      <w:pPr>
        <w:shd w:val="clear" w:color="auto" w:fill="FFFFFF"/>
        <w:jc w:val="both"/>
        <w:rPr>
          <w:color w:val="222222"/>
          <w:lang w:val="uk-UA" w:eastAsia="uk-UA"/>
        </w:rPr>
      </w:pPr>
      <w:r w:rsidRPr="00CE3A52">
        <w:rPr>
          <w:color w:val="222222"/>
          <w:lang w:val="uk-UA" w:eastAsia="uk-UA"/>
        </w:rPr>
        <w:t>(</w:t>
      </w:r>
      <w:r w:rsidRPr="00CE3A52">
        <w:rPr>
          <w:color w:val="222222"/>
          <w:lang w:eastAsia="uk-UA"/>
        </w:rPr>
        <w:t>v</w:t>
      </w:r>
      <w:r w:rsidRPr="00CE3A52">
        <w:rPr>
          <w:color w:val="222222"/>
          <w:lang w:val="uk-UA" w:eastAsia="uk-UA"/>
        </w:rPr>
        <w:t>i) У разі епідемій, пандемій та спалахів хвороб важливо надати повноваження Міністерству охорони здоров’я України щодо прийняття рішень для проведення заходів щодо додаткової вакцинації.</w:t>
      </w:r>
    </w:p>
    <w:p w14:paraId="49C6E39B" w14:textId="77777777" w:rsidR="00CE3A52" w:rsidRPr="00CE3A52" w:rsidRDefault="00CE3A52" w:rsidP="00CE3A52">
      <w:pPr>
        <w:shd w:val="clear" w:color="auto" w:fill="FFFFFF"/>
        <w:jc w:val="both"/>
        <w:rPr>
          <w:color w:val="222222"/>
          <w:lang w:val="uk-UA" w:eastAsia="uk-UA"/>
        </w:rPr>
      </w:pPr>
      <w:r w:rsidRPr="00CE3A52">
        <w:rPr>
          <w:color w:val="222222"/>
          <w:lang w:val="uk-UA" w:eastAsia="uk-UA"/>
        </w:rPr>
        <w:t>(</w:t>
      </w:r>
      <w:r w:rsidRPr="00CE3A52">
        <w:rPr>
          <w:color w:val="222222"/>
          <w:lang w:eastAsia="uk-UA"/>
        </w:rPr>
        <w:t>v</w:t>
      </w:r>
      <w:r w:rsidRPr="00CE3A52">
        <w:rPr>
          <w:color w:val="222222"/>
          <w:lang w:val="uk-UA" w:eastAsia="uk-UA"/>
        </w:rPr>
        <w:t xml:space="preserve">ii) Необхідно  більш чітко прописати розділи, пов’язані з імунізацією, зокрема щодо спеціалістів з імунізації та/або команд з імунізації, інтегрованих на регіональному та районному рівнях громадського здоров’я, а також щодо </w:t>
      </w:r>
      <w:r w:rsidRPr="00CE3A52">
        <w:rPr>
          <w:color w:val="222222"/>
          <w:lang w:val="uk-UA" w:eastAsia="uk-UA"/>
        </w:rPr>
        <w:lastRenderedPageBreak/>
        <w:t>ключових компетенцій, необхідних для забезпечення високоефективних програм імунізації.</w:t>
      </w:r>
    </w:p>
    <w:p w14:paraId="6E1685C0" w14:textId="77777777" w:rsidR="00CE3A52" w:rsidRPr="00CE3A52" w:rsidRDefault="00CE3A52" w:rsidP="00CE3A52">
      <w:pPr>
        <w:shd w:val="clear" w:color="auto" w:fill="FFFFFF"/>
        <w:jc w:val="both"/>
        <w:rPr>
          <w:color w:val="222222"/>
          <w:lang w:val="uk-UA" w:eastAsia="uk-UA"/>
        </w:rPr>
      </w:pPr>
      <w:r w:rsidRPr="00CE3A52">
        <w:rPr>
          <w:color w:val="222222"/>
          <w:lang w:val="uk-UA" w:eastAsia="uk-UA"/>
        </w:rPr>
        <w:t>(</w:t>
      </w:r>
      <w:r w:rsidRPr="00CE3A52">
        <w:rPr>
          <w:color w:val="222222"/>
          <w:lang w:eastAsia="uk-UA"/>
        </w:rPr>
        <w:t>v</w:t>
      </w:r>
      <w:r w:rsidRPr="00CE3A52">
        <w:rPr>
          <w:color w:val="222222"/>
          <w:lang w:val="uk-UA" w:eastAsia="uk-UA"/>
        </w:rPr>
        <w:t>iii) Важливо додати функцію з комунікації та розповсюдження інформації серед населення до переліку функцій органу, відповідального за громадське здоров’я на національному рівні для забезпечення оперативної та достовірної комунікації з питань громадського здоров’я.</w:t>
      </w:r>
    </w:p>
    <w:p w14:paraId="71160BC9" w14:textId="77777777" w:rsidR="00CE3A52" w:rsidRPr="00CE3A52" w:rsidRDefault="00CE3A52" w:rsidP="00CE3A52">
      <w:pPr>
        <w:shd w:val="clear" w:color="auto" w:fill="FFFFFF"/>
        <w:jc w:val="both"/>
        <w:rPr>
          <w:color w:val="222222"/>
          <w:lang w:val="uk-UA" w:eastAsia="uk-UA"/>
        </w:rPr>
      </w:pPr>
      <w:r w:rsidRPr="00CE3A52">
        <w:rPr>
          <w:color w:val="222222"/>
          <w:lang w:val="uk-UA" w:eastAsia="uk-UA"/>
        </w:rPr>
        <w:t>(ix) Важливо послідовно вживати термін "громадське здоров'я": в деяких частинах він стосується лише "контролю та профілактики захворювань", що охоплює лише частину функцій у сфері громадського здоров'я.</w:t>
      </w:r>
    </w:p>
    <w:p w14:paraId="75CF13BB" w14:textId="77777777" w:rsidR="00CE3A52" w:rsidRPr="00CE3A52" w:rsidRDefault="00CE3A52" w:rsidP="00CE3A52">
      <w:pPr>
        <w:shd w:val="clear" w:color="auto" w:fill="FFFFFF"/>
        <w:jc w:val="both"/>
        <w:rPr>
          <w:color w:val="222222"/>
          <w:lang w:val="uk-UA" w:eastAsia="uk-UA"/>
        </w:rPr>
      </w:pPr>
      <w:r w:rsidRPr="00CE3A52">
        <w:rPr>
          <w:color w:val="222222"/>
          <w:lang w:val="uk-UA" w:eastAsia="uk-UA"/>
        </w:rPr>
        <w:t>(x) Необхідно розглянути можливість розширення сфери «санітарно-епідеміологічного благополуччя», додаючи до неї соціальне та психологічне благополуччя.</w:t>
      </w:r>
    </w:p>
    <w:p w14:paraId="2434D490" w14:textId="77777777" w:rsidR="00CE3A52" w:rsidRPr="00CE3A52" w:rsidRDefault="00CE3A52" w:rsidP="00CE3A52">
      <w:pPr>
        <w:shd w:val="clear" w:color="auto" w:fill="FFFFFF"/>
        <w:jc w:val="both"/>
        <w:rPr>
          <w:color w:val="222222"/>
          <w:lang w:val="uk-UA" w:eastAsia="uk-UA"/>
        </w:rPr>
      </w:pPr>
      <w:r w:rsidRPr="00CE3A52">
        <w:rPr>
          <w:color w:val="222222"/>
          <w:lang w:val="uk-UA" w:eastAsia="uk-UA"/>
        </w:rPr>
        <w:t>(xi) Потрібно чітко визначити повноваження та обов'язки державних служб громадського здоров'я у питанні готовності та реагування на надзвичайні ситуації у галузі громадського здоров'я, беручи до уваги уроки, засвоєні під час реагування на COVID-19.</w:t>
      </w:r>
    </w:p>
    <w:p w14:paraId="19CB53E2" w14:textId="77777777" w:rsidR="00CE3A52" w:rsidRPr="00CE3A52" w:rsidRDefault="00CE3A52" w:rsidP="00CE3A52">
      <w:pPr>
        <w:shd w:val="clear" w:color="auto" w:fill="FFFFFF"/>
        <w:jc w:val="both"/>
        <w:rPr>
          <w:color w:val="222222"/>
          <w:lang w:val="uk-UA" w:eastAsia="uk-UA"/>
        </w:rPr>
      </w:pPr>
      <w:r w:rsidRPr="00CE3A52">
        <w:rPr>
          <w:color w:val="222222"/>
          <w:lang w:val="uk-UA" w:eastAsia="uk-UA"/>
        </w:rPr>
        <w:t>(xii) Важливо розділити завдання між службами охорони здоров'я та у сфері громадського здоров'я, наприклад, в галузі імунізації та охорони здоров'я матері та дитини, до якої належить розвиток дітей раннього віку; визначити взаємозв'язки між обома системами, зокрема щодо питань профілактики НІЗ, ВІЛ-інфекції, туберкульозу, вірусного гепатиту.</w:t>
      </w:r>
    </w:p>
    <w:p w14:paraId="285DC817" w14:textId="77777777" w:rsidR="00CE3A52" w:rsidRPr="00CE3A52" w:rsidRDefault="00CE3A52" w:rsidP="00CE3A52">
      <w:pPr>
        <w:shd w:val="clear" w:color="auto" w:fill="FFFFFF"/>
        <w:jc w:val="both"/>
        <w:rPr>
          <w:color w:val="222222"/>
          <w:lang w:val="uk-UA" w:eastAsia="uk-UA"/>
        </w:rPr>
      </w:pPr>
      <w:r w:rsidRPr="00CE3A52">
        <w:rPr>
          <w:color w:val="222222"/>
          <w:lang w:val="uk-UA" w:eastAsia="uk-UA"/>
        </w:rPr>
        <w:t>(xiii) Додати норми щодо належного моніторингу та оцінки системи громадського здоров’я з чітко визначеними показниками, базовими та цільовими, які допомогли б визначити та відстежити результати її функціонування як на національному, так і на місцевому рівнях.</w:t>
      </w:r>
    </w:p>
    <w:p w14:paraId="30D1DCAB" w14:textId="77777777" w:rsidR="00CE3A52" w:rsidRPr="00CE3A52" w:rsidRDefault="00CE3A52" w:rsidP="00CE3A52">
      <w:pPr>
        <w:ind w:firstLine="709"/>
        <w:jc w:val="both"/>
        <w:textAlignment w:val="baseline"/>
        <w:rPr>
          <w:color w:val="222222"/>
          <w:lang w:val="uk-UA" w:eastAsia="uk-UA"/>
        </w:rPr>
      </w:pPr>
    </w:p>
    <w:p w14:paraId="7E0B5C71" w14:textId="77777777" w:rsidR="00CE3A52" w:rsidRPr="00CE3A52" w:rsidRDefault="00CE3A52" w:rsidP="00CE3A52">
      <w:pPr>
        <w:suppressAutoHyphens/>
        <w:spacing w:before="160"/>
        <w:ind w:firstLine="708"/>
        <w:jc w:val="both"/>
        <w:rPr>
          <w:lang w:val="uk-UA" w:eastAsia="ar-SA"/>
        </w:rPr>
      </w:pPr>
      <w:r w:rsidRPr="00CE3A52">
        <w:rPr>
          <w:rFonts w:eastAsia="Verdana"/>
          <w:b/>
          <w:bCs/>
          <w:lang w:val="uk-UA" w:eastAsia="ar-SA"/>
        </w:rPr>
        <w:t xml:space="preserve">4. </w:t>
      </w:r>
      <w:r w:rsidRPr="00CE3A52">
        <w:rPr>
          <w:b/>
          <w:lang w:val="uk-UA" w:eastAsia="ar-SA"/>
        </w:rPr>
        <w:t xml:space="preserve">Висновок Комітету з питань інтеграції України з Європейським Союзом. </w:t>
      </w:r>
    </w:p>
    <w:p w14:paraId="14E65077" w14:textId="77777777" w:rsidR="00CE3A52" w:rsidRPr="00CE3A52" w:rsidRDefault="00CE3A52" w:rsidP="00CE3A52">
      <w:pPr>
        <w:widowControl w:val="0"/>
        <w:tabs>
          <w:tab w:val="left" w:pos="540"/>
        </w:tabs>
        <w:suppressAutoHyphens/>
        <w:spacing w:after="120"/>
        <w:jc w:val="both"/>
        <w:rPr>
          <w:bCs/>
          <w:lang w:val="uk-UA" w:eastAsia="ar-SA"/>
        </w:rPr>
      </w:pPr>
      <w:r w:rsidRPr="00CE3A52">
        <w:rPr>
          <w:lang w:val="uk-UA" w:eastAsia="ar-SA"/>
        </w:rPr>
        <w:tab/>
      </w:r>
      <w:r w:rsidRPr="00CE3A52">
        <w:rPr>
          <w:bCs/>
          <w:lang w:val="uk-UA" w:eastAsia="ar-SA"/>
        </w:rPr>
        <w:t xml:space="preserve"> </w:t>
      </w:r>
    </w:p>
    <w:p w14:paraId="62A9B0FB" w14:textId="77777777" w:rsidR="00CE3A52" w:rsidRPr="00CE3A52" w:rsidRDefault="00CE3A52" w:rsidP="00CE3A52">
      <w:pPr>
        <w:shd w:val="clear" w:color="auto" w:fill="FFFFFF"/>
        <w:ind w:firstLine="720"/>
        <w:jc w:val="both"/>
        <w:rPr>
          <w:color w:val="222222"/>
          <w:lang w:val="uk-UA" w:eastAsia="uk-UA"/>
        </w:rPr>
      </w:pPr>
      <w:r w:rsidRPr="00CE3A52">
        <w:rPr>
          <w:kern w:val="1"/>
          <w:lang w:val="uk-UA" w:eastAsia="ar-SA"/>
        </w:rPr>
        <w:t>Проект Закону потребує суттєвого доопрацювання з метою дотримання принципів</w:t>
      </w:r>
      <w:r w:rsidRPr="00CE3A52">
        <w:rPr>
          <w:b/>
          <w:lang w:val="uk-UA" w:eastAsia="ar-SA"/>
        </w:rPr>
        <w:t xml:space="preserve"> </w:t>
      </w:r>
      <w:r w:rsidRPr="00CE3A52">
        <w:rPr>
          <w:lang w:val="uk-UA" w:eastAsia="ar-SA"/>
        </w:rPr>
        <w:t xml:space="preserve">Міжнародних медико-санітарних правил, забезпечення поваги до гідності, прав людини та основних свобод людини, а також для </w:t>
      </w:r>
      <w:r w:rsidRPr="00CE3A52">
        <w:rPr>
          <w:color w:val="222222"/>
          <w:lang w:val="uk-UA" w:eastAsia="uk-UA"/>
        </w:rPr>
        <w:t>збереження чіткого розподілу повноважень</w:t>
      </w:r>
      <w:r w:rsidRPr="00CE3A52">
        <w:rPr>
          <w:lang w:val="uk-UA" w:eastAsia="ar-SA"/>
        </w:rPr>
        <w:t xml:space="preserve">, забезпечення чітких рамок підзвітності, </w:t>
      </w:r>
      <w:r w:rsidRPr="00CE3A52">
        <w:rPr>
          <w:kern w:val="1"/>
          <w:lang w:val="uk-UA" w:eastAsia="ar-SA"/>
        </w:rPr>
        <w:t xml:space="preserve"> </w:t>
      </w:r>
      <w:r w:rsidRPr="00CE3A52">
        <w:rPr>
          <w:color w:val="222222"/>
          <w:lang w:val="uk-UA" w:eastAsia="uk-UA"/>
        </w:rPr>
        <w:t>уникнення дублювання функцій органів державної влади та запобігання їх конфлікту інтересів.</w:t>
      </w:r>
    </w:p>
    <w:p w14:paraId="22F77F87" w14:textId="77777777" w:rsidR="00CE3A52" w:rsidRPr="00CE3A52" w:rsidRDefault="00CE3A52" w:rsidP="00CE3A52">
      <w:pPr>
        <w:suppressAutoHyphens/>
        <w:spacing w:line="100" w:lineRule="atLeast"/>
        <w:ind w:firstLine="567"/>
        <w:jc w:val="both"/>
        <w:rPr>
          <w:bCs/>
          <w:lang w:val="uk-UA" w:eastAsia="ar-SA"/>
        </w:rPr>
      </w:pPr>
    </w:p>
    <w:p w14:paraId="5E85A0F8" w14:textId="18FE8522" w:rsidR="00D20E8E" w:rsidRDefault="00D20E8E" w:rsidP="00CE3A52">
      <w:pPr>
        <w:jc w:val="center"/>
        <w:rPr>
          <w:lang w:val="uk-UA"/>
        </w:rPr>
      </w:pPr>
    </w:p>
    <w:sectPr w:rsidR="00D20E8E" w:rsidSect="001E41CD">
      <w:footerReference w:type="default" r:id="rId9"/>
      <w:footerReference w:type="first" r:id="rId10"/>
      <w:pgSz w:w="11906" w:h="16838"/>
      <w:pgMar w:top="720" w:right="851" w:bottom="720" w:left="1134" w:header="709" w:footer="37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5A0FD" w14:textId="77777777" w:rsidR="001C4B79" w:rsidRDefault="001C4B79">
      <w:r>
        <w:separator/>
      </w:r>
    </w:p>
  </w:endnote>
  <w:endnote w:type="continuationSeparator" w:id="0">
    <w:p w14:paraId="5E85A0FE" w14:textId="77777777" w:rsidR="001C4B79" w:rsidRDefault="001C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5A0FF" w14:textId="77777777" w:rsidR="00D67DFC" w:rsidRDefault="00D67DFC" w:rsidP="00D67DFC">
    <w:pPr>
      <w:pStyle w:val="a5"/>
    </w:pPr>
  </w:p>
  <w:p w14:paraId="5E85A100" w14:textId="77777777" w:rsidR="00D67DFC" w:rsidRPr="00D67DFC" w:rsidRDefault="00D67DFC" w:rsidP="00D67D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5A101" w14:textId="567F35C0" w:rsidR="001E41CD" w:rsidRPr="00D67DFC" w:rsidRDefault="001E41CD" w:rsidP="001E41CD">
    <w:pPr>
      <w:pStyle w:val="a5"/>
      <w:rPr>
        <w:sz w:val="24"/>
        <w:szCs w:val="24"/>
        <w:lang w:val="ru-RU"/>
      </w:rPr>
    </w:pPr>
    <w:r w:rsidRPr="00D67DFC">
      <w:rPr>
        <w:sz w:val="24"/>
        <w:szCs w:val="24"/>
        <w:lang w:val="ru-RU"/>
      </w:rPr>
      <w:t xml:space="preserve">Комітет розглянув </w:t>
    </w:r>
    <w:r>
      <w:rPr>
        <w:sz w:val="24"/>
        <w:szCs w:val="24"/>
        <w:lang w:val="ru-RU"/>
      </w:rPr>
      <w:t xml:space="preserve">проєкт Закону на своєму засіданні </w:t>
    </w:r>
    <w:r w:rsidR="00CE3A52">
      <w:rPr>
        <w:sz w:val="24"/>
        <w:szCs w:val="24"/>
        <w:lang w:val="ru-RU"/>
      </w:rPr>
      <w:t>09 грудня 2020 року (протокол № 56</w:t>
    </w:r>
    <w:r w:rsidRPr="00D67DFC">
      <w:rPr>
        <w:sz w:val="24"/>
        <w:szCs w:val="24"/>
        <w:lang w:val="ru-RU"/>
      </w:rPr>
      <w:t>) відповідно до статті 93 Регламенту Верховної Ради України.</w:t>
    </w:r>
  </w:p>
  <w:p w14:paraId="5E85A102" w14:textId="77777777" w:rsidR="00D67DFC" w:rsidRPr="001E41CD" w:rsidRDefault="00D67DFC" w:rsidP="001E41CD">
    <w:pPr>
      <w:pStyle w:val="a5"/>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5A0FB" w14:textId="77777777" w:rsidR="001C4B79" w:rsidRDefault="001C4B79">
      <w:r>
        <w:separator/>
      </w:r>
    </w:p>
  </w:footnote>
  <w:footnote w:type="continuationSeparator" w:id="0">
    <w:p w14:paraId="5E85A0FC" w14:textId="77777777" w:rsidR="001C4B79" w:rsidRDefault="001C4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1AE9AA"/>
    <w:lvl w:ilvl="0">
      <w:numFmt w:val="bullet"/>
      <w:lvlText w:val="*"/>
      <w:lvlJc w:val="left"/>
    </w:lvl>
  </w:abstractNum>
  <w:abstractNum w:abstractNumId="1" w15:restartNumberingAfterBreak="0">
    <w:nsid w:val="00000002"/>
    <w:multiLevelType w:val="multilevel"/>
    <w:tmpl w:val="00000002"/>
    <w:name w:val="WW8Num1"/>
    <w:lvl w:ilvl="0">
      <w:start w:val="1"/>
      <w:numFmt w:val="bullet"/>
      <w:lvlText w:val=""/>
      <w:lvlJc w:val="left"/>
      <w:pPr>
        <w:tabs>
          <w:tab w:val="num" w:pos="708"/>
        </w:tabs>
        <w:ind w:left="1080" w:hanging="360"/>
      </w:pPr>
      <w:rPr>
        <w:rFonts w:ascii="Symbol" w:hAnsi="Symbol" w:cs="Symbol"/>
        <w:caps w:val="0"/>
        <w:smallCaps w:val="0"/>
        <w:sz w:val="28"/>
        <w:szCs w:val="28"/>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00000003"/>
    <w:multiLevelType w:val="singleLevel"/>
    <w:tmpl w:val="00000003"/>
    <w:name w:val="WW8Num11"/>
    <w:lvl w:ilvl="0">
      <w:start w:val="1"/>
      <w:numFmt w:val="decimal"/>
      <w:lvlText w:val="%1."/>
      <w:lvlJc w:val="left"/>
      <w:pPr>
        <w:tabs>
          <w:tab w:val="num" w:pos="927"/>
        </w:tabs>
        <w:ind w:left="927" w:hanging="360"/>
      </w:pPr>
      <w:rPr>
        <w:rFonts w:eastAsia="Verdana" w:hint="default"/>
      </w:rPr>
    </w:lvl>
  </w:abstractNum>
  <w:abstractNum w:abstractNumId="3" w15:restartNumberingAfterBreak="0">
    <w:nsid w:val="16A73440"/>
    <w:multiLevelType w:val="hybridMultilevel"/>
    <w:tmpl w:val="C274618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17380C"/>
    <w:multiLevelType w:val="hybridMultilevel"/>
    <w:tmpl w:val="B8563226"/>
    <w:lvl w:ilvl="0" w:tplc="9DFEC5C6">
      <w:numFmt w:val="bullet"/>
      <w:lvlText w:val="-"/>
      <w:lvlJc w:val="left"/>
      <w:pPr>
        <w:tabs>
          <w:tab w:val="num" w:pos="924"/>
        </w:tabs>
        <w:ind w:left="924" w:hanging="56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56E30"/>
    <w:multiLevelType w:val="hybridMultilevel"/>
    <w:tmpl w:val="BB1004B8"/>
    <w:lvl w:ilvl="0" w:tplc="590EDDB4">
      <w:start w:val="1"/>
      <w:numFmt w:val="decimal"/>
      <w:lvlText w:val="%1."/>
      <w:lvlJc w:val="left"/>
      <w:pPr>
        <w:tabs>
          <w:tab w:val="num" w:pos="1812"/>
        </w:tabs>
        <w:ind w:left="1812" w:hanging="109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EC873E3"/>
    <w:multiLevelType w:val="hybridMultilevel"/>
    <w:tmpl w:val="DC9AAD90"/>
    <w:lvl w:ilvl="0" w:tplc="540A5860">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0B16A4"/>
    <w:multiLevelType w:val="hybridMultilevel"/>
    <w:tmpl w:val="2F52DA1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487D1833"/>
    <w:multiLevelType w:val="hybridMultilevel"/>
    <w:tmpl w:val="102E157A"/>
    <w:lvl w:ilvl="0" w:tplc="EFE4951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9" w15:restartNumberingAfterBreak="0">
    <w:nsid w:val="55392963"/>
    <w:multiLevelType w:val="hybridMultilevel"/>
    <w:tmpl w:val="42DA31FE"/>
    <w:lvl w:ilvl="0" w:tplc="900A5680">
      <w:start w:val="1"/>
      <w:numFmt w:val="decimal"/>
      <w:lvlText w:val="%1."/>
      <w:lvlJc w:val="left"/>
      <w:pPr>
        <w:tabs>
          <w:tab w:val="num" w:pos="360"/>
        </w:tabs>
        <w:ind w:left="360" w:hanging="360"/>
      </w:pPr>
      <w:rPr>
        <w:rFonts w:hint="default"/>
        <w:b/>
        <w:i/>
      </w:rPr>
    </w:lvl>
    <w:lvl w:ilvl="1" w:tplc="04190001">
      <w:start w:val="1"/>
      <w:numFmt w:val="bullet"/>
      <w:lvlText w:val=""/>
      <w:lvlJc w:val="left"/>
      <w:pPr>
        <w:tabs>
          <w:tab w:val="num" w:pos="1080"/>
        </w:tabs>
        <w:ind w:left="1080" w:hanging="360"/>
      </w:pPr>
      <w:rPr>
        <w:rFonts w:ascii="Symbol" w:hAnsi="Symbol" w:hint="default"/>
        <w:b/>
        <w: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58CF48A6"/>
    <w:multiLevelType w:val="hybridMultilevel"/>
    <w:tmpl w:val="88E2D2CC"/>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5C2E0EA9"/>
    <w:multiLevelType w:val="hybridMultilevel"/>
    <w:tmpl w:val="42D42664"/>
    <w:lvl w:ilvl="0" w:tplc="526423A2">
      <w:numFmt w:val="bullet"/>
      <w:lvlText w:val="-"/>
      <w:lvlJc w:val="left"/>
      <w:pPr>
        <w:ind w:left="1068" w:hanging="360"/>
      </w:pPr>
      <w:rPr>
        <w:rFonts w:ascii="Calibri" w:eastAsia="Times New Roman" w:hAnsi="Calibri" w:hint="default"/>
      </w:rPr>
    </w:lvl>
    <w:lvl w:ilvl="1" w:tplc="04220003" w:tentative="1">
      <w:start w:val="1"/>
      <w:numFmt w:val="bullet"/>
      <w:lvlText w:val="o"/>
      <w:lvlJc w:val="left"/>
      <w:pPr>
        <w:ind w:left="1722" w:hanging="360"/>
      </w:pPr>
      <w:rPr>
        <w:rFonts w:ascii="Courier New" w:hAnsi="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12" w15:restartNumberingAfterBreak="0">
    <w:nsid w:val="5FC301F4"/>
    <w:multiLevelType w:val="multilevel"/>
    <w:tmpl w:val="E29AE5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69AE0892"/>
    <w:multiLevelType w:val="multilevel"/>
    <w:tmpl w:val="E29AE5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5"/>
  </w:num>
  <w:num w:numId="3">
    <w:abstractNumId w:val="8"/>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9"/>
  </w:num>
  <w:num w:numId="7">
    <w:abstractNumId w:val="13"/>
  </w:num>
  <w:num w:numId="8">
    <w:abstractNumId w:val="12"/>
  </w:num>
  <w:num w:numId="9">
    <w:abstractNumId w:val="4"/>
  </w:num>
  <w:num w:numId="10">
    <w:abstractNumId w:val="6"/>
  </w:num>
  <w:num w:numId="11">
    <w:abstractNumId w:val="7"/>
  </w:num>
  <w:num w:numId="12">
    <w:abstractNumId w:val="11"/>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43"/>
    <w:rsid w:val="000021F0"/>
    <w:rsid w:val="00002BE4"/>
    <w:rsid w:val="000042B5"/>
    <w:rsid w:val="000056E1"/>
    <w:rsid w:val="000071D4"/>
    <w:rsid w:val="00024839"/>
    <w:rsid w:val="000250B7"/>
    <w:rsid w:val="000262DA"/>
    <w:rsid w:val="0003402A"/>
    <w:rsid w:val="0003442A"/>
    <w:rsid w:val="0004768D"/>
    <w:rsid w:val="00050960"/>
    <w:rsid w:val="000631BF"/>
    <w:rsid w:val="000665E6"/>
    <w:rsid w:val="00074F18"/>
    <w:rsid w:val="00080198"/>
    <w:rsid w:val="0008782A"/>
    <w:rsid w:val="00090D31"/>
    <w:rsid w:val="00093E77"/>
    <w:rsid w:val="000A04D4"/>
    <w:rsid w:val="000A407B"/>
    <w:rsid w:val="000B111F"/>
    <w:rsid w:val="000B59C2"/>
    <w:rsid w:val="000B6D98"/>
    <w:rsid w:val="000C0CD7"/>
    <w:rsid w:val="000D3D88"/>
    <w:rsid w:val="000E2EC7"/>
    <w:rsid w:val="000E4B56"/>
    <w:rsid w:val="0010119B"/>
    <w:rsid w:val="0011046A"/>
    <w:rsid w:val="00120611"/>
    <w:rsid w:val="00132F0C"/>
    <w:rsid w:val="001469E1"/>
    <w:rsid w:val="001556B7"/>
    <w:rsid w:val="00155A65"/>
    <w:rsid w:val="00163A8F"/>
    <w:rsid w:val="00172FBB"/>
    <w:rsid w:val="001730DA"/>
    <w:rsid w:val="0018016B"/>
    <w:rsid w:val="00182449"/>
    <w:rsid w:val="00185F2D"/>
    <w:rsid w:val="00193B91"/>
    <w:rsid w:val="00197E68"/>
    <w:rsid w:val="001A05A8"/>
    <w:rsid w:val="001A4F8E"/>
    <w:rsid w:val="001B1968"/>
    <w:rsid w:val="001B2F43"/>
    <w:rsid w:val="001C08A8"/>
    <w:rsid w:val="001C4B79"/>
    <w:rsid w:val="001D5D98"/>
    <w:rsid w:val="001D78C6"/>
    <w:rsid w:val="001E14BB"/>
    <w:rsid w:val="001E41CD"/>
    <w:rsid w:val="001E5BEF"/>
    <w:rsid w:val="00204686"/>
    <w:rsid w:val="00206A0B"/>
    <w:rsid w:val="00207A27"/>
    <w:rsid w:val="002118E0"/>
    <w:rsid w:val="00223A43"/>
    <w:rsid w:val="00224CCD"/>
    <w:rsid w:val="00231C1D"/>
    <w:rsid w:val="002325C0"/>
    <w:rsid w:val="002365F4"/>
    <w:rsid w:val="0025788A"/>
    <w:rsid w:val="00265B6C"/>
    <w:rsid w:val="0026766B"/>
    <w:rsid w:val="00270CC8"/>
    <w:rsid w:val="00272EED"/>
    <w:rsid w:val="002754CE"/>
    <w:rsid w:val="00275F40"/>
    <w:rsid w:val="002807CE"/>
    <w:rsid w:val="002842B4"/>
    <w:rsid w:val="00293E83"/>
    <w:rsid w:val="00295446"/>
    <w:rsid w:val="002A3F6E"/>
    <w:rsid w:val="002C0FAB"/>
    <w:rsid w:val="002C4268"/>
    <w:rsid w:val="002C5B52"/>
    <w:rsid w:val="002D4F67"/>
    <w:rsid w:val="002E0062"/>
    <w:rsid w:val="002E3EE1"/>
    <w:rsid w:val="002E5577"/>
    <w:rsid w:val="002F0E04"/>
    <w:rsid w:val="002F39F2"/>
    <w:rsid w:val="0030151A"/>
    <w:rsid w:val="00311200"/>
    <w:rsid w:val="0032130E"/>
    <w:rsid w:val="003274D2"/>
    <w:rsid w:val="00341803"/>
    <w:rsid w:val="00342F1D"/>
    <w:rsid w:val="0034482D"/>
    <w:rsid w:val="00346B92"/>
    <w:rsid w:val="00347313"/>
    <w:rsid w:val="00351180"/>
    <w:rsid w:val="00352C34"/>
    <w:rsid w:val="00354657"/>
    <w:rsid w:val="0037439A"/>
    <w:rsid w:val="0037546E"/>
    <w:rsid w:val="003815A9"/>
    <w:rsid w:val="003815DE"/>
    <w:rsid w:val="00383EFA"/>
    <w:rsid w:val="00390CCD"/>
    <w:rsid w:val="00393D0B"/>
    <w:rsid w:val="003948CE"/>
    <w:rsid w:val="00396B08"/>
    <w:rsid w:val="003977A1"/>
    <w:rsid w:val="003A1CBE"/>
    <w:rsid w:val="003A2271"/>
    <w:rsid w:val="003A4FE3"/>
    <w:rsid w:val="003B486D"/>
    <w:rsid w:val="003B59F1"/>
    <w:rsid w:val="003B77F3"/>
    <w:rsid w:val="003C23DF"/>
    <w:rsid w:val="003C23F1"/>
    <w:rsid w:val="003C55E1"/>
    <w:rsid w:val="003F16D2"/>
    <w:rsid w:val="003F7BFD"/>
    <w:rsid w:val="00405393"/>
    <w:rsid w:val="00411DBD"/>
    <w:rsid w:val="0041564A"/>
    <w:rsid w:val="00415E31"/>
    <w:rsid w:val="004269B7"/>
    <w:rsid w:val="004274F7"/>
    <w:rsid w:val="00430405"/>
    <w:rsid w:val="004454AC"/>
    <w:rsid w:val="0044567A"/>
    <w:rsid w:val="004464B6"/>
    <w:rsid w:val="0045072C"/>
    <w:rsid w:val="00453955"/>
    <w:rsid w:val="00454EAD"/>
    <w:rsid w:val="0045649D"/>
    <w:rsid w:val="00456907"/>
    <w:rsid w:val="0046356D"/>
    <w:rsid w:val="004657DA"/>
    <w:rsid w:val="00477BCF"/>
    <w:rsid w:val="00490795"/>
    <w:rsid w:val="00493A3D"/>
    <w:rsid w:val="004A507B"/>
    <w:rsid w:val="004B6A8E"/>
    <w:rsid w:val="004B7D93"/>
    <w:rsid w:val="004E46C4"/>
    <w:rsid w:val="00502478"/>
    <w:rsid w:val="00523C61"/>
    <w:rsid w:val="00526343"/>
    <w:rsid w:val="00531F28"/>
    <w:rsid w:val="00532A71"/>
    <w:rsid w:val="00532AA9"/>
    <w:rsid w:val="00536E37"/>
    <w:rsid w:val="00544CF0"/>
    <w:rsid w:val="005463CF"/>
    <w:rsid w:val="00556EA9"/>
    <w:rsid w:val="0055778B"/>
    <w:rsid w:val="005619C6"/>
    <w:rsid w:val="0056665D"/>
    <w:rsid w:val="005767E1"/>
    <w:rsid w:val="005820C9"/>
    <w:rsid w:val="005844A8"/>
    <w:rsid w:val="00585C2C"/>
    <w:rsid w:val="005915E3"/>
    <w:rsid w:val="005958B1"/>
    <w:rsid w:val="00596F13"/>
    <w:rsid w:val="005A6229"/>
    <w:rsid w:val="005A68AB"/>
    <w:rsid w:val="005B4C5D"/>
    <w:rsid w:val="005B6840"/>
    <w:rsid w:val="005C0BF3"/>
    <w:rsid w:val="005C2492"/>
    <w:rsid w:val="005C2FD5"/>
    <w:rsid w:val="005C4411"/>
    <w:rsid w:val="005C74E4"/>
    <w:rsid w:val="005D1531"/>
    <w:rsid w:val="005D1B15"/>
    <w:rsid w:val="005D3993"/>
    <w:rsid w:val="005E51AE"/>
    <w:rsid w:val="005E64C4"/>
    <w:rsid w:val="005F01D6"/>
    <w:rsid w:val="005F28DD"/>
    <w:rsid w:val="005F434E"/>
    <w:rsid w:val="005F46F4"/>
    <w:rsid w:val="005F5D8E"/>
    <w:rsid w:val="005F694A"/>
    <w:rsid w:val="005F7650"/>
    <w:rsid w:val="00605892"/>
    <w:rsid w:val="006064E2"/>
    <w:rsid w:val="00607E3A"/>
    <w:rsid w:val="006257BC"/>
    <w:rsid w:val="006301F5"/>
    <w:rsid w:val="006340CF"/>
    <w:rsid w:val="0063772A"/>
    <w:rsid w:val="00646A14"/>
    <w:rsid w:val="0066003B"/>
    <w:rsid w:val="0066123B"/>
    <w:rsid w:val="00670392"/>
    <w:rsid w:val="00673102"/>
    <w:rsid w:val="006765E4"/>
    <w:rsid w:val="00683E44"/>
    <w:rsid w:val="00685365"/>
    <w:rsid w:val="00687538"/>
    <w:rsid w:val="00692EE6"/>
    <w:rsid w:val="00694C02"/>
    <w:rsid w:val="00696539"/>
    <w:rsid w:val="006A28B8"/>
    <w:rsid w:val="006B1B48"/>
    <w:rsid w:val="006B1C70"/>
    <w:rsid w:val="006C3333"/>
    <w:rsid w:val="006C3752"/>
    <w:rsid w:val="006C7FE4"/>
    <w:rsid w:val="006D2553"/>
    <w:rsid w:val="006D4C7F"/>
    <w:rsid w:val="006E3F53"/>
    <w:rsid w:val="006E56F6"/>
    <w:rsid w:val="006F1426"/>
    <w:rsid w:val="006F266F"/>
    <w:rsid w:val="006F411E"/>
    <w:rsid w:val="00701A81"/>
    <w:rsid w:val="00703A7C"/>
    <w:rsid w:val="00707AE1"/>
    <w:rsid w:val="00711BFB"/>
    <w:rsid w:val="00712D89"/>
    <w:rsid w:val="00716B34"/>
    <w:rsid w:val="00724EEF"/>
    <w:rsid w:val="00725B4E"/>
    <w:rsid w:val="007375C4"/>
    <w:rsid w:val="00742600"/>
    <w:rsid w:val="007426CC"/>
    <w:rsid w:val="007450FA"/>
    <w:rsid w:val="00745B1F"/>
    <w:rsid w:val="00745DF4"/>
    <w:rsid w:val="007615F5"/>
    <w:rsid w:val="00764E6B"/>
    <w:rsid w:val="00771843"/>
    <w:rsid w:val="00783628"/>
    <w:rsid w:val="007944E8"/>
    <w:rsid w:val="007B0A44"/>
    <w:rsid w:val="007B4012"/>
    <w:rsid w:val="007B4B32"/>
    <w:rsid w:val="007B56CC"/>
    <w:rsid w:val="007B5D06"/>
    <w:rsid w:val="007D0C7C"/>
    <w:rsid w:val="007D4B76"/>
    <w:rsid w:val="007E1F1E"/>
    <w:rsid w:val="007E31C2"/>
    <w:rsid w:val="007F0F7B"/>
    <w:rsid w:val="007F4196"/>
    <w:rsid w:val="007F54BD"/>
    <w:rsid w:val="007F5662"/>
    <w:rsid w:val="007F7040"/>
    <w:rsid w:val="00805AD1"/>
    <w:rsid w:val="0081061E"/>
    <w:rsid w:val="00814BBF"/>
    <w:rsid w:val="00815707"/>
    <w:rsid w:val="00823E9C"/>
    <w:rsid w:val="00824BF8"/>
    <w:rsid w:val="008410C7"/>
    <w:rsid w:val="00842E27"/>
    <w:rsid w:val="008517E3"/>
    <w:rsid w:val="00852A65"/>
    <w:rsid w:val="00856FAF"/>
    <w:rsid w:val="00861718"/>
    <w:rsid w:val="00875370"/>
    <w:rsid w:val="00875CD7"/>
    <w:rsid w:val="0088567E"/>
    <w:rsid w:val="00892B33"/>
    <w:rsid w:val="00894C57"/>
    <w:rsid w:val="008A0F09"/>
    <w:rsid w:val="008B1A8B"/>
    <w:rsid w:val="008C1E00"/>
    <w:rsid w:val="008D2D6F"/>
    <w:rsid w:val="008D34BC"/>
    <w:rsid w:val="008E0705"/>
    <w:rsid w:val="008E3E0C"/>
    <w:rsid w:val="008E7343"/>
    <w:rsid w:val="008F2985"/>
    <w:rsid w:val="008F2C65"/>
    <w:rsid w:val="008F3867"/>
    <w:rsid w:val="008F574A"/>
    <w:rsid w:val="009116A0"/>
    <w:rsid w:val="00912B8A"/>
    <w:rsid w:val="0091667A"/>
    <w:rsid w:val="0092010C"/>
    <w:rsid w:val="009219F1"/>
    <w:rsid w:val="00922EC9"/>
    <w:rsid w:val="009231F7"/>
    <w:rsid w:val="00925DA0"/>
    <w:rsid w:val="00926277"/>
    <w:rsid w:val="00930053"/>
    <w:rsid w:val="0093302F"/>
    <w:rsid w:val="0094625B"/>
    <w:rsid w:val="00946E29"/>
    <w:rsid w:val="0095214E"/>
    <w:rsid w:val="00954F22"/>
    <w:rsid w:val="009656A8"/>
    <w:rsid w:val="00973E19"/>
    <w:rsid w:val="00980136"/>
    <w:rsid w:val="00990CC0"/>
    <w:rsid w:val="009A4AD0"/>
    <w:rsid w:val="009A7CAA"/>
    <w:rsid w:val="009B5C3E"/>
    <w:rsid w:val="009C2791"/>
    <w:rsid w:val="009C27B7"/>
    <w:rsid w:val="009C3D02"/>
    <w:rsid w:val="009D1D3F"/>
    <w:rsid w:val="009D21CB"/>
    <w:rsid w:val="009D3D1F"/>
    <w:rsid w:val="009D63B7"/>
    <w:rsid w:val="009E799B"/>
    <w:rsid w:val="009F02F9"/>
    <w:rsid w:val="009F1E9D"/>
    <w:rsid w:val="009F5123"/>
    <w:rsid w:val="00A06D0E"/>
    <w:rsid w:val="00A20A07"/>
    <w:rsid w:val="00A2516E"/>
    <w:rsid w:val="00A268A6"/>
    <w:rsid w:val="00A32411"/>
    <w:rsid w:val="00A34E78"/>
    <w:rsid w:val="00A456C9"/>
    <w:rsid w:val="00A45BCC"/>
    <w:rsid w:val="00A47FE6"/>
    <w:rsid w:val="00A50597"/>
    <w:rsid w:val="00A547FE"/>
    <w:rsid w:val="00A55723"/>
    <w:rsid w:val="00A566A8"/>
    <w:rsid w:val="00A640E6"/>
    <w:rsid w:val="00A66A67"/>
    <w:rsid w:val="00A67F79"/>
    <w:rsid w:val="00A70964"/>
    <w:rsid w:val="00A825C3"/>
    <w:rsid w:val="00A82CB1"/>
    <w:rsid w:val="00A86B86"/>
    <w:rsid w:val="00A92596"/>
    <w:rsid w:val="00A97ACD"/>
    <w:rsid w:val="00AA27CB"/>
    <w:rsid w:val="00AA2CDB"/>
    <w:rsid w:val="00AA6D4E"/>
    <w:rsid w:val="00AC0BEB"/>
    <w:rsid w:val="00AC78A7"/>
    <w:rsid w:val="00AD284D"/>
    <w:rsid w:val="00AD2953"/>
    <w:rsid w:val="00AD5FAC"/>
    <w:rsid w:val="00AE692D"/>
    <w:rsid w:val="00B00B91"/>
    <w:rsid w:val="00B02B13"/>
    <w:rsid w:val="00B04C60"/>
    <w:rsid w:val="00B06A51"/>
    <w:rsid w:val="00B3317E"/>
    <w:rsid w:val="00B3551B"/>
    <w:rsid w:val="00B41F02"/>
    <w:rsid w:val="00B4267D"/>
    <w:rsid w:val="00B4337F"/>
    <w:rsid w:val="00B5163A"/>
    <w:rsid w:val="00B5211C"/>
    <w:rsid w:val="00B53FE2"/>
    <w:rsid w:val="00B61EE2"/>
    <w:rsid w:val="00B700D0"/>
    <w:rsid w:val="00B72D42"/>
    <w:rsid w:val="00B7682F"/>
    <w:rsid w:val="00B77932"/>
    <w:rsid w:val="00B84C6C"/>
    <w:rsid w:val="00B87AD1"/>
    <w:rsid w:val="00B87E20"/>
    <w:rsid w:val="00B96880"/>
    <w:rsid w:val="00B97C2C"/>
    <w:rsid w:val="00BA1AF9"/>
    <w:rsid w:val="00BA2B23"/>
    <w:rsid w:val="00BA4BFA"/>
    <w:rsid w:val="00BA627A"/>
    <w:rsid w:val="00BB3DCC"/>
    <w:rsid w:val="00BB7356"/>
    <w:rsid w:val="00BC184E"/>
    <w:rsid w:val="00BD15A2"/>
    <w:rsid w:val="00BD6DE2"/>
    <w:rsid w:val="00BD7F5A"/>
    <w:rsid w:val="00BE2190"/>
    <w:rsid w:val="00BF3181"/>
    <w:rsid w:val="00C061EC"/>
    <w:rsid w:val="00C14629"/>
    <w:rsid w:val="00C14B01"/>
    <w:rsid w:val="00C14F92"/>
    <w:rsid w:val="00C24D82"/>
    <w:rsid w:val="00C250F5"/>
    <w:rsid w:val="00C32B26"/>
    <w:rsid w:val="00C41A79"/>
    <w:rsid w:val="00C45F4D"/>
    <w:rsid w:val="00C47420"/>
    <w:rsid w:val="00C50856"/>
    <w:rsid w:val="00C51FE8"/>
    <w:rsid w:val="00C6266C"/>
    <w:rsid w:val="00C62A3E"/>
    <w:rsid w:val="00C72DB6"/>
    <w:rsid w:val="00C73F90"/>
    <w:rsid w:val="00C807FD"/>
    <w:rsid w:val="00C861A4"/>
    <w:rsid w:val="00C86E17"/>
    <w:rsid w:val="00CA3A43"/>
    <w:rsid w:val="00CA5F61"/>
    <w:rsid w:val="00CA69CE"/>
    <w:rsid w:val="00CA70F0"/>
    <w:rsid w:val="00CB0325"/>
    <w:rsid w:val="00CB0FD6"/>
    <w:rsid w:val="00CB138A"/>
    <w:rsid w:val="00CB445E"/>
    <w:rsid w:val="00CB7E2A"/>
    <w:rsid w:val="00CC4E3D"/>
    <w:rsid w:val="00CC676F"/>
    <w:rsid w:val="00CC6CCA"/>
    <w:rsid w:val="00CD01BF"/>
    <w:rsid w:val="00CE3073"/>
    <w:rsid w:val="00CE3A52"/>
    <w:rsid w:val="00CE647C"/>
    <w:rsid w:val="00CF1FCA"/>
    <w:rsid w:val="00CF4AB6"/>
    <w:rsid w:val="00D01C1B"/>
    <w:rsid w:val="00D20E8E"/>
    <w:rsid w:val="00D3616F"/>
    <w:rsid w:val="00D366C9"/>
    <w:rsid w:val="00D37BB9"/>
    <w:rsid w:val="00D471D8"/>
    <w:rsid w:val="00D50738"/>
    <w:rsid w:val="00D51A4A"/>
    <w:rsid w:val="00D67944"/>
    <w:rsid w:val="00D67DFC"/>
    <w:rsid w:val="00D7018B"/>
    <w:rsid w:val="00D70345"/>
    <w:rsid w:val="00D70496"/>
    <w:rsid w:val="00D82DD8"/>
    <w:rsid w:val="00D83783"/>
    <w:rsid w:val="00D8473B"/>
    <w:rsid w:val="00D87953"/>
    <w:rsid w:val="00D935CC"/>
    <w:rsid w:val="00D9716C"/>
    <w:rsid w:val="00DA0F5A"/>
    <w:rsid w:val="00DA22C2"/>
    <w:rsid w:val="00DA3B9F"/>
    <w:rsid w:val="00DB011F"/>
    <w:rsid w:val="00DB086E"/>
    <w:rsid w:val="00DB32C5"/>
    <w:rsid w:val="00DB6069"/>
    <w:rsid w:val="00DC5F1F"/>
    <w:rsid w:val="00DD0EB6"/>
    <w:rsid w:val="00DD53B0"/>
    <w:rsid w:val="00DD5C01"/>
    <w:rsid w:val="00DE51DC"/>
    <w:rsid w:val="00DE5D4B"/>
    <w:rsid w:val="00DF73D5"/>
    <w:rsid w:val="00E02752"/>
    <w:rsid w:val="00E04011"/>
    <w:rsid w:val="00E10FB4"/>
    <w:rsid w:val="00E1434B"/>
    <w:rsid w:val="00E215B9"/>
    <w:rsid w:val="00E26806"/>
    <w:rsid w:val="00E36331"/>
    <w:rsid w:val="00E47EB7"/>
    <w:rsid w:val="00E64763"/>
    <w:rsid w:val="00E66D3A"/>
    <w:rsid w:val="00E7221D"/>
    <w:rsid w:val="00E73A41"/>
    <w:rsid w:val="00E95DDA"/>
    <w:rsid w:val="00E96C3B"/>
    <w:rsid w:val="00EA04D9"/>
    <w:rsid w:val="00EA2005"/>
    <w:rsid w:val="00EA3735"/>
    <w:rsid w:val="00EA403C"/>
    <w:rsid w:val="00EA735F"/>
    <w:rsid w:val="00EB0644"/>
    <w:rsid w:val="00EC6D75"/>
    <w:rsid w:val="00ED0C1E"/>
    <w:rsid w:val="00ED1436"/>
    <w:rsid w:val="00ED1B7A"/>
    <w:rsid w:val="00ED1C73"/>
    <w:rsid w:val="00ED2733"/>
    <w:rsid w:val="00ED34AA"/>
    <w:rsid w:val="00EE7880"/>
    <w:rsid w:val="00F037ED"/>
    <w:rsid w:val="00F04B53"/>
    <w:rsid w:val="00F140AF"/>
    <w:rsid w:val="00F16DB4"/>
    <w:rsid w:val="00F21E11"/>
    <w:rsid w:val="00F27340"/>
    <w:rsid w:val="00F32E5E"/>
    <w:rsid w:val="00F339BE"/>
    <w:rsid w:val="00F35BDA"/>
    <w:rsid w:val="00F35FCF"/>
    <w:rsid w:val="00F4007F"/>
    <w:rsid w:val="00F42025"/>
    <w:rsid w:val="00F47515"/>
    <w:rsid w:val="00F504D6"/>
    <w:rsid w:val="00F51249"/>
    <w:rsid w:val="00F52AF7"/>
    <w:rsid w:val="00F55ACC"/>
    <w:rsid w:val="00F61B31"/>
    <w:rsid w:val="00F640DE"/>
    <w:rsid w:val="00F65553"/>
    <w:rsid w:val="00F65800"/>
    <w:rsid w:val="00F74232"/>
    <w:rsid w:val="00F763BA"/>
    <w:rsid w:val="00F80986"/>
    <w:rsid w:val="00F8778D"/>
    <w:rsid w:val="00F921F3"/>
    <w:rsid w:val="00F92539"/>
    <w:rsid w:val="00F929FA"/>
    <w:rsid w:val="00F9392D"/>
    <w:rsid w:val="00FA51A8"/>
    <w:rsid w:val="00FA5FAA"/>
    <w:rsid w:val="00FA60CD"/>
    <w:rsid w:val="00FA614F"/>
    <w:rsid w:val="00FB0481"/>
    <w:rsid w:val="00FB430B"/>
    <w:rsid w:val="00FB51D5"/>
    <w:rsid w:val="00FB5DC5"/>
    <w:rsid w:val="00FC3335"/>
    <w:rsid w:val="00FD0946"/>
    <w:rsid w:val="00FD5E18"/>
    <w:rsid w:val="00FE2E20"/>
    <w:rsid w:val="00FF17E5"/>
    <w:rsid w:val="00FF5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E85A0E4"/>
  <w15:chartTrackingRefBased/>
  <w15:docId w15:val="{CDFDDEC4-8BE1-44BD-B05D-11699435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lang w:val="en-US" w:eastAsia="ru-RU"/>
    </w:rPr>
  </w:style>
  <w:style w:type="paragraph" w:styleId="3">
    <w:name w:val="heading 3"/>
    <w:basedOn w:val="a"/>
    <w:qFormat/>
    <w:rsid w:val="00DB086E"/>
    <w:pPr>
      <w:spacing w:before="100" w:beforeAutospacing="1" w:after="100" w:afterAutospacing="1"/>
      <w:outlineLvl w:val="2"/>
    </w:pPr>
    <w:rPr>
      <w:rFonts w:eastAsia="MS Mincho"/>
      <w:b/>
      <w:bCs/>
      <w:sz w:val="27"/>
      <w:szCs w:val="27"/>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224CCD"/>
    <w:rPr>
      <w:lang w:val="uk-UA"/>
    </w:rPr>
  </w:style>
  <w:style w:type="paragraph" w:styleId="2">
    <w:name w:val="Body Text Indent 2"/>
    <w:basedOn w:val="a"/>
    <w:rsid w:val="00C86E17"/>
    <w:pPr>
      <w:ind w:firstLine="900"/>
      <w:jc w:val="both"/>
    </w:pPr>
    <w:rPr>
      <w:szCs w:val="20"/>
      <w:lang w:val="uk-UA"/>
    </w:rPr>
  </w:style>
  <w:style w:type="paragraph" w:styleId="a3">
    <w:name w:val="header"/>
    <w:basedOn w:val="a"/>
    <w:link w:val="a4"/>
    <w:uiPriority w:val="99"/>
    <w:rsid w:val="00D50738"/>
    <w:pPr>
      <w:tabs>
        <w:tab w:val="center" w:pos="4677"/>
        <w:tab w:val="right" w:pos="9355"/>
      </w:tabs>
    </w:pPr>
  </w:style>
  <w:style w:type="paragraph" w:styleId="a5">
    <w:name w:val="footer"/>
    <w:basedOn w:val="a"/>
    <w:link w:val="a6"/>
    <w:uiPriority w:val="99"/>
    <w:rsid w:val="00D50738"/>
    <w:pPr>
      <w:tabs>
        <w:tab w:val="center" w:pos="4677"/>
        <w:tab w:val="right" w:pos="9355"/>
      </w:tabs>
    </w:pPr>
  </w:style>
  <w:style w:type="paragraph" w:styleId="30">
    <w:name w:val="Body Text Indent 3"/>
    <w:basedOn w:val="a"/>
    <w:rsid w:val="005D1531"/>
    <w:pPr>
      <w:spacing w:after="120"/>
      <w:ind w:left="283"/>
    </w:pPr>
    <w:rPr>
      <w:sz w:val="16"/>
      <w:szCs w:val="16"/>
    </w:rPr>
  </w:style>
  <w:style w:type="paragraph" w:styleId="a7">
    <w:name w:val="Body Text"/>
    <w:basedOn w:val="a"/>
    <w:rsid w:val="00493A3D"/>
    <w:pPr>
      <w:spacing w:after="120"/>
    </w:pPr>
  </w:style>
  <w:style w:type="paragraph" w:styleId="a8">
    <w:name w:val="Plain Text"/>
    <w:basedOn w:val="a"/>
    <w:rsid w:val="00493A3D"/>
    <w:pPr>
      <w:overflowPunct w:val="0"/>
      <w:autoSpaceDE w:val="0"/>
      <w:autoSpaceDN w:val="0"/>
      <w:adjustRightInd w:val="0"/>
    </w:pPr>
    <w:rPr>
      <w:rFonts w:ascii="Courier New" w:hAnsi="Courier New" w:cs="Courier New"/>
      <w:sz w:val="20"/>
      <w:szCs w:val="20"/>
      <w:lang w:val="en-GB"/>
    </w:rPr>
  </w:style>
  <w:style w:type="paragraph" w:styleId="a9">
    <w:name w:val="Balloon Text"/>
    <w:basedOn w:val="a"/>
    <w:semiHidden/>
    <w:rsid w:val="00C50856"/>
    <w:rPr>
      <w:rFonts w:ascii="Tahoma" w:hAnsi="Tahoma" w:cs="Tahoma"/>
      <w:sz w:val="16"/>
      <w:szCs w:val="16"/>
    </w:rPr>
  </w:style>
  <w:style w:type="character" w:styleId="aa">
    <w:name w:val="Strong"/>
    <w:qFormat/>
    <w:rsid w:val="00861718"/>
    <w:rPr>
      <w:rFonts w:ascii="Times New Roman" w:hAnsi="Times New Roman" w:cs="Times New Roman" w:hint="default"/>
      <w:b/>
      <w:bCs/>
    </w:rPr>
  </w:style>
  <w:style w:type="table" w:styleId="ab">
    <w:name w:val="Table Grid"/>
    <w:basedOn w:val="a1"/>
    <w:rsid w:val="00A70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name">
    <w:name w:val="notice_name"/>
    <w:basedOn w:val="a0"/>
    <w:rsid w:val="000B6D98"/>
  </w:style>
  <w:style w:type="paragraph" w:customStyle="1" w:styleId="10">
    <w:name w:val="Абзац списку1"/>
    <w:basedOn w:val="a"/>
    <w:rsid w:val="00351180"/>
    <w:pPr>
      <w:spacing w:after="120"/>
      <w:ind w:left="720"/>
      <w:contextualSpacing/>
      <w:jc w:val="center"/>
    </w:pPr>
    <w:rPr>
      <w:rFonts w:ascii="Calibri" w:hAnsi="Calibri"/>
      <w:sz w:val="22"/>
      <w:szCs w:val="22"/>
      <w:lang w:val="uk-UA" w:eastAsia="en-US"/>
    </w:rPr>
  </w:style>
  <w:style w:type="paragraph" w:styleId="HTML">
    <w:name w:val="HTML Preformatted"/>
    <w:basedOn w:val="a"/>
    <w:link w:val="HTML0"/>
    <w:rsid w:val="003F1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eastAsia="MS Mincho" w:hAnsi="Courier New" w:cs="Courier New"/>
      <w:color w:val="000000"/>
      <w:lang w:val="uk-UA"/>
    </w:rPr>
  </w:style>
  <w:style w:type="character" w:customStyle="1" w:styleId="HTML0">
    <w:name w:val="Стандартний HTML Знак"/>
    <w:link w:val="HTML"/>
    <w:rsid w:val="003F16D2"/>
    <w:rPr>
      <w:rFonts w:ascii="Courier New" w:eastAsia="MS Mincho" w:hAnsi="Courier New" w:cs="Courier New"/>
      <w:color w:val="000000"/>
      <w:sz w:val="28"/>
      <w:szCs w:val="28"/>
      <w:lang w:val="uk-UA" w:eastAsia="ru-RU" w:bidi="ar-SA"/>
    </w:rPr>
  </w:style>
  <w:style w:type="character" w:styleId="ac">
    <w:name w:val="footnote reference"/>
    <w:semiHidden/>
    <w:rsid w:val="003F16D2"/>
    <w:rPr>
      <w:vertAlign w:val="superscript"/>
    </w:rPr>
  </w:style>
  <w:style w:type="paragraph" w:styleId="ad">
    <w:name w:val="Normal (Web)"/>
    <w:basedOn w:val="a"/>
    <w:rsid w:val="00F140AF"/>
    <w:pPr>
      <w:spacing w:before="100" w:beforeAutospacing="1" w:after="100" w:afterAutospacing="1"/>
    </w:pPr>
    <w:rPr>
      <w:rFonts w:eastAsia="MS Mincho"/>
      <w:sz w:val="24"/>
      <w:szCs w:val="24"/>
      <w:lang w:val="ru-RU" w:eastAsia="ja-JP"/>
    </w:rPr>
  </w:style>
  <w:style w:type="paragraph" w:customStyle="1" w:styleId="20">
    <w:name w:val="Обычный2"/>
    <w:basedOn w:val="a"/>
    <w:rsid w:val="00F140AF"/>
    <w:pPr>
      <w:spacing w:before="100" w:beforeAutospacing="1" w:after="100" w:afterAutospacing="1"/>
    </w:pPr>
    <w:rPr>
      <w:rFonts w:eastAsia="Calibri"/>
      <w:sz w:val="24"/>
      <w:szCs w:val="24"/>
      <w:lang w:val="en-GB" w:eastAsia="en-GB"/>
    </w:rPr>
  </w:style>
  <w:style w:type="character" w:customStyle="1" w:styleId="normalchar">
    <w:name w:val="normal__char"/>
    <w:rsid w:val="00F140AF"/>
    <w:rPr>
      <w:rFonts w:cs="Times New Roman"/>
    </w:rPr>
  </w:style>
  <w:style w:type="paragraph" w:customStyle="1" w:styleId="11">
    <w:name w:val="Абзац списка1"/>
    <w:basedOn w:val="a"/>
    <w:qFormat/>
    <w:rsid w:val="001B1968"/>
    <w:pPr>
      <w:spacing w:after="200" w:line="276" w:lineRule="auto"/>
      <w:ind w:left="720"/>
      <w:contextualSpacing/>
    </w:pPr>
    <w:rPr>
      <w:rFonts w:ascii="Calibri" w:eastAsia="Calibri" w:hAnsi="Calibri"/>
      <w:sz w:val="22"/>
      <w:szCs w:val="22"/>
      <w:lang w:val="ru-RU" w:eastAsia="en-US"/>
    </w:rPr>
  </w:style>
  <w:style w:type="paragraph" w:customStyle="1" w:styleId="ae">
    <w:name w:val="Нормальний текст"/>
    <w:basedOn w:val="a"/>
    <w:rsid w:val="001B1968"/>
    <w:pPr>
      <w:spacing w:before="120"/>
      <w:ind w:firstLine="567"/>
      <w:jc w:val="both"/>
    </w:pPr>
    <w:rPr>
      <w:rFonts w:ascii="Antiqua" w:eastAsia="Calibri" w:hAnsi="Antiqua"/>
      <w:sz w:val="26"/>
      <w:szCs w:val="20"/>
      <w:lang w:val="uk-UA"/>
    </w:rPr>
  </w:style>
  <w:style w:type="paragraph" w:styleId="af">
    <w:name w:val="footnote text"/>
    <w:basedOn w:val="a"/>
    <w:semiHidden/>
    <w:rsid w:val="00A66A67"/>
    <w:rPr>
      <w:sz w:val="20"/>
      <w:szCs w:val="20"/>
    </w:rPr>
  </w:style>
  <w:style w:type="character" w:customStyle="1" w:styleId="apple-converted-space">
    <w:name w:val="apple-converted-space"/>
    <w:rsid w:val="005F5D8E"/>
  </w:style>
  <w:style w:type="paragraph" w:customStyle="1" w:styleId="normal0020table">
    <w:name w:val="normal_0020table"/>
    <w:basedOn w:val="a"/>
    <w:rsid w:val="005F5D8E"/>
    <w:pPr>
      <w:spacing w:before="100" w:beforeAutospacing="1" w:after="100" w:afterAutospacing="1"/>
    </w:pPr>
    <w:rPr>
      <w:sz w:val="24"/>
      <w:szCs w:val="24"/>
      <w:lang w:val="en-GB" w:eastAsia="en-GB"/>
    </w:rPr>
  </w:style>
  <w:style w:type="character" w:customStyle="1" w:styleId="normal0020tablechar">
    <w:name w:val="normal_0020table__char"/>
    <w:rsid w:val="005F5D8E"/>
  </w:style>
  <w:style w:type="character" w:customStyle="1" w:styleId="rvts23">
    <w:name w:val="rvts23"/>
    <w:rsid w:val="005F5D8E"/>
  </w:style>
  <w:style w:type="character" w:customStyle="1" w:styleId="rvts0">
    <w:name w:val="rvts0"/>
    <w:rsid w:val="00A47FE6"/>
  </w:style>
  <w:style w:type="paragraph" w:customStyle="1" w:styleId="rvps2">
    <w:name w:val="rvps2"/>
    <w:basedOn w:val="a"/>
    <w:rsid w:val="0095214E"/>
    <w:pPr>
      <w:spacing w:before="100" w:beforeAutospacing="1" w:after="100" w:afterAutospacing="1"/>
    </w:pPr>
    <w:rPr>
      <w:sz w:val="24"/>
      <w:szCs w:val="24"/>
      <w:lang w:val="uk-UA" w:eastAsia="uk-UA"/>
    </w:rPr>
  </w:style>
  <w:style w:type="character" w:styleId="af0">
    <w:name w:val="Hyperlink"/>
    <w:uiPriority w:val="99"/>
    <w:unhideWhenUsed/>
    <w:rsid w:val="0095214E"/>
    <w:rPr>
      <w:color w:val="0000FF"/>
      <w:u w:val="single"/>
    </w:rPr>
  </w:style>
  <w:style w:type="paragraph" w:customStyle="1" w:styleId="af1">
    <w:name w:val="Назва документа"/>
    <w:basedOn w:val="a"/>
    <w:next w:val="ae"/>
    <w:rsid w:val="00A67F79"/>
    <w:pPr>
      <w:keepNext/>
      <w:keepLines/>
      <w:spacing w:before="240" w:after="240"/>
      <w:jc w:val="center"/>
    </w:pPr>
    <w:rPr>
      <w:rFonts w:ascii="Antiqua" w:hAnsi="Antiqua"/>
      <w:b/>
      <w:sz w:val="26"/>
      <w:szCs w:val="20"/>
      <w:lang w:val="uk-UA"/>
    </w:rPr>
  </w:style>
  <w:style w:type="paragraph" w:customStyle="1" w:styleId="rvps6">
    <w:name w:val="rvps6"/>
    <w:basedOn w:val="a"/>
    <w:rsid w:val="001A05A8"/>
    <w:pPr>
      <w:spacing w:before="100" w:beforeAutospacing="1" w:after="100" w:afterAutospacing="1"/>
    </w:pPr>
    <w:rPr>
      <w:sz w:val="24"/>
      <w:szCs w:val="24"/>
      <w:lang w:val="uk-UA" w:eastAsia="uk-UA"/>
    </w:rPr>
  </w:style>
  <w:style w:type="character" w:customStyle="1" w:styleId="rvts11">
    <w:name w:val="rvts11"/>
    <w:rsid w:val="001A05A8"/>
  </w:style>
  <w:style w:type="character" w:customStyle="1" w:styleId="rvts9">
    <w:name w:val="rvts9"/>
    <w:rsid w:val="001A05A8"/>
  </w:style>
  <w:style w:type="character" w:customStyle="1" w:styleId="rvts37">
    <w:name w:val="rvts37"/>
    <w:rsid w:val="001A05A8"/>
  </w:style>
  <w:style w:type="paragraph" w:customStyle="1" w:styleId="rvps14">
    <w:name w:val="rvps14"/>
    <w:basedOn w:val="a"/>
    <w:rsid w:val="001A05A8"/>
    <w:pPr>
      <w:spacing w:before="100" w:beforeAutospacing="1" w:after="100" w:afterAutospacing="1"/>
    </w:pPr>
    <w:rPr>
      <w:sz w:val="24"/>
      <w:szCs w:val="24"/>
      <w:lang w:val="uk-UA" w:eastAsia="uk-UA"/>
    </w:rPr>
  </w:style>
  <w:style w:type="character" w:customStyle="1" w:styleId="rvts82">
    <w:name w:val="rvts82"/>
    <w:rsid w:val="001A05A8"/>
  </w:style>
  <w:style w:type="paragraph" w:customStyle="1" w:styleId="rvps7">
    <w:name w:val="rvps7"/>
    <w:basedOn w:val="a"/>
    <w:rsid w:val="001A05A8"/>
    <w:pPr>
      <w:spacing w:before="100" w:beforeAutospacing="1" w:after="100" w:afterAutospacing="1"/>
    </w:pPr>
    <w:rPr>
      <w:sz w:val="24"/>
      <w:szCs w:val="24"/>
      <w:lang w:val="uk-UA" w:eastAsia="uk-UA"/>
    </w:rPr>
  </w:style>
  <w:style w:type="character" w:customStyle="1" w:styleId="a4">
    <w:name w:val="Верхній колонтитул Знак"/>
    <w:link w:val="a3"/>
    <w:uiPriority w:val="99"/>
    <w:rsid w:val="00D67DFC"/>
    <w:rPr>
      <w:sz w:val="28"/>
      <w:szCs w:val="28"/>
      <w:lang w:val="en-US" w:eastAsia="ru-RU"/>
    </w:rPr>
  </w:style>
  <w:style w:type="character" w:customStyle="1" w:styleId="a6">
    <w:name w:val="Нижній колонтитул Знак"/>
    <w:link w:val="a5"/>
    <w:uiPriority w:val="99"/>
    <w:rsid w:val="00D67DFC"/>
    <w:rPr>
      <w:sz w:val="28"/>
      <w:szCs w:val="28"/>
      <w:lang w:val="en-US" w:eastAsia="ru-RU"/>
    </w:rPr>
  </w:style>
  <w:style w:type="character" w:styleId="af2">
    <w:name w:val="annotation reference"/>
    <w:rsid w:val="00C62A3E"/>
    <w:rPr>
      <w:sz w:val="16"/>
      <w:szCs w:val="16"/>
    </w:rPr>
  </w:style>
  <w:style w:type="paragraph" w:styleId="af3">
    <w:name w:val="annotation text"/>
    <w:basedOn w:val="a"/>
    <w:link w:val="af4"/>
    <w:rsid w:val="00C62A3E"/>
    <w:rPr>
      <w:sz w:val="20"/>
      <w:szCs w:val="20"/>
    </w:rPr>
  </w:style>
  <w:style w:type="character" w:customStyle="1" w:styleId="af4">
    <w:name w:val="Текст примітки Знак"/>
    <w:link w:val="af3"/>
    <w:rsid w:val="00C62A3E"/>
    <w:rPr>
      <w:lang w:val="en-US" w:eastAsia="ru-RU"/>
    </w:rPr>
  </w:style>
  <w:style w:type="paragraph" w:styleId="af5">
    <w:name w:val="annotation subject"/>
    <w:basedOn w:val="af3"/>
    <w:next w:val="af3"/>
    <w:link w:val="af6"/>
    <w:rsid w:val="00C62A3E"/>
    <w:rPr>
      <w:b/>
      <w:bCs/>
    </w:rPr>
  </w:style>
  <w:style w:type="character" w:customStyle="1" w:styleId="af6">
    <w:name w:val="Тема примітки Знак"/>
    <w:link w:val="af5"/>
    <w:rsid w:val="00C62A3E"/>
    <w:rPr>
      <w:b/>
      <w:bCs/>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5897">
      <w:bodyDiv w:val="1"/>
      <w:marLeft w:val="0"/>
      <w:marRight w:val="0"/>
      <w:marTop w:val="0"/>
      <w:marBottom w:val="0"/>
      <w:divBdr>
        <w:top w:val="none" w:sz="0" w:space="0" w:color="auto"/>
        <w:left w:val="none" w:sz="0" w:space="0" w:color="auto"/>
        <w:bottom w:val="none" w:sz="0" w:space="0" w:color="auto"/>
        <w:right w:val="none" w:sz="0" w:space="0" w:color="auto"/>
      </w:divBdr>
    </w:div>
    <w:div w:id="65422314">
      <w:bodyDiv w:val="1"/>
      <w:marLeft w:val="0"/>
      <w:marRight w:val="0"/>
      <w:marTop w:val="0"/>
      <w:marBottom w:val="0"/>
      <w:divBdr>
        <w:top w:val="none" w:sz="0" w:space="0" w:color="auto"/>
        <w:left w:val="none" w:sz="0" w:space="0" w:color="auto"/>
        <w:bottom w:val="none" w:sz="0" w:space="0" w:color="auto"/>
        <w:right w:val="none" w:sz="0" w:space="0" w:color="auto"/>
      </w:divBdr>
    </w:div>
    <w:div w:id="86734434">
      <w:bodyDiv w:val="1"/>
      <w:marLeft w:val="0"/>
      <w:marRight w:val="0"/>
      <w:marTop w:val="0"/>
      <w:marBottom w:val="0"/>
      <w:divBdr>
        <w:top w:val="none" w:sz="0" w:space="0" w:color="auto"/>
        <w:left w:val="none" w:sz="0" w:space="0" w:color="auto"/>
        <w:bottom w:val="none" w:sz="0" w:space="0" w:color="auto"/>
        <w:right w:val="none" w:sz="0" w:space="0" w:color="auto"/>
      </w:divBdr>
    </w:div>
    <w:div w:id="247930883">
      <w:bodyDiv w:val="1"/>
      <w:marLeft w:val="0"/>
      <w:marRight w:val="0"/>
      <w:marTop w:val="0"/>
      <w:marBottom w:val="0"/>
      <w:divBdr>
        <w:top w:val="none" w:sz="0" w:space="0" w:color="auto"/>
        <w:left w:val="none" w:sz="0" w:space="0" w:color="auto"/>
        <w:bottom w:val="none" w:sz="0" w:space="0" w:color="auto"/>
        <w:right w:val="none" w:sz="0" w:space="0" w:color="auto"/>
      </w:divBdr>
    </w:div>
    <w:div w:id="345637879">
      <w:bodyDiv w:val="1"/>
      <w:marLeft w:val="0"/>
      <w:marRight w:val="0"/>
      <w:marTop w:val="0"/>
      <w:marBottom w:val="0"/>
      <w:divBdr>
        <w:top w:val="none" w:sz="0" w:space="0" w:color="auto"/>
        <w:left w:val="none" w:sz="0" w:space="0" w:color="auto"/>
        <w:bottom w:val="none" w:sz="0" w:space="0" w:color="auto"/>
        <w:right w:val="none" w:sz="0" w:space="0" w:color="auto"/>
      </w:divBdr>
      <w:divsChild>
        <w:div w:id="556623728">
          <w:marLeft w:val="0"/>
          <w:marRight w:val="0"/>
          <w:marTop w:val="0"/>
          <w:marBottom w:val="0"/>
          <w:divBdr>
            <w:top w:val="none" w:sz="0" w:space="0" w:color="auto"/>
            <w:left w:val="none" w:sz="0" w:space="0" w:color="auto"/>
            <w:bottom w:val="none" w:sz="0" w:space="0" w:color="auto"/>
            <w:right w:val="none" w:sz="0" w:space="0" w:color="auto"/>
          </w:divBdr>
        </w:div>
        <w:div w:id="611740641">
          <w:marLeft w:val="0"/>
          <w:marRight w:val="0"/>
          <w:marTop w:val="0"/>
          <w:marBottom w:val="0"/>
          <w:divBdr>
            <w:top w:val="none" w:sz="0" w:space="0" w:color="auto"/>
            <w:left w:val="none" w:sz="0" w:space="0" w:color="auto"/>
            <w:bottom w:val="none" w:sz="0" w:space="0" w:color="auto"/>
            <w:right w:val="none" w:sz="0" w:space="0" w:color="auto"/>
          </w:divBdr>
        </w:div>
        <w:div w:id="711341440">
          <w:marLeft w:val="0"/>
          <w:marRight w:val="0"/>
          <w:marTop w:val="0"/>
          <w:marBottom w:val="0"/>
          <w:divBdr>
            <w:top w:val="none" w:sz="0" w:space="0" w:color="auto"/>
            <w:left w:val="none" w:sz="0" w:space="0" w:color="auto"/>
            <w:bottom w:val="none" w:sz="0" w:space="0" w:color="auto"/>
            <w:right w:val="none" w:sz="0" w:space="0" w:color="auto"/>
          </w:divBdr>
        </w:div>
        <w:div w:id="842084483">
          <w:marLeft w:val="0"/>
          <w:marRight w:val="0"/>
          <w:marTop w:val="0"/>
          <w:marBottom w:val="0"/>
          <w:divBdr>
            <w:top w:val="none" w:sz="0" w:space="0" w:color="auto"/>
            <w:left w:val="none" w:sz="0" w:space="0" w:color="auto"/>
            <w:bottom w:val="none" w:sz="0" w:space="0" w:color="auto"/>
            <w:right w:val="none" w:sz="0" w:space="0" w:color="auto"/>
          </w:divBdr>
        </w:div>
        <w:div w:id="1130053100">
          <w:marLeft w:val="0"/>
          <w:marRight w:val="0"/>
          <w:marTop w:val="0"/>
          <w:marBottom w:val="0"/>
          <w:divBdr>
            <w:top w:val="none" w:sz="0" w:space="0" w:color="auto"/>
            <w:left w:val="none" w:sz="0" w:space="0" w:color="auto"/>
            <w:bottom w:val="none" w:sz="0" w:space="0" w:color="auto"/>
            <w:right w:val="none" w:sz="0" w:space="0" w:color="auto"/>
          </w:divBdr>
        </w:div>
        <w:div w:id="1654018855">
          <w:marLeft w:val="0"/>
          <w:marRight w:val="0"/>
          <w:marTop w:val="0"/>
          <w:marBottom w:val="0"/>
          <w:divBdr>
            <w:top w:val="none" w:sz="0" w:space="0" w:color="auto"/>
            <w:left w:val="none" w:sz="0" w:space="0" w:color="auto"/>
            <w:bottom w:val="none" w:sz="0" w:space="0" w:color="auto"/>
            <w:right w:val="none" w:sz="0" w:space="0" w:color="auto"/>
          </w:divBdr>
        </w:div>
        <w:div w:id="2067409974">
          <w:marLeft w:val="0"/>
          <w:marRight w:val="0"/>
          <w:marTop w:val="0"/>
          <w:marBottom w:val="0"/>
          <w:divBdr>
            <w:top w:val="none" w:sz="0" w:space="0" w:color="auto"/>
            <w:left w:val="none" w:sz="0" w:space="0" w:color="auto"/>
            <w:bottom w:val="none" w:sz="0" w:space="0" w:color="auto"/>
            <w:right w:val="none" w:sz="0" w:space="0" w:color="auto"/>
          </w:divBdr>
        </w:div>
      </w:divsChild>
    </w:div>
    <w:div w:id="475071553">
      <w:bodyDiv w:val="1"/>
      <w:marLeft w:val="0"/>
      <w:marRight w:val="0"/>
      <w:marTop w:val="0"/>
      <w:marBottom w:val="0"/>
      <w:divBdr>
        <w:top w:val="none" w:sz="0" w:space="0" w:color="auto"/>
        <w:left w:val="none" w:sz="0" w:space="0" w:color="auto"/>
        <w:bottom w:val="none" w:sz="0" w:space="0" w:color="auto"/>
        <w:right w:val="none" w:sz="0" w:space="0" w:color="auto"/>
      </w:divBdr>
    </w:div>
    <w:div w:id="667682631">
      <w:bodyDiv w:val="1"/>
      <w:marLeft w:val="0"/>
      <w:marRight w:val="0"/>
      <w:marTop w:val="0"/>
      <w:marBottom w:val="0"/>
      <w:divBdr>
        <w:top w:val="none" w:sz="0" w:space="0" w:color="auto"/>
        <w:left w:val="none" w:sz="0" w:space="0" w:color="auto"/>
        <w:bottom w:val="none" w:sz="0" w:space="0" w:color="auto"/>
        <w:right w:val="none" w:sz="0" w:space="0" w:color="auto"/>
      </w:divBdr>
    </w:div>
    <w:div w:id="697318030">
      <w:bodyDiv w:val="1"/>
      <w:marLeft w:val="0"/>
      <w:marRight w:val="0"/>
      <w:marTop w:val="0"/>
      <w:marBottom w:val="0"/>
      <w:divBdr>
        <w:top w:val="none" w:sz="0" w:space="0" w:color="auto"/>
        <w:left w:val="none" w:sz="0" w:space="0" w:color="auto"/>
        <w:bottom w:val="none" w:sz="0" w:space="0" w:color="auto"/>
        <w:right w:val="none" w:sz="0" w:space="0" w:color="auto"/>
      </w:divBdr>
    </w:div>
    <w:div w:id="929697571">
      <w:bodyDiv w:val="1"/>
      <w:marLeft w:val="0"/>
      <w:marRight w:val="0"/>
      <w:marTop w:val="0"/>
      <w:marBottom w:val="0"/>
      <w:divBdr>
        <w:top w:val="none" w:sz="0" w:space="0" w:color="auto"/>
        <w:left w:val="none" w:sz="0" w:space="0" w:color="auto"/>
        <w:bottom w:val="none" w:sz="0" w:space="0" w:color="auto"/>
        <w:right w:val="none" w:sz="0" w:space="0" w:color="auto"/>
      </w:divBdr>
    </w:div>
    <w:div w:id="966855182">
      <w:bodyDiv w:val="1"/>
      <w:marLeft w:val="0"/>
      <w:marRight w:val="0"/>
      <w:marTop w:val="0"/>
      <w:marBottom w:val="0"/>
      <w:divBdr>
        <w:top w:val="none" w:sz="0" w:space="0" w:color="auto"/>
        <w:left w:val="none" w:sz="0" w:space="0" w:color="auto"/>
        <w:bottom w:val="none" w:sz="0" w:space="0" w:color="auto"/>
        <w:right w:val="none" w:sz="0" w:space="0" w:color="auto"/>
      </w:divBdr>
    </w:div>
    <w:div w:id="1013654443">
      <w:bodyDiv w:val="1"/>
      <w:marLeft w:val="0"/>
      <w:marRight w:val="0"/>
      <w:marTop w:val="0"/>
      <w:marBottom w:val="0"/>
      <w:divBdr>
        <w:top w:val="none" w:sz="0" w:space="0" w:color="auto"/>
        <w:left w:val="none" w:sz="0" w:space="0" w:color="auto"/>
        <w:bottom w:val="none" w:sz="0" w:space="0" w:color="auto"/>
        <w:right w:val="none" w:sz="0" w:space="0" w:color="auto"/>
      </w:divBdr>
    </w:div>
    <w:div w:id="1049917087">
      <w:bodyDiv w:val="1"/>
      <w:marLeft w:val="0"/>
      <w:marRight w:val="0"/>
      <w:marTop w:val="0"/>
      <w:marBottom w:val="0"/>
      <w:divBdr>
        <w:top w:val="none" w:sz="0" w:space="0" w:color="auto"/>
        <w:left w:val="none" w:sz="0" w:space="0" w:color="auto"/>
        <w:bottom w:val="none" w:sz="0" w:space="0" w:color="auto"/>
        <w:right w:val="none" w:sz="0" w:space="0" w:color="auto"/>
      </w:divBdr>
    </w:div>
    <w:div w:id="1218398872">
      <w:bodyDiv w:val="1"/>
      <w:marLeft w:val="0"/>
      <w:marRight w:val="0"/>
      <w:marTop w:val="0"/>
      <w:marBottom w:val="0"/>
      <w:divBdr>
        <w:top w:val="none" w:sz="0" w:space="0" w:color="auto"/>
        <w:left w:val="none" w:sz="0" w:space="0" w:color="auto"/>
        <w:bottom w:val="none" w:sz="0" w:space="0" w:color="auto"/>
        <w:right w:val="none" w:sz="0" w:space="0" w:color="auto"/>
      </w:divBdr>
    </w:div>
    <w:div w:id="1351641642">
      <w:bodyDiv w:val="1"/>
      <w:marLeft w:val="0"/>
      <w:marRight w:val="0"/>
      <w:marTop w:val="0"/>
      <w:marBottom w:val="0"/>
      <w:divBdr>
        <w:top w:val="none" w:sz="0" w:space="0" w:color="auto"/>
        <w:left w:val="none" w:sz="0" w:space="0" w:color="auto"/>
        <w:bottom w:val="none" w:sz="0" w:space="0" w:color="auto"/>
        <w:right w:val="none" w:sz="0" w:space="0" w:color="auto"/>
      </w:divBdr>
    </w:div>
    <w:div w:id="1558472366">
      <w:bodyDiv w:val="1"/>
      <w:marLeft w:val="0"/>
      <w:marRight w:val="0"/>
      <w:marTop w:val="0"/>
      <w:marBottom w:val="0"/>
      <w:divBdr>
        <w:top w:val="none" w:sz="0" w:space="0" w:color="auto"/>
        <w:left w:val="none" w:sz="0" w:space="0" w:color="auto"/>
        <w:bottom w:val="none" w:sz="0" w:space="0" w:color="auto"/>
        <w:right w:val="none" w:sz="0" w:space="0" w:color="auto"/>
      </w:divBdr>
    </w:div>
    <w:div w:id="1577352997">
      <w:bodyDiv w:val="1"/>
      <w:marLeft w:val="0"/>
      <w:marRight w:val="0"/>
      <w:marTop w:val="0"/>
      <w:marBottom w:val="0"/>
      <w:divBdr>
        <w:top w:val="none" w:sz="0" w:space="0" w:color="auto"/>
        <w:left w:val="none" w:sz="0" w:space="0" w:color="auto"/>
        <w:bottom w:val="none" w:sz="0" w:space="0" w:color="auto"/>
        <w:right w:val="none" w:sz="0" w:space="0" w:color="auto"/>
      </w:divBdr>
    </w:div>
    <w:div w:id="1607037756">
      <w:bodyDiv w:val="1"/>
      <w:marLeft w:val="0"/>
      <w:marRight w:val="0"/>
      <w:marTop w:val="0"/>
      <w:marBottom w:val="0"/>
      <w:divBdr>
        <w:top w:val="none" w:sz="0" w:space="0" w:color="auto"/>
        <w:left w:val="none" w:sz="0" w:space="0" w:color="auto"/>
        <w:bottom w:val="none" w:sz="0" w:space="0" w:color="auto"/>
        <w:right w:val="none" w:sz="0" w:space="0" w:color="auto"/>
      </w:divBdr>
      <w:divsChild>
        <w:div w:id="61291639">
          <w:marLeft w:val="0"/>
          <w:marRight w:val="0"/>
          <w:marTop w:val="0"/>
          <w:marBottom w:val="0"/>
          <w:divBdr>
            <w:top w:val="none" w:sz="0" w:space="0" w:color="auto"/>
            <w:left w:val="none" w:sz="0" w:space="0" w:color="auto"/>
            <w:bottom w:val="none" w:sz="0" w:space="0" w:color="auto"/>
            <w:right w:val="none" w:sz="0" w:space="0" w:color="auto"/>
          </w:divBdr>
        </w:div>
        <w:div w:id="1077634488">
          <w:marLeft w:val="0"/>
          <w:marRight w:val="0"/>
          <w:marTop w:val="0"/>
          <w:marBottom w:val="0"/>
          <w:divBdr>
            <w:top w:val="none" w:sz="0" w:space="0" w:color="auto"/>
            <w:left w:val="none" w:sz="0" w:space="0" w:color="auto"/>
            <w:bottom w:val="none" w:sz="0" w:space="0" w:color="auto"/>
            <w:right w:val="none" w:sz="0" w:space="0" w:color="auto"/>
          </w:divBdr>
        </w:div>
        <w:div w:id="1216814598">
          <w:marLeft w:val="0"/>
          <w:marRight w:val="0"/>
          <w:marTop w:val="0"/>
          <w:marBottom w:val="0"/>
          <w:divBdr>
            <w:top w:val="none" w:sz="0" w:space="0" w:color="auto"/>
            <w:left w:val="none" w:sz="0" w:space="0" w:color="auto"/>
            <w:bottom w:val="none" w:sz="0" w:space="0" w:color="auto"/>
            <w:right w:val="none" w:sz="0" w:space="0" w:color="auto"/>
          </w:divBdr>
        </w:div>
        <w:div w:id="1653168972">
          <w:marLeft w:val="0"/>
          <w:marRight w:val="0"/>
          <w:marTop w:val="0"/>
          <w:marBottom w:val="0"/>
          <w:divBdr>
            <w:top w:val="none" w:sz="0" w:space="0" w:color="auto"/>
            <w:left w:val="none" w:sz="0" w:space="0" w:color="auto"/>
            <w:bottom w:val="none" w:sz="0" w:space="0" w:color="auto"/>
            <w:right w:val="none" w:sz="0" w:space="0" w:color="auto"/>
          </w:divBdr>
        </w:div>
      </w:divsChild>
    </w:div>
    <w:div w:id="1646659336">
      <w:bodyDiv w:val="1"/>
      <w:marLeft w:val="0"/>
      <w:marRight w:val="0"/>
      <w:marTop w:val="0"/>
      <w:marBottom w:val="0"/>
      <w:divBdr>
        <w:top w:val="none" w:sz="0" w:space="0" w:color="auto"/>
        <w:left w:val="none" w:sz="0" w:space="0" w:color="auto"/>
        <w:bottom w:val="none" w:sz="0" w:space="0" w:color="auto"/>
        <w:right w:val="none" w:sz="0" w:space="0" w:color="auto"/>
      </w:divBdr>
    </w:div>
    <w:div w:id="1706713158">
      <w:bodyDiv w:val="1"/>
      <w:marLeft w:val="0"/>
      <w:marRight w:val="0"/>
      <w:marTop w:val="0"/>
      <w:marBottom w:val="0"/>
      <w:divBdr>
        <w:top w:val="none" w:sz="0" w:space="0" w:color="auto"/>
        <w:left w:val="none" w:sz="0" w:space="0" w:color="auto"/>
        <w:bottom w:val="none" w:sz="0" w:space="0" w:color="auto"/>
        <w:right w:val="none" w:sz="0" w:space="0" w:color="auto"/>
      </w:divBdr>
    </w:div>
    <w:div w:id="1721900536">
      <w:bodyDiv w:val="1"/>
      <w:marLeft w:val="0"/>
      <w:marRight w:val="0"/>
      <w:marTop w:val="0"/>
      <w:marBottom w:val="0"/>
      <w:divBdr>
        <w:top w:val="none" w:sz="0" w:space="0" w:color="auto"/>
        <w:left w:val="none" w:sz="0" w:space="0" w:color="auto"/>
        <w:bottom w:val="none" w:sz="0" w:space="0" w:color="auto"/>
        <w:right w:val="none" w:sz="0" w:space="0" w:color="auto"/>
      </w:divBdr>
    </w:div>
    <w:div w:id="1742674433">
      <w:bodyDiv w:val="1"/>
      <w:marLeft w:val="0"/>
      <w:marRight w:val="0"/>
      <w:marTop w:val="0"/>
      <w:marBottom w:val="0"/>
      <w:divBdr>
        <w:top w:val="none" w:sz="0" w:space="0" w:color="auto"/>
        <w:left w:val="none" w:sz="0" w:space="0" w:color="auto"/>
        <w:bottom w:val="none" w:sz="0" w:space="0" w:color="auto"/>
        <w:right w:val="none" w:sz="0" w:space="0" w:color="auto"/>
      </w:divBdr>
    </w:div>
    <w:div w:id="1759674319">
      <w:bodyDiv w:val="1"/>
      <w:marLeft w:val="0"/>
      <w:marRight w:val="0"/>
      <w:marTop w:val="0"/>
      <w:marBottom w:val="0"/>
      <w:divBdr>
        <w:top w:val="none" w:sz="0" w:space="0" w:color="auto"/>
        <w:left w:val="none" w:sz="0" w:space="0" w:color="auto"/>
        <w:bottom w:val="none" w:sz="0" w:space="0" w:color="auto"/>
        <w:right w:val="none" w:sz="0" w:space="0" w:color="auto"/>
      </w:divBdr>
    </w:div>
    <w:div w:id="1761559396">
      <w:bodyDiv w:val="1"/>
      <w:marLeft w:val="0"/>
      <w:marRight w:val="0"/>
      <w:marTop w:val="0"/>
      <w:marBottom w:val="0"/>
      <w:divBdr>
        <w:top w:val="none" w:sz="0" w:space="0" w:color="auto"/>
        <w:left w:val="none" w:sz="0" w:space="0" w:color="auto"/>
        <w:bottom w:val="none" w:sz="0" w:space="0" w:color="auto"/>
        <w:right w:val="none" w:sz="0" w:space="0" w:color="auto"/>
      </w:divBdr>
    </w:div>
    <w:div w:id="1769158719">
      <w:bodyDiv w:val="1"/>
      <w:marLeft w:val="0"/>
      <w:marRight w:val="0"/>
      <w:marTop w:val="0"/>
      <w:marBottom w:val="0"/>
      <w:divBdr>
        <w:top w:val="none" w:sz="0" w:space="0" w:color="auto"/>
        <w:left w:val="none" w:sz="0" w:space="0" w:color="auto"/>
        <w:bottom w:val="none" w:sz="0" w:space="0" w:color="auto"/>
        <w:right w:val="none" w:sz="0" w:space="0" w:color="auto"/>
      </w:divBdr>
    </w:div>
    <w:div w:id="1790051600">
      <w:bodyDiv w:val="1"/>
      <w:marLeft w:val="0"/>
      <w:marRight w:val="0"/>
      <w:marTop w:val="0"/>
      <w:marBottom w:val="0"/>
      <w:divBdr>
        <w:top w:val="none" w:sz="0" w:space="0" w:color="auto"/>
        <w:left w:val="none" w:sz="0" w:space="0" w:color="auto"/>
        <w:bottom w:val="none" w:sz="0" w:space="0" w:color="auto"/>
        <w:right w:val="none" w:sz="0" w:space="0" w:color="auto"/>
      </w:divBdr>
    </w:div>
    <w:div w:id="1873611382">
      <w:bodyDiv w:val="1"/>
      <w:marLeft w:val="0"/>
      <w:marRight w:val="0"/>
      <w:marTop w:val="0"/>
      <w:marBottom w:val="0"/>
      <w:divBdr>
        <w:top w:val="none" w:sz="0" w:space="0" w:color="auto"/>
        <w:left w:val="none" w:sz="0" w:space="0" w:color="auto"/>
        <w:bottom w:val="none" w:sz="0" w:space="0" w:color="auto"/>
        <w:right w:val="none" w:sz="0" w:space="0" w:color="auto"/>
      </w:divBdr>
    </w:div>
    <w:div w:id="1973444165">
      <w:bodyDiv w:val="1"/>
      <w:marLeft w:val="0"/>
      <w:marRight w:val="0"/>
      <w:marTop w:val="0"/>
      <w:marBottom w:val="0"/>
      <w:divBdr>
        <w:top w:val="none" w:sz="0" w:space="0" w:color="auto"/>
        <w:left w:val="none" w:sz="0" w:space="0" w:color="auto"/>
        <w:bottom w:val="none" w:sz="0" w:space="0" w:color="auto"/>
        <w:right w:val="none" w:sz="0" w:space="0" w:color="auto"/>
      </w:divBdr>
    </w:div>
    <w:div w:id="1986469639">
      <w:bodyDiv w:val="1"/>
      <w:marLeft w:val="0"/>
      <w:marRight w:val="0"/>
      <w:marTop w:val="0"/>
      <w:marBottom w:val="0"/>
      <w:divBdr>
        <w:top w:val="none" w:sz="0" w:space="0" w:color="auto"/>
        <w:left w:val="none" w:sz="0" w:space="0" w:color="auto"/>
        <w:bottom w:val="none" w:sz="0" w:space="0" w:color="auto"/>
        <w:right w:val="none" w:sz="0" w:space="0" w:color="auto"/>
      </w:divBdr>
    </w:div>
    <w:div w:id="2001423980">
      <w:bodyDiv w:val="1"/>
      <w:marLeft w:val="0"/>
      <w:marRight w:val="0"/>
      <w:marTop w:val="0"/>
      <w:marBottom w:val="0"/>
      <w:divBdr>
        <w:top w:val="none" w:sz="0" w:space="0" w:color="auto"/>
        <w:left w:val="none" w:sz="0" w:space="0" w:color="auto"/>
        <w:bottom w:val="none" w:sz="0" w:space="0" w:color="auto"/>
        <w:right w:val="none" w:sz="0" w:space="0" w:color="auto"/>
      </w:divBdr>
    </w:div>
    <w:div w:id="2037192756">
      <w:bodyDiv w:val="1"/>
      <w:marLeft w:val="0"/>
      <w:marRight w:val="0"/>
      <w:marTop w:val="0"/>
      <w:marBottom w:val="0"/>
      <w:divBdr>
        <w:top w:val="none" w:sz="0" w:space="0" w:color="auto"/>
        <w:left w:val="none" w:sz="0" w:space="0" w:color="auto"/>
        <w:bottom w:val="none" w:sz="0" w:space="0" w:color="auto"/>
        <w:right w:val="none" w:sz="0" w:space="0" w:color="auto"/>
      </w:divBdr>
    </w:div>
    <w:div w:id="2041010194">
      <w:bodyDiv w:val="1"/>
      <w:marLeft w:val="0"/>
      <w:marRight w:val="0"/>
      <w:marTop w:val="0"/>
      <w:marBottom w:val="0"/>
      <w:divBdr>
        <w:top w:val="none" w:sz="0" w:space="0" w:color="auto"/>
        <w:left w:val="none" w:sz="0" w:space="0" w:color="auto"/>
        <w:bottom w:val="none" w:sz="0" w:space="0" w:color="auto"/>
        <w:right w:val="none" w:sz="0" w:space="0" w:color="auto"/>
      </w:divBdr>
    </w:div>
    <w:div w:id="212619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6B735-C29A-4D78-AAEE-449E29E8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10484</Words>
  <Characters>5976</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ВИСНОВОК</vt:lpstr>
      <vt:lpstr>ВИСНОВОК</vt:lpstr>
    </vt:vector>
  </TitlesOfParts>
  <Company>Verkhovna Rada</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ВИСНОВОК</dc:title>
  <dc:subject/>
  <dc:creator>user</dc:creator>
  <cp:keywords/>
  <dc:description/>
  <cp:lastModifiedBy>Альона Вікторівна Найденко</cp:lastModifiedBy>
  <cp:revision>3</cp:revision>
  <cp:lastPrinted>2012-09-18T08:57:00Z</cp:lastPrinted>
  <dcterms:created xsi:type="dcterms:W3CDTF">2020-07-06T08:58:00Z</dcterms:created>
  <dcterms:modified xsi:type="dcterms:W3CDTF">2020-12-21T10:57:00Z</dcterms:modified>
</cp:coreProperties>
</file>