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2EE5" w14:textId="77777777" w:rsidR="007E797C" w:rsidRDefault="00F353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ПОЯСНЮВАЛЬНА ЗАПИСКА</w:t>
      </w:r>
    </w:p>
    <w:p w14:paraId="522EE1A1" w14:textId="1DBBBE80" w:rsidR="007E797C" w:rsidRDefault="00F3531B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до </w:t>
      </w:r>
      <w:proofErr w:type="spellStart"/>
      <w:r>
        <w:rPr>
          <w:b/>
          <w:bCs/>
          <w:kern w:val="1"/>
          <w:sz w:val="28"/>
          <w:szCs w:val="28"/>
          <w:lang w:eastAsia="hi-IN" w:bidi="hi-IN"/>
        </w:rPr>
        <w:t>проєкту</w:t>
      </w:r>
      <w:proofErr w:type="spellEnd"/>
      <w:r>
        <w:rPr>
          <w:b/>
          <w:bCs/>
          <w:kern w:val="1"/>
          <w:sz w:val="28"/>
          <w:szCs w:val="28"/>
          <w:lang w:eastAsia="hi-IN" w:bidi="hi-IN"/>
        </w:rPr>
        <w:t xml:space="preserve"> Закону України</w:t>
      </w:r>
      <w:r>
        <w:rPr>
          <w:b/>
          <w:sz w:val="28"/>
          <w:szCs w:val="28"/>
        </w:rPr>
        <w:t xml:space="preserve"> «Про внесення змін до деяких </w:t>
      </w:r>
      <w:r w:rsidR="004031FD">
        <w:rPr>
          <w:b/>
          <w:sz w:val="28"/>
          <w:szCs w:val="28"/>
        </w:rPr>
        <w:t>законів України</w:t>
      </w:r>
      <w:r>
        <w:rPr>
          <w:b/>
          <w:sz w:val="28"/>
          <w:szCs w:val="28"/>
        </w:rPr>
        <w:t xml:space="preserve"> щодо забезпечення участі громадян </w:t>
      </w:r>
      <w:r w:rsidR="00260132">
        <w:rPr>
          <w:b/>
          <w:sz w:val="28"/>
          <w:szCs w:val="28"/>
        </w:rPr>
        <w:t xml:space="preserve">України </w:t>
      </w:r>
      <w:r>
        <w:rPr>
          <w:b/>
          <w:sz w:val="28"/>
          <w:szCs w:val="28"/>
        </w:rPr>
        <w:t>у здійсненні правосуддя»</w:t>
      </w:r>
    </w:p>
    <w:p w14:paraId="6B92C08B" w14:textId="77777777" w:rsidR="007E797C" w:rsidRDefault="007E7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17347" w14:textId="77777777" w:rsidR="007E797C" w:rsidRDefault="00F353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Резюме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06275" w14:textId="77777777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Комплексне у</w:t>
      </w:r>
      <w:r w:rsidR="00F35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досконалення </w:t>
      </w:r>
      <w:r w:rsidR="00F3531B">
        <w:rPr>
          <w:rFonts w:ascii="Times New Roman" w:hAnsi="Times New Roman"/>
          <w:sz w:val="28"/>
          <w:szCs w:val="28"/>
        </w:rPr>
        <w:t xml:space="preserve">порядку </w:t>
      </w:r>
      <w:r w:rsidR="003817AE">
        <w:rPr>
          <w:rFonts w:ascii="Times New Roman" w:hAnsi="Times New Roman"/>
          <w:sz w:val="28"/>
          <w:szCs w:val="28"/>
        </w:rPr>
        <w:t xml:space="preserve">залучення громадян до участі у здійсненні правосуддя та спрощення порядку формування списку присяжних шляхом отримання інформації з </w:t>
      </w:r>
      <w:r w:rsidR="003817AE" w:rsidRPr="009A6512">
        <w:rPr>
          <w:rFonts w:ascii="Times New Roman" w:hAnsi="Times New Roman"/>
          <w:sz w:val="28"/>
          <w:szCs w:val="28"/>
        </w:rPr>
        <w:t>Державного реєстру виборців</w:t>
      </w:r>
      <w:r w:rsidR="003817AE">
        <w:rPr>
          <w:rFonts w:ascii="Times New Roman" w:hAnsi="Times New Roman"/>
          <w:sz w:val="28"/>
          <w:szCs w:val="28"/>
        </w:rPr>
        <w:t>.</w:t>
      </w:r>
      <w:bookmarkStart w:id="0" w:name="_Toc20719679"/>
      <w:r w:rsidRPr="00897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DD921" w14:textId="77777777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розроблено Міністерством юстиції України на виконання підпункту 19.3. «Створення гуманістичної системи виконання кримінальних покарань»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пункту 19 Програми діяльності Кабінету Міністрів України, затвердженої постановою Кабінету Міністрів України від 12 червня 2020 року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471.</w:t>
      </w:r>
    </w:p>
    <w:p w14:paraId="0CEF8A6D" w14:textId="77777777" w:rsidR="007E797C" w:rsidRDefault="007E79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E3D5B" w14:textId="77777777" w:rsidR="007E797C" w:rsidRDefault="00F353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Проблема, яка потребує розв’язання</w:t>
      </w:r>
    </w:p>
    <w:p w14:paraId="3DA4AA05" w14:textId="74A25D61" w:rsidR="00616654" w:rsidRPr="004031FD" w:rsidRDefault="00616654" w:rsidP="00616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66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реалізації положень Конституції України та запровадження в Україні ефективного суду присяжних Міністерством юстиції України підготовлено </w:t>
      </w:r>
      <w:proofErr w:type="spellStart"/>
      <w:r w:rsidRPr="006166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6166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</w:t>
      </w:r>
      <w:r w:rsidRPr="00403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31FD" w:rsidRPr="004031FD">
        <w:rPr>
          <w:rFonts w:ascii="Times New Roman" w:hAnsi="Times New Roman" w:cs="Times New Roman"/>
          <w:sz w:val="28"/>
          <w:szCs w:val="28"/>
        </w:rPr>
        <w:t xml:space="preserve">Про 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забезпечення участі громадян </w:t>
      </w:r>
      <w:r w:rsidR="0026013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4031FD" w:rsidRPr="004031FD">
        <w:rPr>
          <w:rFonts w:ascii="Times New Roman" w:hAnsi="Times New Roman" w:cs="Times New Roman"/>
          <w:sz w:val="28"/>
          <w:szCs w:val="28"/>
        </w:rPr>
        <w:t>у здійсненні правосуддя</w:t>
      </w:r>
      <w:r w:rsidRPr="00403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11B531C" w14:textId="6043CA2B" w:rsidR="00161C19" w:rsidRDefault="00945BA2" w:rsidP="00281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D532F" w:rsidRPr="00403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 удосконалення порядку</w:t>
      </w:r>
      <w:r w:rsidR="002D532F" w:rsidRPr="002D53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формування списку присяжних Міністерством юстиції України підготовлено </w:t>
      </w:r>
      <w:proofErr w:type="spellStart"/>
      <w:r w:rsidR="002D53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532F" w:rsidRPr="002D53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роєкт</w:t>
      </w:r>
      <w:proofErr w:type="spellEnd"/>
      <w:r w:rsidR="002D532F" w:rsidRPr="002D53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«Про внесення змін до Закону України «Про судоустрій і статус суддів» щодо удосконалення порядку залучення громадян України до участі у здійсненні правосуддя та формування списку присяжних»</w:t>
      </w:r>
      <w:r w:rsidR="002D53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яким </w:t>
      </w:r>
      <w:r w:rsidR="00161C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пропонується </w:t>
      </w:r>
      <w:proofErr w:type="spellStart"/>
      <w:r w:rsidR="00161C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161C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зміни до статті 64</w:t>
      </w:r>
      <w:r w:rsid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</w:t>
      </w:r>
      <w:r w:rsidR="00B80DBA" w:rsidRP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«Про судоустрій і статус суддів» </w:t>
      </w:r>
      <w:r w:rsid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виключити місцеві ради з процесу формування списку присяжних та покла</w:t>
      </w:r>
      <w:r w:rsidR="00E52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E52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обов’яз</w:t>
      </w:r>
      <w:r w:rsidR="00E52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 територіальні управління Державної судової адміністрації України з використанням інформації, що міститься в Державному реєстрі виборців.</w:t>
      </w:r>
    </w:p>
    <w:p w14:paraId="40505C72" w14:textId="6A8BF21E" w:rsidR="00B80DBA" w:rsidRDefault="00B80DBA" w:rsidP="00281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r w:rsidRPr="00B80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правові та організаційні засади створення і ведення єдиного Державного реєстру виборців в Україні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визначені Законом України «Про </w:t>
      </w:r>
      <w:r w:rsidRPr="00B8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Державний реєстр виборців</w:t>
      </w:r>
      <w:r w:rsidR="009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B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положеннями якого заборонено використовувати </w:t>
      </w:r>
      <w:r w:rsidR="00E52106" w:rsidRP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</w:t>
      </w:r>
      <w:r w:rsid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E52106" w:rsidRP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106" w:rsidRP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822A9E" w:rsidRP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E52106" w:rsidRP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106" w:rsidRP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Реєстру для інших цілей, крім </w:t>
      </w:r>
      <w:r w:rsid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</w:t>
      </w:r>
      <w:r w:rsidR="003B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зазначеним Законом (</w:t>
      </w:r>
      <w:r w:rsid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 26</w:t>
      </w:r>
      <w:r w:rsidR="00822A9E" w:rsidRPr="0082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A9E" w:rsidRP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22A9E" w:rsidRP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«Про Державний реєстр виборців»</w:t>
      </w:r>
      <w:r w:rsid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2106" w:rsidRP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F7643E" w14:textId="15D4680E" w:rsidR="00A61114" w:rsidRPr="00E52106" w:rsidRDefault="00A61114" w:rsidP="00281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чином</w:t>
      </w:r>
      <w:r w:rsidR="003B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/>
          <w:sz w:val="27"/>
          <w:szCs w:val="27"/>
          <w:lang w:eastAsia="ru-RU"/>
        </w:rPr>
        <w:t xml:space="preserve">ля належного забезпечення запропонованих законодавчих змін потребують внесення змін і положення </w:t>
      </w:r>
      <w:r w:rsidR="00281535">
        <w:rPr>
          <w:rFonts w:ascii="Times New Roman" w:hAnsi="Times New Roman"/>
          <w:sz w:val="27"/>
          <w:szCs w:val="27"/>
          <w:lang w:eastAsia="ru-RU"/>
        </w:rPr>
        <w:t xml:space="preserve">Закону України </w:t>
      </w:r>
      <w:r w:rsidR="00281535" w:rsidRPr="00281535">
        <w:rPr>
          <w:rFonts w:ascii="Times New Roman" w:hAnsi="Times New Roman"/>
          <w:sz w:val="27"/>
          <w:szCs w:val="27"/>
          <w:lang w:eastAsia="ru-RU"/>
        </w:rPr>
        <w:t>«Про Державний реєстр виборців».</w:t>
      </w:r>
    </w:p>
    <w:p w14:paraId="5ECD8EC4" w14:textId="77777777" w:rsidR="00954930" w:rsidRDefault="00954930" w:rsidP="008974E4">
      <w:pPr>
        <w:spacing w:after="0" w:line="240" w:lineRule="auto"/>
        <w:ind w:firstLine="709"/>
        <w:jc w:val="both"/>
        <w:rPr>
          <w:rFonts w:ascii="Helvetica" w:hAnsi="Helvetica" w:cs="Helvetica"/>
          <w:color w:val="303F50"/>
          <w:sz w:val="21"/>
          <w:szCs w:val="21"/>
          <w:shd w:val="clear" w:color="auto" w:fill="FFFFFF"/>
        </w:rPr>
      </w:pPr>
      <w:r w:rsidRPr="00E5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 того, підпунктом «г» пункту 1 частини першої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3 </w:t>
      </w:r>
      <w:r w:rsidRPr="009A6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A6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«Про запобігання корупції»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віднесено </w:t>
      </w:r>
      <w:r w:rsidRPr="009A6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присяжних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9A6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переліку осіб, які зобов’язані подавати декларацію особи, уповноваженої на виконання функцій держави або місцевого самоврядування.</w:t>
      </w:r>
      <w:r w:rsidR="00544F72" w:rsidRPr="00544F72">
        <w:rPr>
          <w:rFonts w:ascii="Helvetica" w:hAnsi="Helvetica" w:cs="Helvetica"/>
          <w:color w:val="303F50"/>
          <w:sz w:val="21"/>
          <w:szCs w:val="21"/>
          <w:shd w:val="clear" w:color="auto" w:fill="FFFFFF"/>
        </w:rPr>
        <w:t xml:space="preserve"> </w:t>
      </w:r>
    </w:p>
    <w:p w14:paraId="0EEAD2CB" w14:textId="2FBF79D2" w:rsidR="00281535" w:rsidRPr="00281535" w:rsidRDefault="00281535" w:rsidP="008974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Враховуючи </w:t>
      </w:r>
      <w:r w:rsidR="00A61114">
        <w:rPr>
          <w:rFonts w:ascii="Times New Roman" w:hAnsi="Times New Roman"/>
          <w:sz w:val="27"/>
          <w:szCs w:val="27"/>
          <w:lang w:eastAsia="ru-RU"/>
        </w:rPr>
        <w:t>вимог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="00A61114">
        <w:rPr>
          <w:rFonts w:ascii="Times New Roman" w:hAnsi="Times New Roman"/>
          <w:sz w:val="27"/>
          <w:szCs w:val="27"/>
          <w:lang w:eastAsia="ru-RU"/>
        </w:rPr>
        <w:t xml:space="preserve"> Закону України від 19.05.2020 № 619-ІХ «</w:t>
      </w:r>
      <w:r w:rsidR="00A61114">
        <w:rPr>
          <w:rFonts w:ascii="Times New Roman" w:hAnsi="Times New Roman"/>
          <w:bCs/>
          <w:sz w:val="27"/>
          <w:szCs w:val="27"/>
          <w:shd w:val="clear" w:color="auto" w:fill="FFFFFF"/>
        </w:rPr>
        <w:t>Про внесення змін до деяких законодавчих актів України щодо удосконалення процедури внесення змін»</w:t>
      </w:r>
      <w:r w:rsidR="003B57D8">
        <w:rPr>
          <w:rFonts w:ascii="Times New Roman" w:hAnsi="Times New Roman"/>
          <w:bCs/>
          <w:sz w:val="27"/>
          <w:szCs w:val="27"/>
          <w:shd w:val="clear" w:color="auto" w:fill="FFFFFF"/>
        </w:rPr>
        <w:t>,</w:t>
      </w:r>
      <w:r w:rsidR="00A61114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відповідно до яких зміни до КУпАП та КПК </w:t>
      </w:r>
      <w:r w:rsidR="00A61114">
        <w:rPr>
          <w:rFonts w:ascii="Times New Roman" w:hAnsi="Times New Roman"/>
          <w:bCs/>
          <w:sz w:val="27"/>
          <w:szCs w:val="27"/>
          <w:shd w:val="clear" w:color="auto" w:fill="FFFFFF"/>
        </w:rPr>
        <w:t>внос</w:t>
      </w:r>
      <w:r>
        <w:rPr>
          <w:rFonts w:ascii="Times New Roman" w:hAnsi="Times New Roman"/>
          <w:bCs/>
          <w:sz w:val="27"/>
          <w:szCs w:val="27"/>
          <w:shd w:val="clear" w:color="auto" w:fill="FFFFFF"/>
        </w:rPr>
        <w:t>яться</w:t>
      </w:r>
      <w:r w:rsidR="00A61114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окремим </w:t>
      </w:r>
      <w:r w:rsidR="00A61114">
        <w:rPr>
          <w:rFonts w:ascii="Times New Roman" w:hAnsi="Times New Roman"/>
          <w:bCs/>
          <w:sz w:val="27"/>
          <w:szCs w:val="27"/>
          <w:shd w:val="clear" w:color="auto" w:fill="FFFFFF"/>
        </w:rPr>
        <w:lastRenderedPageBreak/>
        <w:t>законом</w:t>
      </w:r>
      <w:r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, підготовлено окремий </w:t>
      </w:r>
      <w:proofErr w:type="spellStart"/>
      <w:r>
        <w:rPr>
          <w:rFonts w:ascii="Times New Roman" w:hAnsi="Times New Roman"/>
          <w:bCs/>
          <w:sz w:val="27"/>
          <w:szCs w:val="27"/>
          <w:shd w:val="clear" w:color="auto" w:fill="FFFFFF"/>
        </w:rPr>
        <w:t>проєк</w:t>
      </w:r>
      <w:r w:rsidR="003B57D8">
        <w:rPr>
          <w:rFonts w:ascii="Times New Roman" w:hAnsi="Times New Roman"/>
          <w:bCs/>
          <w:sz w:val="27"/>
          <w:szCs w:val="27"/>
          <w:shd w:val="clear" w:color="auto" w:fill="FFFFFF"/>
        </w:rPr>
        <w:t>т</w:t>
      </w:r>
      <w:proofErr w:type="spellEnd"/>
      <w:r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Закону України </w:t>
      </w:r>
      <w:r w:rsidRPr="0028153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«Про внесення змін до деяких закон</w:t>
      </w:r>
      <w:r w:rsidR="00E209EE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ів У</w:t>
      </w:r>
      <w:r w:rsidR="0026013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к</w:t>
      </w:r>
      <w:r w:rsidR="00E209EE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раїни</w:t>
      </w:r>
      <w:r w:rsidRPr="0028153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щодо забезпечення участі громадян </w:t>
      </w:r>
      <w:r w:rsidR="0026013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України </w:t>
      </w:r>
      <w:r w:rsidRPr="0028153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у здійсненні правосуддя»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(далі – </w:t>
      </w:r>
      <w:proofErr w:type="spellStart"/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Закону), яким передбачено зміни до Законів України </w:t>
      </w:r>
      <w:r w:rsidRPr="0028153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«Про Державний реєстр виборців»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та </w:t>
      </w:r>
      <w:r w:rsidRPr="0028153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«Про запобігання корупції»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14:paraId="61A56433" w14:textId="77777777" w:rsidR="00281535" w:rsidRPr="00281535" w:rsidRDefault="00281535" w:rsidP="008974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</w:p>
    <w:p w14:paraId="2101EA0C" w14:textId="77777777" w:rsidR="007E797C" w:rsidRDefault="00F3531B" w:rsidP="008974E4">
      <w:pPr>
        <w:pStyle w:val="ad"/>
        <w:spacing w:before="0" w:after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Суть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14:paraId="617C88F4" w14:textId="7E640720" w:rsidR="00E52106" w:rsidRPr="009A6512" w:rsidRDefault="00E52106" w:rsidP="0089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формування списків присяжних </w:t>
      </w:r>
      <w:r w:rsidR="008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територіальними управліннями Державної судової адміністрації України </w:t>
      </w:r>
      <w:proofErr w:type="spellStart"/>
      <w:r w:rsidR="008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проєктом</w:t>
      </w:r>
      <w:proofErr w:type="spellEnd"/>
      <w:r w:rsidR="008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пропонується доповнити статтю 26 Закону України </w:t>
      </w:r>
      <w:r w:rsidR="00822A9E" w:rsidRPr="008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Державний реєстр виборців»</w:t>
      </w:r>
      <w:r w:rsidR="008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передбачити, що </w:t>
      </w:r>
      <w:r w:rsidRPr="009A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Державна судова адміністрація України </w:t>
      </w:r>
      <w:r w:rsidRP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отримувати з </w:t>
      </w:r>
      <w:bookmarkStart w:id="1" w:name="_Hlk43209764"/>
      <w:r w:rsidRP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Державного реєстру виборців </w:t>
      </w:r>
      <w:bookmarkEnd w:id="1"/>
      <w:r w:rsidRP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інформацію про виборців, зокрема таку, що містить персональні дані (частина </w:t>
      </w:r>
      <w:r w:rsid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дев’ята</w:t>
      </w:r>
      <w:r w:rsidRPr="006E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статті 26</w:t>
      </w:r>
      <w:r w:rsidRPr="009A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«Про Державний реєстр виборців» в редакції </w:t>
      </w:r>
      <w:proofErr w:type="spellStart"/>
      <w:r w:rsidRPr="009A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9A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Закону).</w:t>
      </w:r>
    </w:p>
    <w:p w14:paraId="019ED422" w14:textId="77777777" w:rsidR="00822A9E" w:rsidRPr="009A6512" w:rsidRDefault="00F3531B" w:rsidP="008974E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Закону пропонується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Закону України «Про запобігання корупції» та виключити присяжних із переліку осіб, які зобов’язані подавати декларацію особи, уповноваженої на виконання функцій держави або місцевого самоврядування</w:t>
      </w:r>
      <w:r w:rsidR="00822A9E">
        <w:rPr>
          <w:sz w:val="28"/>
          <w:szCs w:val="28"/>
        </w:rPr>
        <w:t xml:space="preserve">, оскільки участь присяжного у розгляді </w:t>
      </w:r>
      <w:r w:rsidR="0041363F">
        <w:rPr>
          <w:sz w:val="28"/>
          <w:szCs w:val="28"/>
        </w:rPr>
        <w:t>кримінальної справи у суді</w:t>
      </w:r>
      <w:r w:rsidR="00822A9E" w:rsidRPr="00822A9E">
        <w:rPr>
          <w:rFonts w:ascii="Helvetica" w:hAnsi="Helvetica" w:cs="Helvetica"/>
          <w:color w:val="303F50"/>
          <w:sz w:val="21"/>
          <w:szCs w:val="21"/>
          <w:shd w:val="clear" w:color="auto" w:fill="FFFFFF"/>
        </w:rPr>
        <w:t xml:space="preserve"> </w:t>
      </w:r>
      <w:r w:rsidR="006D2634" w:rsidRPr="006D2634">
        <w:rPr>
          <w:sz w:val="28"/>
          <w:szCs w:val="28"/>
          <w:shd w:val="clear" w:color="auto" w:fill="FFFFFF"/>
        </w:rPr>
        <w:t xml:space="preserve">не </w:t>
      </w:r>
      <w:r w:rsidR="00822A9E" w:rsidRPr="00822A9E">
        <w:rPr>
          <w:sz w:val="28"/>
          <w:szCs w:val="28"/>
        </w:rPr>
        <w:t>знаход</w:t>
      </w:r>
      <w:r w:rsidR="006D2634">
        <w:rPr>
          <w:sz w:val="28"/>
          <w:szCs w:val="28"/>
        </w:rPr>
        <w:t>и</w:t>
      </w:r>
      <w:r w:rsidR="00822A9E" w:rsidRPr="00822A9E">
        <w:rPr>
          <w:sz w:val="28"/>
          <w:szCs w:val="28"/>
        </w:rPr>
        <w:t xml:space="preserve">ться в зоні </w:t>
      </w:r>
      <w:proofErr w:type="spellStart"/>
      <w:r w:rsidR="00822A9E" w:rsidRPr="00822A9E">
        <w:rPr>
          <w:sz w:val="28"/>
          <w:szCs w:val="28"/>
        </w:rPr>
        <w:t>корупціогенного</w:t>
      </w:r>
      <w:proofErr w:type="spellEnd"/>
      <w:r w:rsidR="00822A9E" w:rsidRPr="00822A9E">
        <w:rPr>
          <w:sz w:val="28"/>
          <w:szCs w:val="28"/>
        </w:rPr>
        <w:t xml:space="preserve"> ризику</w:t>
      </w:r>
      <w:r w:rsidR="006D2634">
        <w:rPr>
          <w:sz w:val="28"/>
          <w:szCs w:val="28"/>
        </w:rPr>
        <w:t>.</w:t>
      </w:r>
    </w:p>
    <w:p w14:paraId="453CC783" w14:textId="77777777" w:rsidR="007E797C" w:rsidRDefault="007E797C" w:rsidP="008974E4">
      <w:pPr>
        <w:pStyle w:val="1"/>
        <w:ind w:firstLine="709"/>
        <w:jc w:val="both"/>
        <w:rPr>
          <w:sz w:val="28"/>
          <w:szCs w:val="28"/>
        </w:rPr>
      </w:pPr>
    </w:p>
    <w:p w14:paraId="47BEB80B" w14:textId="77777777" w:rsidR="007E797C" w:rsidRDefault="00F3531B" w:rsidP="008974E4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 Вплив на бюджет</w:t>
      </w:r>
    </w:p>
    <w:p w14:paraId="7AA75FED" w14:textId="3A130EFE" w:rsidR="007E797C" w:rsidRDefault="00F3531B" w:rsidP="0089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3B57D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B57D8">
        <w:rPr>
          <w:rFonts w:ascii="Times New Roman" w:hAnsi="Times New Roman" w:cs="Times New Roman"/>
          <w:sz w:val="28"/>
          <w:szCs w:val="28"/>
        </w:rPr>
        <w:t xml:space="preserve"> Закону </w:t>
      </w:r>
      <w:r>
        <w:rPr>
          <w:rFonts w:ascii="Times New Roman" w:hAnsi="Times New Roman" w:cs="Times New Roman"/>
          <w:sz w:val="28"/>
          <w:szCs w:val="28"/>
        </w:rPr>
        <w:t xml:space="preserve">не потребуватиме додаткових фінансових витрат з Державного бюджету України. </w:t>
      </w:r>
    </w:p>
    <w:p w14:paraId="0217F073" w14:textId="77777777" w:rsidR="007E797C" w:rsidRDefault="007E797C" w:rsidP="0089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B702E3D" w14:textId="77777777" w:rsidR="007E797C" w:rsidRDefault="00F3531B" w:rsidP="0089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Позиція заінтересованих сторін</w:t>
      </w:r>
    </w:p>
    <w:p w14:paraId="49AAB86C" w14:textId="0486A6A6" w:rsidR="007E797C" w:rsidRDefault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Реалізація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 вплине на інтереси </w:t>
      </w:r>
      <w:r w:rsidR="007B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осіб, які бажають стати присяжними (прогноз впливу додається).</w:t>
      </w:r>
    </w:p>
    <w:p w14:paraId="3571E51F" w14:textId="77777777" w:rsidR="007E797C" w:rsidRDefault="00F3531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не стосується питання розвитку адміністративно-територіальних одиниць.</w:t>
      </w:r>
    </w:p>
    <w:p w14:paraId="6D6FA097" w14:textId="2CCB4D02" w:rsidR="007E797C" w:rsidRDefault="00F3531B">
      <w:pPr>
        <w:pStyle w:val="aa"/>
        <w:ind w:firstLine="709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Проєкт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r w:rsidR="003B57D8">
        <w:rPr>
          <w:rFonts w:ascii="Times New Roman" w:hAnsi="Times New Roman"/>
          <w:lang w:val="uk-UA"/>
        </w:rPr>
        <w:t>Закону</w:t>
      </w:r>
      <w:r>
        <w:rPr>
          <w:rFonts w:ascii="Times New Roman" w:hAnsi="Times New Roman"/>
          <w:lang w:val="uk-UA" w:eastAsia="uk-UA"/>
        </w:rPr>
        <w:t xml:space="preserve"> не потребує проведення додаткових консультацій з громадськістю.</w:t>
      </w:r>
    </w:p>
    <w:p w14:paraId="6E70A1E3" w14:textId="77777777" w:rsidR="007E797C" w:rsidRDefault="007E797C">
      <w:pPr>
        <w:pStyle w:val="aa"/>
        <w:jc w:val="both"/>
        <w:rPr>
          <w:rFonts w:ascii="Times New Roman" w:hAnsi="Times New Roman"/>
          <w:b/>
          <w:lang w:val="uk-UA" w:eastAsia="uk-UA"/>
        </w:rPr>
      </w:pPr>
    </w:p>
    <w:p w14:paraId="71FF63FE" w14:textId="77777777" w:rsidR="007E797C" w:rsidRDefault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14:paraId="6DAC0214" w14:textId="77777777" w:rsidR="007E797C" w:rsidRDefault="00F3531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Закону не належить до регуляторних актів.</w:t>
      </w:r>
    </w:p>
    <w:p w14:paraId="7AD8AE60" w14:textId="77777777" w:rsidR="007E797C" w:rsidRDefault="00F3531B">
      <w:pPr>
        <w:pStyle w:val="aa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lang w:val="uk-UA"/>
        </w:rPr>
        <w:t>проєкту</w:t>
      </w:r>
      <w:proofErr w:type="spellEnd"/>
      <w:r>
        <w:rPr>
          <w:rFonts w:ascii="Times New Roman" w:hAnsi="Times New Roman"/>
          <w:lang w:val="uk-UA"/>
        </w:rPr>
        <w:t xml:space="preserve"> Закону не вплине на ринок праці,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громадське здоров’я, екологію та навколишнє природне середовище.</w:t>
      </w:r>
    </w:p>
    <w:p w14:paraId="65A6957B" w14:textId="77777777" w:rsidR="00281535" w:rsidRDefault="00281535" w:rsidP="00281535">
      <w:pPr>
        <w:pStyle w:val="aa"/>
        <w:ind w:firstLine="709"/>
        <w:jc w:val="both"/>
        <w:rPr>
          <w:rFonts w:ascii="Times New Roman" w:hAnsi="Times New Roman"/>
          <w:b/>
          <w:lang w:val="uk-UA" w:eastAsia="uk-UA"/>
        </w:rPr>
      </w:pPr>
    </w:p>
    <w:p w14:paraId="388F8B41" w14:textId="77777777" w:rsidR="006E08D2" w:rsidRDefault="00281535" w:rsidP="006E0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Позиція заінтересованих органів</w:t>
      </w:r>
    </w:p>
    <w:p w14:paraId="459CD699" w14:textId="77777777" w:rsidR="009D2C8D" w:rsidRDefault="009D2C8D" w:rsidP="009D2C8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2A524C">
        <w:rPr>
          <w:rFonts w:ascii="Times New Roman" w:eastAsiaTheme="majorEastAsia" w:hAnsi="Times New Roman" w:cs="Times New Roman"/>
          <w:bCs/>
          <w:sz w:val="28"/>
          <w:szCs w:val="28"/>
        </w:rPr>
        <w:t>Проєкт</w:t>
      </w:r>
      <w:proofErr w:type="spellEnd"/>
      <w:r w:rsidRPr="002A524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Закону погоджено без зауважень Міністерством фінансів України, Міністерством розвитку економіки, торгівлі та сільського господарства України.</w:t>
      </w:r>
    </w:p>
    <w:p w14:paraId="2CE18D11" w14:textId="0E55FE9A" w:rsidR="009D2C8D" w:rsidRDefault="009D2C8D" w:rsidP="009D2C8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A524C">
        <w:rPr>
          <w:rFonts w:ascii="Times New Roman" w:eastAsiaTheme="majorEastAsia" w:hAnsi="Times New Roman" w:cs="Times New Roman"/>
          <w:bCs/>
          <w:sz w:val="28"/>
          <w:szCs w:val="28"/>
        </w:rPr>
        <w:t>Із зауваженнями, які враховано частково</w:t>
      </w:r>
      <w:r w:rsidR="003B57D8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2A524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Центральною виборчою комісією, Державною судовою адміністрацією України, Офісом Генерального прокурора, Верховним Судом, Уповноваженим Верховної Ради України з прав людини.</w:t>
      </w:r>
    </w:p>
    <w:p w14:paraId="63ED84B7" w14:textId="3251D068" w:rsidR="009D2C8D" w:rsidRPr="002A524C" w:rsidRDefault="009D2C8D" w:rsidP="009D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Pr="002A524C">
        <w:rPr>
          <w:rFonts w:ascii="Times New Roman" w:hAnsi="Times New Roman" w:cs="Times New Roman"/>
          <w:sz w:val="28"/>
          <w:szCs w:val="28"/>
        </w:rPr>
        <w:t xml:space="preserve">унктом 1 протокольного рішення засідання Урядового комітету з питань цифрової трансформації, розвитку громад і територій, освіти, </w:t>
      </w:r>
      <w:r w:rsidRPr="002A524C">
        <w:rPr>
          <w:rFonts w:ascii="Times New Roman" w:hAnsi="Times New Roman" w:cs="Times New Roman"/>
          <w:sz w:val="28"/>
          <w:szCs w:val="28"/>
        </w:rPr>
        <w:lastRenderedPageBreak/>
        <w:t>науки та інновацій, охорони здоров’я, економічної, фінансової і правової політики, правоохоронної діяльності, паливно-енергетичного комплексу та інфраструктури від 30 липня 2020 року (протокол № 9)</w:t>
      </w:r>
      <w:r w:rsidRPr="002A52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4C">
        <w:rPr>
          <w:rFonts w:ascii="Times New Roman" w:hAnsi="Times New Roman" w:cs="Times New Roman"/>
          <w:sz w:val="28"/>
          <w:szCs w:val="28"/>
        </w:rPr>
        <w:t xml:space="preserve">Міністерству юстиції України доручено доопрацювати </w:t>
      </w:r>
      <w:proofErr w:type="spellStart"/>
      <w:r w:rsidRPr="002A524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524C">
        <w:rPr>
          <w:rFonts w:ascii="Times New Roman" w:hAnsi="Times New Roman" w:cs="Times New Roman"/>
          <w:sz w:val="28"/>
          <w:szCs w:val="28"/>
        </w:rPr>
        <w:t xml:space="preserve"> Закону з</w:t>
      </w:r>
      <w:r>
        <w:rPr>
          <w:rFonts w:ascii="Times New Roman" w:hAnsi="Times New Roman" w:cs="Times New Roman"/>
          <w:sz w:val="28"/>
          <w:szCs w:val="28"/>
        </w:rPr>
        <w:t xml:space="preserve"> урахуванням зауважень </w:t>
      </w:r>
      <w:r w:rsidRPr="002A524C">
        <w:rPr>
          <w:rFonts w:ascii="Times New Roman" w:hAnsi="Times New Roman" w:cs="Times New Roman"/>
          <w:sz w:val="28"/>
          <w:szCs w:val="28"/>
        </w:rPr>
        <w:t xml:space="preserve"> Державно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судово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України, Центрально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виборчо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A524C">
        <w:rPr>
          <w:rFonts w:ascii="Times New Roman" w:hAnsi="Times New Roman" w:cs="Times New Roman"/>
          <w:sz w:val="28"/>
          <w:szCs w:val="28"/>
        </w:rPr>
        <w:t xml:space="preserve"> та Уповноважен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524C">
        <w:rPr>
          <w:rFonts w:ascii="Times New Roman" w:hAnsi="Times New Roman" w:cs="Times New Roman"/>
          <w:sz w:val="28"/>
          <w:szCs w:val="28"/>
        </w:rPr>
        <w:t xml:space="preserve"> Верховної Ради України з прав людини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24C">
        <w:rPr>
          <w:rFonts w:ascii="Times New Roman" w:hAnsi="Times New Roman" w:cs="Times New Roman"/>
          <w:sz w:val="28"/>
          <w:szCs w:val="28"/>
        </w:rPr>
        <w:t xml:space="preserve"> а також зауважень Секретаріату Кабінету Міністрів, зокрема що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524C">
        <w:rPr>
          <w:rFonts w:ascii="Times New Roman" w:hAnsi="Times New Roman" w:cs="Times New Roman"/>
          <w:sz w:val="28"/>
          <w:szCs w:val="28"/>
        </w:rPr>
        <w:t>о поділ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законопро</w:t>
      </w:r>
      <w:r w:rsidR="003B57D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декілька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законопро</w:t>
      </w:r>
      <w:r w:rsidR="003B57D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Представником </w:t>
      </w:r>
      <w:r w:rsidRPr="002A524C">
        <w:rPr>
          <w:rFonts w:ascii="Times New Roman" w:hAnsi="Times New Roman" w:cs="Times New Roman"/>
          <w:sz w:val="28"/>
          <w:szCs w:val="28"/>
        </w:rPr>
        <w:t>Офісу Генерального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підтримано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3B57D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7D8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24C">
        <w:rPr>
          <w:rFonts w:ascii="Times New Roman" w:hAnsi="Times New Roman" w:cs="Times New Roman"/>
          <w:sz w:val="28"/>
          <w:szCs w:val="28"/>
        </w:rPr>
        <w:t>Зауваження Верховного Суду  взят</w:t>
      </w:r>
      <w:r w:rsidR="003B57D8">
        <w:rPr>
          <w:rFonts w:ascii="Times New Roman" w:hAnsi="Times New Roman" w:cs="Times New Roman"/>
          <w:sz w:val="28"/>
          <w:szCs w:val="28"/>
        </w:rPr>
        <w:t>о</w:t>
      </w:r>
      <w:r w:rsidRPr="002A524C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14:paraId="76924284" w14:textId="77596B8D" w:rsidR="00E326C9" w:rsidRDefault="009D2C8D" w:rsidP="009D2C8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Доопрацьований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погоджено без зауважень </w:t>
      </w:r>
      <w:r w:rsidR="003B57D8" w:rsidRPr="003B57D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8D2" w:rsidRPr="006E11F9">
        <w:rPr>
          <w:rFonts w:ascii="Times New Roman" w:hAnsi="Times New Roman" w:cs="Times New Roman"/>
          <w:sz w:val="28"/>
          <w:szCs w:val="28"/>
        </w:rPr>
        <w:t>Державно</w:t>
      </w:r>
      <w:r w:rsidR="006E08D2">
        <w:rPr>
          <w:rFonts w:ascii="Times New Roman" w:hAnsi="Times New Roman" w:cs="Times New Roman"/>
          <w:sz w:val="28"/>
          <w:szCs w:val="28"/>
        </w:rPr>
        <w:t>ю</w:t>
      </w:r>
      <w:r w:rsidR="006E08D2" w:rsidRPr="006E11F9">
        <w:rPr>
          <w:rFonts w:ascii="Times New Roman" w:hAnsi="Times New Roman" w:cs="Times New Roman"/>
          <w:sz w:val="28"/>
          <w:szCs w:val="28"/>
        </w:rPr>
        <w:t xml:space="preserve"> судово</w:t>
      </w:r>
      <w:r w:rsidR="006E08D2">
        <w:rPr>
          <w:rFonts w:ascii="Times New Roman" w:hAnsi="Times New Roman" w:cs="Times New Roman"/>
          <w:sz w:val="28"/>
          <w:szCs w:val="28"/>
        </w:rPr>
        <w:t>ю</w:t>
      </w:r>
      <w:r w:rsidR="006E08D2" w:rsidRPr="006E11F9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6E08D2">
        <w:rPr>
          <w:rFonts w:ascii="Times New Roman" w:hAnsi="Times New Roman" w:cs="Times New Roman"/>
          <w:sz w:val="28"/>
          <w:szCs w:val="28"/>
        </w:rPr>
        <w:t>єю України</w:t>
      </w:r>
      <w:r w:rsidR="006E08D2" w:rsidRPr="006E11F9">
        <w:rPr>
          <w:rFonts w:ascii="Times New Roman" w:hAnsi="Times New Roman" w:cs="Times New Roman"/>
          <w:sz w:val="28"/>
          <w:szCs w:val="28"/>
        </w:rPr>
        <w:t>,  Уповноважен</w:t>
      </w:r>
      <w:r w:rsidR="006E08D2">
        <w:rPr>
          <w:rFonts w:ascii="Times New Roman" w:hAnsi="Times New Roman" w:cs="Times New Roman"/>
          <w:sz w:val="28"/>
          <w:szCs w:val="28"/>
        </w:rPr>
        <w:t>им</w:t>
      </w:r>
      <w:r w:rsidR="006E08D2" w:rsidRPr="006E11F9">
        <w:rPr>
          <w:rFonts w:ascii="Times New Roman" w:hAnsi="Times New Roman" w:cs="Times New Roman"/>
          <w:sz w:val="28"/>
          <w:szCs w:val="28"/>
        </w:rPr>
        <w:t xml:space="preserve"> Верховної Ради України з прав людини та Центрально</w:t>
      </w:r>
      <w:r w:rsidR="006E08D2">
        <w:rPr>
          <w:rFonts w:ascii="Times New Roman" w:hAnsi="Times New Roman" w:cs="Times New Roman"/>
          <w:sz w:val="28"/>
          <w:szCs w:val="28"/>
        </w:rPr>
        <w:t>ю</w:t>
      </w:r>
      <w:r w:rsidR="006E08D2" w:rsidRPr="006E11F9">
        <w:rPr>
          <w:rFonts w:ascii="Times New Roman" w:hAnsi="Times New Roman" w:cs="Times New Roman"/>
          <w:sz w:val="28"/>
          <w:szCs w:val="28"/>
        </w:rPr>
        <w:t xml:space="preserve"> виборчо</w:t>
      </w:r>
      <w:r w:rsidR="006E08D2">
        <w:rPr>
          <w:rFonts w:ascii="Times New Roman" w:hAnsi="Times New Roman" w:cs="Times New Roman"/>
          <w:sz w:val="28"/>
          <w:szCs w:val="28"/>
        </w:rPr>
        <w:t>ю</w:t>
      </w:r>
      <w:r w:rsidR="006E08D2" w:rsidRPr="006E11F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E08D2">
        <w:rPr>
          <w:rFonts w:ascii="Times New Roman" w:hAnsi="Times New Roman" w:cs="Times New Roman"/>
          <w:sz w:val="28"/>
          <w:szCs w:val="28"/>
        </w:rPr>
        <w:t>єю.</w:t>
      </w:r>
    </w:p>
    <w:p w14:paraId="640EA861" w14:textId="77777777" w:rsidR="00281535" w:rsidRDefault="00281535">
      <w:pPr>
        <w:pStyle w:val="aa"/>
        <w:ind w:firstLine="709"/>
        <w:jc w:val="both"/>
        <w:rPr>
          <w:rFonts w:ascii="Times New Roman" w:hAnsi="Times New Roman"/>
          <w:b/>
          <w:lang w:val="uk-UA"/>
        </w:rPr>
      </w:pPr>
    </w:p>
    <w:p w14:paraId="3FFF1BC3" w14:textId="77777777" w:rsidR="008974E4" w:rsidRDefault="008974E4" w:rsidP="008974E4">
      <w:pPr>
        <w:pStyle w:val="aa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8. Ризики та обмеження</w:t>
      </w:r>
    </w:p>
    <w:p w14:paraId="38D8EA85" w14:textId="69CD3E18" w:rsidR="008974E4" w:rsidRDefault="008974E4" w:rsidP="008974E4">
      <w:pPr>
        <w:pStyle w:val="aa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Положення </w:t>
      </w:r>
      <w:proofErr w:type="spellStart"/>
      <w:r>
        <w:rPr>
          <w:rFonts w:ascii="Times New Roman" w:hAnsi="Times New Roman"/>
          <w:lang w:val="uk-UA"/>
        </w:rPr>
        <w:t>проєкту</w:t>
      </w:r>
      <w:proofErr w:type="spellEnd"/>
      <w:r>
        <w:rPr>
          <w:rFonts w:ascii="Times New Roman" w:hAnsi="Times New Roman"/>
          <w:lang w:val="uk-UA"/>
        </w:rPr>
        <w:t xml:space="preserve"> Закону не порушують права та свободи, гарантовані Конвенцією про захист прав людини і основоположних свобод</w:t>
      </w:r>
      <w:r w:rsidR="007B4188">
        <w:rPr>
          <w:rFonts w:ascii="Times New Roman" w:hAnsi="Times New Roman"/>
          <w:lang w:val="uk-UA"/>
        </w:rPr>
        <w:t xml:space="preserve"> (висновок додається)</w:t>
      </w:r>
      <w:r>
        <w:rPr>
          <w:rFonts w:ascii="Times New Roman" w:hAnsi="Times New Roman"/>
          <w:lang w:val="uk-UA"/>
        </w:rPr>
        <w:t>, не впливають на забезпечення рівних прав та можливостей жінок і чоловіків, не містять ризиків вчинення корупційних правопорушень та правопорушень, пов’язаних з корупцією, не створюють підстав для дискримінації та не стосуються інших ризиків та обмежень.</w:t>
      </w:r>
    </w:p>
    <w:p w14:paraId="74A9D29F" w14:textId="77777777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14:paraId="32020397" w14:textId="77777777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highlight w:val="yellow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9. Підстава розроблення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>акта</w:t>
      </w:r>
      <w:proofErr w:type="spellEnd"/>
    </w:p>
    <w:p w14:paraId="12508C01" w14:textId="77777777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Проєкт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Закону розроблено Міністерством юстиції України </w:t>
      </w:r>
      <w:r>
        <w:rPr>
          <w:rFonts w:ascii="Times New Roman" w:hAnsi="Times New Roman" w:cs="Times New Roman"/>
          <w:sz w:val="28"/>
          <w:szCs w:val="28"/>
        </w:rPr>
        <w:t>на виконання підпункту 1 пункту 20 Плану заходів з реалізації Національної стратегії у сфері прав людини на період до 2020 року, затвердженого розпорядженням Кабінету Міністрів України від 23 листопада 2015 року № 1393.</w:t>
      </w:r>
    </w:p>
    <w:p w14:paraId="3717B52A" w14:textId="6363B992" w:rsidR="008974E4" w:rsidRDefault="008974E4" w:rsidP="008974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спрямований також на реалізацію передвиборчої програми кандидата в Президенти України В. Зеленського, яка проголошувала: «</w:t>
      </w:r>
      <w:r>
        <w:rPr>
          <w:rFonts w:ascii="Times New Roman" w:hAnsi="Times New Roman"/>
          <w:sz w:val="28"/>
          <w:szCs w:val="28"/>
          <w:lang w:eastAsia="ru-RU"/>
        </w:rPr>
        <w:t>Ми повернемо довіру і повагу до суду. Для простих спорів – мирові судді, які обираються народом. Для кримінальних злочинів – ефективний суд присяжних, який складається з народу». Також передвиборча програма політичної партії «Слуга народу» на позачергових виборах народних депутатів України у 2019 році містила схоже положення: «Запустимо повноцінні інститути мирових суддів і суду присяжних».</w:t>
      </w:r>
    </w:p>
    <w:p w14:paraId="238DEBF1" w14:textId="77777777" w:rsidR="007E797C" w:rsidRDefault="007E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A154AB" w14:textId="77777777" w:rsidR="007E797C" w:rsidRDefault="007E797C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639EEF9" w14:textId="77777777" w:rsidR="007E797C" w:rsidRDefault="007E797C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791B1E8" w14:textId="77777777" w:rsidR="007E797C" w:rsidRPr="009A7057" w:rsidRDefault="009A7057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Міністр</w:t>
      </w:r>
      <w:r w:rsidR="00EF2A88">
        <w:rPr>
          <w:rFonts w:ascii="Times New Roman" w:hAnsi="Times New Roman" w:cs="Times New Roman"/>
          <w:b/>
          <w:sz w:val="28"/>
          <w:szCs w:val="28"/>
        </w:rPr>
        <w:t xml:space="preserve"> юстиції України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F2A88">
        <w:rPr>
          <w:rFonts w:ascii="Times New Roman" w:hAnsi="Times New Roman" w:cs="Times New Roman"/>
          <w:b/>
          <w:sz w:val="28"/>
          <w:szCs w:val="28"/>
        </w:rPr>
        <w:t xml:space="preserve">                          Денис МАЛЮСЬКА</w:t>
      </w:r>
    </w:p>
    <w:p w14:paraId="6B62D6E3" w14:textId="77777777" w:rsidR="007E797C" w:rsidRDefault="007E797C">
      <w:pPr>
        <w:pStyle w:val="Style3"/>
        <w:tabs>
          <w:tab w:val="left" w:pos="7996"/>
        </w:tabs>
        <w:spacing w:line="276" w:lineRule="auto"/>
        <w:jc w:val="both"/>
        <w:rPr>
          <w:sz w:val="28"/>
          <w:szCs w:val="28"/>
        </w:rPr>
      </w:pPr>
    </w:p>
    <w:p w14:paraId="49DAB8DA" w14:textId="77777777" w:rsidR="007E797C" w:rsidRDefault="00F3531B">
      <w:pPr>
        <w:pStyle w:val="Style3"/>
        <w:tabs>
          <w:tab w:val="left" w:pos="799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 _____________ 2020 року</w:t>
      </w:r>
    </w:p>
    <w:sectPr w:rsidR="007E797C">
      <w:headerReference w:type="default" r:id="rId7"/>
      <w:footerReference w:type="even" r:id="rId8"/>
      <w:footerReference w:type="default" r:id="rId9"/>
      <w:pgSz w:w="11906" w:h="16838"/>
      <w:pgMar w:top="1134" w:right="567" w:bottom="993" w:left="1701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6485" w14:textId="77777777" w:rsidR="00F120A2" w:rsidRDefault="00F120A2">
      <w:pPr>
        <w:spacing w:after="0" w:line="240" w:lineRule="auto"/>
      </w:pPr>
      <w:r>
        <w:separator/>
      </w:r>
    </w:p>
  </w:endnote>
  <w:endnote w:type="continuationSeparator" w:id="0">
    <w:p w14:paraId="2C02279A" w14:textId="77777777" w:rsidR="00F120A2" w:rsidRDefault="00F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57C8" w14:textId="77777777" w:rsidR="007E797C" w:rsidRDefault="00F3531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728578" w14:textId="77777777" w:rsidR="007E797C" w:rsidRDefault="007E79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858C" w14:textId="77777777" w:rsidR="007E797C" w:rsidRDefault="00F3531B">
    <w:pPr>
      <w:pStyle w:val="a5"/>
      <w:tabs>
        <w:tab w:val="clear" w:pos="4677"/>
        <w:tab w:val="clear" w:pos="9355"/>
        <w:tab w:val="left" w:pos="951"/>
      </w:tabs>
      <w:spacing w:line="200" w:lineRule="atLeast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C76136" wp14:editId="43E9355A">
              <wp:simplePos x="0" y="0"/>
              <wp:positionH relativeFrom="column">
                <wp:posOffset>5530215</wp:posOffset>
              </wp:positionH>
              <wp:positionV relativeFrom="paragraph">
                <wp:posOffset>0</wp:posOffset>
              </wp:positionV>
              <wp:extent cx="323215" cy="174625"/>
              <wp:effectExtent l="0" t="0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08447" w14:textId="77777777" w:rsidR="007E797C" w:rsidRDefault="007E797C">
                          <w:pPr>
                            <w:tabs>
                              <w:tab w:val="center" w:pos="4677"/>
                              <w:tab w:val="right" w:pos="9355"/>
                            </w:tabs>
                            <w:ind w:firstLine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76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45pt;margin-top:0;width:25.45pt;height:13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" stroked="f">
              <v:textbox inset="0,0,0,0">
                <w:txbxContent>
                  <w:p w14:paraId="64B08447" w14:textId="77777777" w:rsidR="007E797C" w:rsidRDefault="007E797C">
                    <w:pPr>
                      <w:tabs>
                        <w:tab w:val="center" w:pos="4677"/>
                        <w:tab w:val="right" w:pos="9355"/>
                      </w:tabs>
                      <w:ind w:firstLine="36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5CBC" w14:textId="77777777" w:rsidR="00F120A2" w:rsidRDefault="00F120A2">
      <w:pPr>
        <w:spacing w:after="0" w:line="240" w:lineRule="auto"/>
      </w:pPr>
      <w:r>
        <w:separator/>
      </w:r>
    </w:p>
  </w:footnote>
  <w:footnote w:type="continuationSeparator" w:id="0">
    <w:p w14:paraId="766C9660" w14:textId="77777777" w:rsidR="00F120A2" w:rsidRDefault="00F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420B" w14:textId="77777777" w:rsidR="007E797C" w:rsidRDefault="00F3531B">
    <w:pPr>
      <w:pStyle w:val="a7"/>
      <w:jc w:val="center"/>
      <w:rPr>
        <w:rFonts w:ascii="Times New Roman" w:hAnsi="Times New Roman"/>
        <w:lang w:val="uk-UA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9D"/>
    <w:rsid w:val="00050897"/>
    <w:rsid w:val="000B4E90"/>
    <w:rsid w:val="000E3912"/>
    <w:rsid w:val="001209E4"/>
    <w:rsid w:val="00133250"/>
    <w:rsid w:val="00161C19"/>
    <w:rsid w:val="00174615"/>
    <w:rsid w:val="001A62DB"/>
    <w:rsid w:val="001C2555"/>
    <w:rsid w:val="001D2959"/>
    <w:rsid w:val="00216303"/>
    <w:rsid w:val="00217D93"/>
    <w:rsid w:val="00252701"/>
    <w:rsid w:val="00260132"/>
    <w:rsid w:val="00276044"/>
    <w:rsid w:val="00281535"/>
    <w:rsid w:val="002C0214"/>
    <w:rsid w:val="002D532F"/>
    <w:rsid w:val="002D57F9"/>
    <w:rsid w:val="00336FAE"/>
    <w:rsid w:val="00361FF2"/>
    <w:rsid w:val="003817AE"/>
    <w:rsid w:val="00387E1F"/>
    <w:rsid w:val="003B57D8"/>
    <w:rsid w:val="00400945"/>
    <w:rsid w:val="004031FD"/>
    <w:rsid w:val="0041363F"/>
    <w:rsid w:val="004341CE"/>
    <w:rsid w:val="00446421"/>
    <w:rsid w:val="004B701B"/>
    <w:rsid w:val="004D6C43"/>
    <w:rsid w:val="00501990"/>
    <w:rsid w:val="0052488E"/>
    <w:rsid w:val="00544F72"/>
    <w:rsid w:val="005A7BFC"/>
    <w:rsid w:val="005D445D"/>
    <w:rsid w:val="005D6E00"/>
    <w:rsid w:val="005F3410"/>
    <w:rsid w:val="00616654"/>
    <w:rsid w:val="006207D9"/>
    <w:rsid w:val="00657D3F"/>
    <w:rsid w:val="006D2634"/>
    <w:rsid w:val="006E08D2"/>
    <w:rsid w:val="00770790"/>
    <w:rsid w:val="007B4188"/>
    <w:rsid w:val="007E797C"/>
    <w:rsid w:val="00822A9E"/>
    <w:rsid w:val="008974E4"/>
    <w:rsid w:val="008B6680"/>
    <w:rsid w:val="008D31C5"/>
    <w:rsid w:val="008F1A05"/>
    <w:rsid w:val="00935AE3"/>
    <w:rsid w:val="00945BA2"/>
    <w:rsid w:val="00951F40"/>
    <w:rsid w:val="009543CC"/>
    <w:rsid w:val="00954930"/>
    <w:rsid w:val="009A6512"/>
    <w:rsid w:val="009A7057"/>
    <w:rsid w:val="009D12D8"/>
    <w:rsid w:val="009D2C8D"/>
    <w:rsid w:val="00A048F9"/>
    <w:rsid w:val="00A3449B"/>
    <w:rsid w:val="00A61114"/>
    <w:rsid w:val="00A7682B"/>
    <w:rsid w:val="00A83638"/>
    <w:rsid w:val="00A90B9D"/>
    <w:rsid w:val="00AB39D2"/>
    <w:rsid w:val="00AE682A"/>
    <w:rsid w:val="00B12F8D"/>
    <w:rsid w:val="00B250E1"/>
    <w:rsid w:val="00B3032F"/>
    <w:rsid w:val="00B33595"/>
    <w:rsid w:val="00B56017"/>
    <w:rsid w:val="00B80DBA"/>
    <w:rsid w:val="00B82169"/>
    <w:rsid w:val="00B83F8F"/>
    <w:rsid w:val="00BB2DFA"/>
    <w:rsid w:val="00BF656F"/>
    <w:rsid w:val="00C12A81"/>
    <w:rsid w:val="00C85AA9"/>
    <w:rsid w:val="00CA0B3A"/>
    <w:rsid w:val="00D315DB"/>
    <w:rsid w:val="00D471E6"/>
    <w:rsid w:val="00DB7EE7"/>
    <w:rsid w:val="00DD3AE8"/>
    <w:rsid w:val="00DD5B61"/>
    <w:rsid w:val="00E209EE"/>
    <w:rsid w:val="00E326C9"/>
    <w:rsid w:val="00E52106"/>
    <w:rsid w:val="00E6321F"/>
    <w:rsid w:val="00E92118"/>
    <w:rsid w:val="00ED15CA"/>
    <w:rsid w:val="00EF2A88"/>
    <w:rsid w:val="00F120A2"/>
    <w:rsid w:val="00F3531B"/>
    <w:rsid w:val="107F1A83"/>
    <w:rsid w:val="1BD36A22"/>
    <w:rsid w:val="28747F82"/>
    <w:rsid w:val="2B1533FB"/>
    <w:rsid w:val="629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EEB7"/>
  <w15:docId w15:val="{5F522F14-5077-48C5-B1D4-6AE2E2F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sz w:val="28"/>
      <w:szCs w:val="28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qFormat/>
    <w:pPr>
      <w:spacing w:after="120"/>
    </w:pPr>
    <w:rPr>
      <w:rFonts w:ascii="Calibri" w:eastAsia="Times New Roman" w:hAnsi="Calibri" w:cs="Times New Roman"/>
      <w:sz w:val="16"/>
      <w:szCs w:val="16"/>
      <w:lang w:val="ru-RU"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</w:pPr>
    <w:rPr>
      <w:rFonts w:ascii="Cambria" w:eastAsia="Times New Roman" w:hAnsi="Cambria" w:cs="Times New Roman"/>
      <w:sz w:val="28"/>
      <w:szCs w:val="28"/>
      <w:lang w:val="ru-RU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2DA2BF"/>
      <w:sz w:val="28"/>
      <w:szCs w:val="28"/>
      <w:lang w:val="ru-RU" w:eastAsia="en-US"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rFonts w:ascii="Cambria" w:eastAsia="Times New Roman" w:hAnsi="Cambria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pPr>
      <w:ind w:left="720"/>
      <w:contextualSpacing/>
    </w:pPr>
    <w:rPr>
      <w:rFonts w:ascii="Cambria" w:eastAsia="Times New Roman" w:hAnsi="Cambria" w:cs="Times New Roman"/>
      <w:sz w:val="28"/>
      <w:szCs w:val="28"/>
      <w:lang w:val="ru-RU" w:eastAsia="en-US"/>
    </w:rPr>
  </w:style>
  <w:style w:type="character" w:customStyle="1" w:styleId="a6">
    <w:name w:val="Нижній колонтитул Знак"/>
    <w:basedOn w:val="a0"/>
    <w:link w:val="a5"/>
    <w:uiPriority w:val="99"/>
    <w:semiHidden/>
    <w:rPr>
      <w:rFonts w:ascii="Cambria" w:eastAsia="Times New Roman" w:hAnsi="Cambria" w:cs="Times New Roman"/>
      <w:sz w:val="28"/>
      <w:szCs w:val="28"/>
      <w:lang w:val="ru-RU" w:eastAsia="en-US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ій колонтитул Знак"/>
    <w:basedOn w:val="a0"/>
    <w:link w:val="a7"/>
    <w:uiPriority w:val="99"/>
    <w:qFormat/>
    <w:rPr>
      <w:rFonts w:ascii="Cambria" w:eastAsia="Times New Roman" w:hAnsi="Cambria" w:cs="Times New Roman"/>
      <w:sz w:val="28"/>
      <w:szCs w:val="28"/>
      <w:lang w:val="ru-RU" w:eastAsia="en-US"/>
    </w:rPr>
  </w:style>
  <w:style w:type="paragraph" w:customStyle="1" w:styleId="ad">
    <w:name w:val="Назва документа"/>
    <w:basedOn w:val="a"/>
    <w:next w:val="a"/>
    <w:uiPriority w:val="99"/>
    <w:qFormat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qFormat/>
  </w:style>
  <w:style w:type="character" w:customStyle="1" w:styleId="32">
    <w:name w:val="Основний текст 3 Знак"/>
    <w:basedOn w:val="a0"/>
    <w:link w:val="31"/>
    <w:uiPriority w:val="99"/>
    <w:qFormat/>
    <w:rPr>
      <w:rFonts w:ascii="Calibri" w:eastAsia="Times New Roman" w:hAnsi="Calibri" w:cs="Times New Roman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qFormat/>
    <w:rPr>
      <w:rFonts w:cs="Times New Roman"/>
    </w:rPr>
  </w:style>
  <w:style w:type="paragraph" w:customStyle="1" w:styleId="1">
    <w:name w:val="Звичайний1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qFormat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44">
    <w:name w:val="Font Style44"/>
    <w:qFormat/>
    <w:rPr>
      <w:rFonts w:ascii="Times New Roman" w:hAnsi="Times New Roman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16"/>
    </w:rPr>
  </w:style>
  <w:style w:type="paragraph" w:customStyle="1" w:styleId="rvps2">
    <w:name w:val="rvps2"/>
    <w:basedOn w:val="a"/>
    <w:qFormat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qFormat/>
  </w:style>
  <w:style w:type="paragraph" w:customStyle="1" w:styleId="10">
    <w:name w:val="Обычный1"/>
    <w:qFormat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rvts44">
    <w:name w:val="rvts44"/>
    <w:basedOn w:val="a0"/>
    <w:rsid w:val="002D57F9"/>
  </w:style>
  <w:style w:type="character" w:customStyle="1" w:styleId="ab">
    <w:name w:val="Без інтервалів Знак"/>
    <w:basedOn w:val="a0"/>
    <w:link w:val="aa"/>
    <w:uiPriority w:val="1"/>
    <w:locked/>
    <w:rsid w:val="00281535"/>
    <w:rPr>
      <w:rFonts w:ascii="Cambria" w:eastAsia="Times New Roman" w:hAnsi="Cambri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Соніна (DELL-UKR4 - a.sonina)</dc:creator>
  <cp:lastModifiedBy>User</cp:lastModifiedBy>
  <cp:revision>9</cp:revision>
  <cp:lastPrinted>2019-12-16T09:17:00Z</cp:lastPrinted>
  <dcterms:created xsi:type="dcterms:W3CDTF">2020-07-16T07:38:00Z</dcterms:created>
  <dcterms:modified xsi:type="dcterms:W3CDTF">2020-09-01T07:39:00Z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