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2"/>
      </w:tblGrid>
      <w:tr w:rsidR="004A00D1" w:rsidRPr="005E76D0" w:rsidTr="001107F1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ind w:left="178" w:hanging="178"/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4A00D1" w:rsidRPr="005E76D0" w:rsidRDefault="00C17FB2" w:rsidP="001107F1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0D1" w:rsidRPr="005E76D0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5E76D0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 w:rsidRPr="005E76D0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10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./факс: 255-32-05, 255-20-75    </w:t>
            </w:r>
          </w:p>
        </w:tc>
      </w:tr>
    </w:tbl>
    <w:tbl>
      <w:tblPr>
        <w:tblStyle w:val="a5"/>
        <w:tblW w:w="13114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1341"/>
        <w:gridCol w:w="1086"/>
      </w:tblGrid>
      <w:tr w:rsidR="004A00D1" w:rsidRPr="005E76D0" w:rsidTr="001107F1">
        <w:tc>
          <w:tcPr>
            <w:tcW w:w="687" w:type="dxa"/>
            <w:tcBorders>
              <w:top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Cs w:val="20"/>
                <w:lang w:val="uk-UA"/>
              </w:rPr>
            </w:pPr>
          </w:p>
        </w:tc>
        <w:tc>
          <w:tcPr>
            <w:tcW w:w="11341" w:type="dxa"/>
            <w:tcBorders>
              <w:top w:val="thinThickMediumGap" w:sz="12" w:space="0" w:color="0033CC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720" w:after="480"/>
              <w:jc w:val="center"/>
              <w:rPr>
                <w:rFonts w:ascii="Times New Roman" w:hAnsi="Times New Roman"/>
                <w:color w:val="002060"/>
                <w:szCs w:val="20"/>
                <w:lang w:val="uk-UA"/>
              </w:rPr>
            </w:pPr>
            <w:r w:rsidRPr="005E76D0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 И С Н О В О К</w:t>
            </w:r>
          </w:p>
        </w:tc>
        <w:tc>
          <w:tcPr>
            <w:tcW w:w="1086" w:type="dxa"/>
            <w:tcBorders>
              <w:top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Cs w:val="20"/>
                <w:lang w:val="uk-UA"/>
              </w:rPr>
            </w:pPr>
          </w:p>
        </w:tc>
      </w:tr>
    </w:tbl>
    <w:p w:rsidR="00941D2A" w:rsidRDefault="004A00D1" w:rsidP="005E76D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" w:name="_Hlk56427776"/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5E76D0" w:rsidRPr="005E76D0">
        <w:rPr>
          <w:rFonts w:ascii="Times New Roman" w:hAnsi="Times New Roman"/>
          <w:b/>
          <w:sz w:val="28"/>
          <w:szCs w:val="28"/>
          <w:lang w:val="uk-UA" w:eastAsia="ru-RU"/>
        </w:rPr>
        <w:t>проекту 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</w:t>
      </w:r>
    </w:p>
    <w:p w:rsidR="00880700" w:rsidRPr="005E76D0" w:rsidRDefault="005E76D0" w:rsidP="005E76D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районних державних адміністрацій</w:t>
      </w:r>
    </w:p>
    <w:p w:rsidR="00880700" w:rsidRPr="005E76D0" w:rsidRDefault="00880700" w:rsidP="00246F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E76D0">
        <w:rPr>
          <w:rFonts w:ascii="Times New Roman" w:hAnsi="Times New Roman"/>
          <w:i/>
          <w:sz w:val="28"/>
          <w:szCs w:val="28"/>
          <w:lang w:val="uk-UA" w:eastAsia="ru-RU"/>
        </w:rPr>
        <w:t>(реєстр. № </w:t>
      </w:r>
      <w:r w:rsidR="005E76D0" w:rsidRPr="005E76D0">
        <w:rPr>
          <w:rFonts w:ascii="Times New Roman" w:hAnsi="Times New Roman"/>
          <w:i/>
          <w:sz w:val="28"/>
          <w:szCs w:val="28"/>
          <w:lang w:val="uk-UA" w:eastAsia="ru-RU"/>
        </w:rPr>
        <w:t>3651-д</w:t>
      </w:r>
      <w:r w:rsidRPr="005E76D0">
        <w:rPr>
          <w:rFonts w:ascii="Times New Roman" w:hAnsi="Times New Roman"/>
          <w:i/>
          <w:sz w:val="28"/>
          <w:szCs w:val="28"/>
          <w:lang w:val="uk-UA" w:eastAsia="ru-RU"/>
        </w:rPr>
        <w:t>, друге читання)</w:t>
      </w:r>
      <w:bookmarkEnd w:id="1"/>
    </w:p>
    <w:p w:rsidR="00246F3E" w:rsidRPr="005E76D0" w:rsidRDefault="00246F3E" w:rsidP="00944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08B" w:rsidRPr="005E76D0" w:rsidRDefault="004A00D1" w:rsidP="009440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bookmarkStart w:id="2" w:name="_Hlk56427555"/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</w:t>
      </w:r>
      <w:r w:rsidR="00222751" w:rsidRPr="005E76D0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доручення Верховної Ради України розглянув 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у другому читанні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>на сво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єму</w:t>
      </w:r>
      <w:r w:rsidR="00880700" w:rsidRPr="005E76D0">
        <w:rPr>
          <w:rFonts w:ascii="Times New Roman" w:hAnsi="Times New Roman"/>
          <w:sz w:val="28"/>
          <w:szCs w:val="28"/>
          <w:lang w:val="uk-UA" w:eastAsia="ru-RU"/>
        </w:rPr>
        <w:t xml:space="preserve"> засіданн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80700" w:rsidRPr="005E76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6D87">
        <w:rPr>
          <w:rFonts w:ascii="Times New Roman" w:hAnsi="Times New Roman"/>
          <w:sz w:val="28"/>
          <w:szCs w:val="28"/>
          <w:lang w:val="uk-UA" w:eastAsia="ru-RU"/>
        </w:rPr>
        <w:t>7</w:t>
      </w:r>
      <w:r w:rsidR="00880700" w:rsidRPr="005E76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листопада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 2020 року 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 (реєстр. №</w:t>
      </w:r>
      <w:r w:rsidR="00E26BB2" w:rsidRPr="005E76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E76D0" w:rsidRPr="005E76D0">
        <w:rPr>
          <w:rFonts w:ascii="Times New Roman" w:hAnsi="Times New Roman"/>
          <w:sz w:val="28"/>
          <w:szCs w:val="28"/>
          <w:lang w:val="uk-UA" w:eastAsia="ru-RU"/>
        </w:rPr>
        <w:t>3651-д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>), подан</w:t>
      </w:r>
      <w:r w:rsidR="00222751" w:rsidRPr="005E76D0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408B" w:rsidRPr="005E76D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народними депутатами України </w:t>
      </w:r>
      <w:hyperlink r:id="rId8" w:tgtFrame="_blank" w:history="1">
        <w:proofErr w:type="spellStart"/>
        <w:r w:rsidR="005E76D0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>А.Клочком</w:t>
        </w:r>
        <w:proofErr w:type="spellEnd"/>
        <w:r w:rsidR="0094408B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 xml:space="preserve">, </w:t>
        </w:r>
        <w:proofErr w:type="spellStart"/>
        <w:r w:rsidR="005E76D0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>О.Дундою</w:t>
        </w:r>
        <w:proofErr w:type="spellEnd"/>
        <w:r w:rsidR="005E76D0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 xml:space="preserve">, </w:t>
        </w:r>
        <w:proofErr w:type="spellStart"/>
        <w:r w:rsidR="005E76D0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>В.Безгіним</w:t>
        </w:r>
        <w:proofErr w:type="spellEnd"/>
        <w:r w:rsidR="0094408B" w:rsidRPr="005E76D0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/>
          </w:rPr>
          <w:t xml:space="preserve"> та іншими</w:t>
        </w:r>
      </w:hyperlink>
      <w:r w:rsidR="0094408B" w:rsidRPr="005E76D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народними депутатами України та прийнятий Верховною Радою України за основу за наслідками розгляду в першому читанні 3 </w:t>
      </w:r>
      <w:r w:rsidR="005E76D0" w:rsidRPr="005E76D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листопада 2020</w:t>
      </w:r>
      <w:r w:rsidR="0094408B" w:rsidRPr="005E76D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року.</w:t>
      </w:r>
    </w:p>
    <w:p w:rsidR="005E76D0" w:rsidRDefault="002D7203" w:rsidP="005E7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7203">
        <w:rPr>
          <w:rFonts w:ascii="Times New Roman" w:hAnsi="Times New Roman"/>
          <w:sz w:val="28"/>
          <w:szCs w:val="28"/>
          <w:lang w:val="uk-UA" w:eastAsia="ru-RU"/>
        </w:rPr>
        <w:t>До розгляду законопроекту Верховною Радою України у другому читанні підкомітетом з питань адміністративно-територіального устрою підготовлено порівняльну таблицю, яка містить 197 поправок і пропозицій, що надійшли від 22 суб’єктів права законодавчої ініціативи, з яких: 40 – враховано, 5 – враховано частково, 11 – враховано редакційно, 141 – відхилено.</w:t>
      </w:r>
    </w:p>
    <w:p w:rsidR="00663B95" w:rsidRPr="00663B95" w:rsidRDefault="00663B95" w:rsidP="00663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3B95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підкомітету з питань </w:t>
      </w:r>
      <w:r>
        <w:rPr>
          <w:rFonts w:ascii="Times New Roman" w:hAnsi="Times New Roman"/>
          <w:sz w:val="28"/>
          <w:szCs w:val="28"/>
          <w:lang w:val="uk-UA" w:eastAsia="ru-RU"/>
        </w:rPr>
        <w:t>адміністративно-територіального устрою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 xml:space="preserve"> та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>подані поправки та пропозиції, Комітет ухвалив</w:t>
      </w:r>
      <w:r w:rsidR="005965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2"/>
      <w:r w:rsidR="005965D2">
        <w:rPr>
          <w:rFonts w:ascii="Times New Roman" w:hAnsi="Times New Roman"/>
          <w:sz w:val="28"/>
          <w:szCs w:val="28"/>
          <w:lang w:val="uk-UA" w:eastAsia="ru-RU"/>
        </w:rPr>
        <w:t>висновок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3" w:name="_Hlk56427618"/>
      <w:r w:rsidRPr="00663B95">
        <w:rPr>
          <w:rFonts w:ascii="Times New Roman" w:hAnsi="Times New Roman"/>
          <w:sz w:val="28"/>
          <w:szCs w:val="28"/>
          <w:lang w:val="uk-UA" w:eastAsia="ru-RU"/>
        </w:rPr>
        <w:t>рекомендувати Верховній Раді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>України відповідно до пункту 3 частини першої статті 123 Регламенту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 xml:space="preserve">Верховної Ради України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>проект 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</w:t>
      </w:r>
      <w:r w:rsidR="00C17FB2">
        <w:rPr>
          <w:rFonts w:ascii="Times New Roman" w:hAnsi="Times New Roman"/>
          <w:sz w:val="28"/>
          <w:szCs w:val="28"/>
          <w:lang w:val="uk-UA" w:eastAsia="ru-RU"/>
        </w:rPr>
        <w:t xml:space="preserve">міністрацій (реєстр. № 3651-д) 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>за наслідками розгляду в другому читанні прийняти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3B95">
        <w:rPr>
          <w:rFonts w:ascii="Times New Roman" w:hAnsi="Times New Roman"/>
          <w:sz w:val="28"/>
          <w:szCs w:val="28"/>
          <w:lang w:val="uk-UA" w:eastAsia="ru-RU"/>
        </w:rPr>
        <w:t>другому читанні та в цілому</w:t>
      </w:r>
      <w:bookmarkEnd w:id="3"/>
      <w:r w:rsidRPr="00663B9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08B" w:rsidRPr="005E76D0" w:rsidRDefault="0094408B" w:rsidP="00944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" w:name="_Hlk56427662"/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У разі прийняття проекту Закону в другому читанні та в цілому, Верховній Раді України </w:t>
      </w:r>
      <w:r w:rsidR="00A71AA9" w:rsidRPr="005E76D0">
        <w:rPr>
          <w:rFonts w:ascii="Times New Roman" w:hAnsi="Times New Roman"/>
          <w:sz w:val="28"/>
          <w:szCs w:val="28"/>
          <w:lang w:val="uk-UA" w:eastAsia="ru-RU"/>
        </w:rPr>
        <w:t xml:space="preserve">пропонується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доручити Комітету при підготовці </w:t>
      </w:r>
      <w:r w:rsidR="000E142D" w:rsidRPr="005E76D0">
        <w:rPr>
          <w:rFonts w:ascii="Times New Roman" w:hAnsi="Times New Roman"/>
          <w:sz w:val="28"/>
          <w:szCs w:val="28"/>
          <w:lang w:val="uk-UA" w:eastAsia="ru-RU"/>
        </w:rPr>
        <w:t xml:space="preserve">відповідного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тексту на підпис Голові Верховної Ради України здійснити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lastRenderedPageBreak/>
        <w:t>спільно з Головним юридичним управлінням Апарату Верховної Ради України його техніко-юридичне доопрацювання</w:t>
      </w:r>
      <w:bookmarkEnd w:id="4"/>
      <w:r w:rsidRPr="005E76D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08B" w:rsidRPr="005E76D0" w:rsidRDefault="000E142D" w:rsidP="00944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5" w:name="_Hlk56427682"/>
      <w:r w:rsidRPr="005E76D0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иступити на пленарному засіданні Верховної Ради України під час розгляду даного питання </w:t>
      </w:r>
      <w:r w:rsidRPr="005E76D0">
        <w:rPr>
          <w:rFonts w:ascii="Times New Roman" w:hAnsi="Times New Roman"/>
          <w:sz w:val="28"/>
          <w:szCs w:val="28"/>
          <w:lang w:val="uk-UA" w:eastAsia="ru-RU"/>
        </w:rPr>
        <w:t xml:space="preserve">доручено </w:t>
      </w:r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 xml:space="preserve">народному депутату України, голові підкомітету з </w:t>
      </w:r>
      <w:r w:rsidR="00663B95">
        <w:rPr>
          <w:rFonts w:ascii="Times New Roman" w:hAnsi="Times New Roman"/>
          <w:sz w:val="28"/>
          <w:szCs w:val="28"/>
          <w:lang w:val="uk-UA" w:eastAsia="ru-RU"/>
        </w:rPr>
        <w:t xml:space="preserve">питань адміністративно-територіального устрою </w:t>
      </w:r>
      <w:proofErr w:type="spellStart"/>
      <w:r w:rsidR="00663B95">
        <w:rPr>
          <w:rFonts w:ascii="Times New Roman" w:hAnsi="Times New Roman"/>
          <w:sz w:val="28"/>
          <w:szCs w:val="28"/>
          <w:lang w:val="uk-UA" w:eastAsia="ru-RU"/>
        </w:rPr>
        <w:t>В.Безгіну</w:t>
      </w:r>
      <w:bookmarkEnd w:id="5"/>
      <w:proofErr w:type="spellEnd"/>
      <w:r w:rsidR="0094408B" w:rsidRPr="005E76D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08B" w:rsidRPr="005E76D0" w:rsidRDefault="0094408B" w:rsidP="00944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08B" w:rsidRPr="005E76D0" w:rsidRDefault="0094408B" w:rsidP="004A0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08B" w:rsidRPr="005E76D0" w:rsidRDefault="0094408B" w:rsidP="004A0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04CF" w:rsidRPr="005E76D0" w:rsidRDefault="004A00D1" w:rsidP="00336ABB">
      <w:pPr>
        <w:spacing w:after="60" w:line="240" w:lineRule="auto"/>
        <w:ind w:firstLine="709"/>
        <w:rPr>
          <w:lang w:val="uk-UA"/>
        </w:rPr>
      </w:pP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E76D0">
        <w:rPr>
          <w:rFonts w:ascii="Times New Roman" w:hAnsi="Times New Roman"/>
          <w:b/>
          <w:sz w:val="28"/>
          <w:szCs w:val="28"/>
          <w:lang w:val="uk-UA" w:eastAsia="ru-RU"/>
        </w:rPr>
        <w:tab/>
        <w:t>А.КЛОЧКО</w:t>
      </w:r>
    </w:p>
    <w:sectPr w:rsidR="005204CF" w:rsidRPr="005E7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0D1"/>
    <w:rsid w:val="00053776"/>
    <w:rsid w:val="00071DC7"/>
    <w:rsid w:val="000E142D"/>
    <w:rsid w:val="000F1708"/>
    <w:rsid w:val="001107F1"/>
    <w:rsid w:val="001678F0"/>
    <w:rsid w:val="00207EC7"/>
    <w:rsid w:val="0021032F"/>
    <w:rsid w:val="002152E6"/>
    <w:rsid w:val="00222751"/>
    <w:rsid w:val="00246F3E"/>
    <w:rsid w:val="002479BC"/>
    <w:rsid w:val="0026420B"/>
    <w:rsid w:val="002919D5"/>
    <w:rsid w:val="002C7CDD"/>
    <w:rsid w:val="002D08A0"/>
    <w:rsid w:val="002D7203"/>
    <w:rsid w:val="00336ABB"/>
    <w:rsid w:val="003439A0"/>
    <w:rsid w:val="00461599"/>
    <w:rsid w:val="00463949"/>
    <w:rsid w:val="004A00D1"/>
    <w:rsid w:val="004F0F63"/>
    <w:rsid w:val="00505E31"/>
    <w:rsid w:val="005204CF"/>
    <w:rsid w:val="00541C23"/>
    <w:rsid w:val="005965D2"/>
    <w:rsid w:val="005D6A52"/>
    <w:rsid w:val="005E76D0"/>
    <w:rsid w:val="00641AB3"/>
    <w:rsid w:val="00663B95"/>
    <w:rsid w:val="00864814"/>
    <w:rsid w:val="00865441"/>
    <w:rsid w:val="00880700"/>
    <w:rsid w:val="008B7900"/>
    <w:rsid w:val="008D4EF0"/>
    <w:rsid w:val="00941D2A"/>
    <w:rsid w:val="0094408B"/>
    <w:rsid w:val="00A71AA9"/>
    <w:rsid w:val="00A833C8"/>
    <w:rsid w:val="00AA6559"/>
    <w:rsid w:val="00AD7F82"/>
    <w:rsid w:val="00AF719B"/>
    <w:rsid w:val="00B9559D"/>
    <w:rsid w:val="00BF5D7F"/>
    <w:rsid w:val="00C17FB2"/>
    <w:rsid w:val="00C347AA"/>
    <w:rsid w:val="00C86266"/>
    <w:rsid w:val="00D0199F"/>
    <w:rsid w:val="00D521EA"/>
    <w:rsid w:val="00D55111"/>
    <w:rsid w:val="00D72A27"/>
    <w:rsid w:val="00D75704"/>
    <w:rsid w:val="00D75AD2"/>
    <w:rsid w:val="00D76791"/>
    <w:rsid w:val="00DF328A"/>
    <w:rsid w:val="00E06D87"/>
    <w:rsid w:val="00E26BB2"/>
    <w:rsid w:val="00E86564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BECEC-CE52-4177-A6C1-BDFD00B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D1"/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0D1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uiPriority w:val="99"/>
    <w:rsid w:val="004A00D1"/>
    <w:pPr>
      <w:spacing w:after="0" w:line="240" w:lineRule="auto"/>
    </w:pPr>
    <w:rPr>
      <w:rFonts w:ascii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basedOn w:val="a0"/>
    <w:link w:val="a3"/>
    <w:uiPriority w:val="99"/>
    <w:locked/>
    <w:rsid w:val="004A00D1"/>
    <w:rPr>
      <w:rFonts w:ascii="Calibri" w:hAnsi="Calibri" w:cs="Times New Roman"/>
      <w:sz w:val="22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6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65441"/>
    <w:rPr>
      <w:rFonts w:ascii="Segoe UI" w:hAnsi="Segoe UI" w:cs="Segoe UI"/>
      <w:sz w:val="18"/>
      <w:szCs w:val="1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mps/info/page/2111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7349-DE85-4287-B651-02640EF83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809CA-3D12-4429-94C6-8B6C10F92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A8F26-5762-44E5-8238-2BB9D6C8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Документ_264121.docx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Документ_264121.docx</dc:title>
  <dc:subject/>
  <dc:creator>Гарбуз Юрій Петрович</dc:creator>
  <cp:keywords/>
  <dc:description/>
  <cp:lastModifiedBy>Гарбуз Юрій Петрович</cp:lastModifiedBy>
  <cp:revision>2</cp:revision>
  <dcterms:created xsi:type="dcterms:W3CDTF">2020-11-17T08:59:00Z</dcterms:created>
  <dcterms:modified xsi:type="dcterms:W3CDTF">2020-11-17T08:59:00Z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