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EA" w:rsidRPr="0046188F" w:rsidRDefault="00947BEA" w:rsidP="0046188F">
      <w:pPr>
        <w:widowControl w:val="0"/>
        <w:autoSpaceDE w:val="0"/>
        <w:autoSpaceDN w:val="0"/>
        <w:adjustRightInd w:val="0"/>
        <w:spacing w:after="0"/>
        <w:ind w:right="-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n922"/>
      <w:bookmarkStart w:id="1" w:name="_GoBack"/>
      <w:bookmarkEnd w:id="0"/>
      <w:bookmarkEnd w:id="1"/>
      <w:r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  <w:r w:rsidRPr="0046188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 проєкту </w:t>
      </w:r>
      <w:r w:rsidR="00CE3E91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>Закону</w:t>
      </w:r>
      <w:r w:rsidR="004D1BB1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України «Про внесення змін до </w:t>
      </w:r>
      <w:r w:rsidR="00CE3E91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>Закону</w:t>
      </w:r>
      <w:r w:rsidR="004D1BB1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України «Про публічні закупівлі» </w:t>
      </w:r>
      <w:r w:rsidR="000D399F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D1BB1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>щодо забезпечен</w:t>
      </w:r>
      <w:r w:rsidR="000D399F" w:rsidRPr="0046188F">
        <w:rPr>
          <w:rFonts w:ascii="Times New Roman" w:eastAsia="Calibri" w:hAnsi="Times New Roman" w:cs="Times New Roman"/>
          <w:b/>
          <w:bCs/>
          <w:sz w:val="28"/>
          <w:szCs w:val="28"/>
        </w:rPr>
        <w:t>ня безпеки атомних енергоблоків)</w:t>
      </w:r>
    </w:p>
    <w:p w:rsidR="00947BEA" w:rsidRPr="0046188F" w:rsidRDefault="00947BEA" w:rsidP="0046188F">
      <w:pPr>
        <w:shd w:val="clear" w:color="auto" w:fill="FFFFFF"/>
        <w:tabs>
          <w:tab w:val="left" w:pos="891"/>
        </w:tabs>
        <w:spacing w:after="0" w:line="240" w:lineRule="auto"/>
        <w:ind w:left="284" w:righ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C75" w:rsidRPr="0046188F" w:rsidRDefault="007F7C75" w:rsidP="0046188F">
      <w:pPr>
        <w:shd w:val="clear" w:color="auto" w:fill="FFFFFF"/>
        <w:tabs>
          <w:tab w:val="left" w:pos="891"/>
        </w:tabs>
        <w:spacing w:after="0" w:line="240" w:lineRule="auto"/>
        <w:ind w:left="284" w:righ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186" w:rsidRPr="0046188F" w:rsidRDefault="00B72186" w:rsidP="004618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n1976"/>
      <w:bookmarkEnd w:id="2"/>
      <w:r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Обґрунтування необхідності прийняття проєкту </w:t>
      </w:r>
      <w:r w:rsidR="00CE3E91"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Закону</w:t>
      </w:r>
    </w:p>
    <w:p w:rsidR="000D399F" w:rsidRPr="0046188F" w:rsidRDefault="000D399F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роєкт </w:t>
      </w:r>
      <w:r w:rsidR="00CE3E91"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Закону</w:t>
      </w:r>
      <w:r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України </w:t>
      </w:r>
      <w:r w:rsidRPr="0046188F">
        <w:rPr>
          <w:rFonts w:ascii="Times New Roman" w:eastAsia="Times New Roman" w:hAnsi="Times New Roman" w:cs="Times New Roman"/>
          <w:b/>
          <w:color w:val="293A55"/>
          <w:sz w:val="28"/>
          <w:szCs w:val="28"/>
          <w:shd w:val="clear" w:color="auto" w:fill="FFFFFF"/>
          <w:lang w:eastAsia="ru-RU"/>
        </w:rPr>
        <w:t>«</w:t>
      </w:r>
      <w:r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  <w:r w:rsidR="00CE3E91"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Закону</w:t>
      </w:r>
      <w:r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України «Про публічні закупівлі» (щодо забезпечення безпеки атомних енергоблоків)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</w:t>
      </w:r>
      <w:r w:rsidR="00CE3E91" w:rsidRPr="0046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Закону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яким передбачається в</w:t>
      </w:r>
      <w:r w:rsidR="00622F54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з-під дії </w:t>
      </w:r>
      <w:r w:rsidR="00CE3E91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публічні закупівлі» </w:t>
      </w:r>
      <w:r w:rsidR="009C18F1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придбання 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(елементів) безпеки атомних енергоблоків, направлений на забезпечення вчасного здійснення комплексу операцій з підтримання працездатного стану атомних енергоблоків та вчасного відновлення їх ресурсу.</w:t>
      </w:r>
    </w:p>
    <w:p w:rsidR="00CE3E91" w:rsidRPr="0046188F" w:rsidRDefault="000D399F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n756"/>
      <w:bookmarkStart w:id="4" w:name="n757"/>
      <w:bookmarkStart w:id="5" w:name="n1977"/>
      <w:bookmarkStart w:id="6" w:name="n1978"/>
      <w:bookmarkEnd w:id="3"/>
      <w:bookmarkEnd w:id="4"/>
      <w:bookmarkEnd w:id="5"/>
      <w:bookmarkEnd w:id="6"/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Україна, як Сторона Конвенції про ядерну безпеку</w:t>
      </w:r>
      <w:r w:rsidR="00D167C2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(ратифікована Законом України  від 17.12.1997 № 736/97-ВР)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визнала, що відповідальність за ядерну безпеку лежить на державі, під юрисдикцією якої знаходиться ядерна установка. </w:t>
      </w:r>
      <w:r w:rsidR="009C01AF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Статтею 10 цієї Конвенції встановлено, що Кожна Договірна Сторона вживає відповідних заходів для забезпечення того, щоб всі організації, які займаються діяльністю, безпосередньо пов'язаною з ядерними установками, проводили політику, за якої пріоритет надається ядерній безпеці. </w:t>
      </w:r>
    </w:p>
    <w:p w:rsidR="00C00025" w:rsidRPr="0046188F" w:rsidRDefault="009466C9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Цей принцип знайшов відображення у статті 5 </w:t>
      </w:r>
      <w:r w:rsidR="00CE3E91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</w:t>
      </w:r>
      <w:r w:rsidR="009C18F1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 «Про дозвільну діяльність у сфері використання ядерної енергії», яким встановлено пріоритетність забезпечення ядерної та радіаційної безпеки над іншими інтересами</w:t>
      </w:r>
      <w:r w:rsidR="00C00025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7BEA" w:rsidRPr="0046188F" w:rsidRDefault="00C00025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Той же принцип </w:t>
      </w:r>
      <w:r w:rsidR="00CE3E91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частково відображений у чинній редакції п. 3 ч</w:t>
      </w:r>
      <w:r w:rsidR="0046188F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астини шостої</w:t>
      </w:r>
      <w:r w:rsidR="00CE3E91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3 Закону України «Про публічні закупівлі», яким передбачено, що цей Закон не поширюється на придбання виробником електроенергії на АЕС паливно-енергетичних ресурсів для виробництва електричної, теплової енергії (у тому числі ядерне паливо (опромінене чи неопромінене, зокрема поглинаючі стрижні систем керування та захисту), ядерні матеріали).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0025" w:rsidRPr="0046188F" w:rsidRDefault="00C00025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 видно з цього переліку предметів закупівель, законодавець з огляду на вимоги міжнародного законодавства, національного законодавства (Закону України «Про дозвільну діяльність у сфері використання ядерної енергії» та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використання ядерної енергії та радіаційну безпеку»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та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враховуючи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особливості роботи АЕС та надвисоку небезпеку, яку несе затягування закупівельної процедури, вивів ряд товарів з-під дії закону про публічні закупівлі. Разом з тим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 цьому переліку необґрунтовано пропущені системи (елементи) безпеки АЕС, що призводить до затягування строків їх придбання і, як наслідок, породжує пряму загрозу безпеці атомних електростанцій.</w:t>
      </w:r>
    </w:p>
    <w:p w:rsidR="00D32BBE" w:rsidRPr="0046188F" w:rsidRDefault="00D32BBE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Відповідно до статті 8 </w:t>
      </w:r>
      <w:r w:rsidR="00CE3E91" w:rsidRPr="0046188F">
        <w:rPr>
          <w:rFonts w:ascii="Times New Roman" w:eastAsia="Calibri" w:hAnsi="Times New Roman" w:cs="Times New Roman"/>
          <w:bCs/>
          <w:sz w:val="28"/>
          <w:szCs w:val="28"/>
        </w:rPr>
        <w:t>Закону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України «Про використання ядерної енергії та радіаційну безпеку»</w:t>
      </w:r>
      <w:r w:rsidR="009C18F1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дотримання норм, правил і стандартів з ядерної та радіаційної безпеки є обов'язковим при здійсненні будь-якого виду діяльності у сфері використання ядерної енергії. Безпека атомної станції забезпечується за рахунок послідовної реалізації стратегії глибокоешелонованого захисту, </w:t>
      </w:r>
      <w:r w:rsidR="009C18F1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яка  базується на застосуванні системи фізичних  бар'єрів  на  шляху  поширення  іонізуючого випромінювання  і  радіоактивних  речовин  у  навколишнє  природне середовище,     системи технічних  та  організаційних  заходів  щодо  захисту фізичних бар'єрів і </w:t>
      </w:r>
      <w:r w:rsidR="009C18F1" w:rsidRPr="004618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збереження їх ефективності,  з  метою  захисту персоналу, населення і навколишнього природного середовища.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32BBE" w:rsidRPr="0046188F" w:rsidRDefault="00D32BBE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Основним засобом досягнення зазначеної мети є наявність систем (елементів) безпеки атомних станцій (Загальні положення безпеки атомних станцій, затверджені наказом Державного комітету ядерного регулювання України від 19.12.2007 № 162, зареєстровані в Міністерстві юстиції 25.01.2008 за №56/14747). </w:t>
      </w:r>
    </w:p>
    <w:p w:rsidR="00D32BBE" w:rsidRPr="0046188F" w:rsidRDefault="001E4C0C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У відповідності до </w:t>
      </w:r>
      <w:r w:rsidR="00CE3E91" w:rsidRPr="0046188F">
        <w:rPr>
          <w:rFonts w:ascii="Times New Roman" w:eastAsia="Calibri" w:hAnsi="Times New Roman" w:cs="Times New Roman"/>
          <w:bCs/>
          <w:sz w:val="28"/>
          <w:szCs w:val="28"/>
        </w:rPr>
        <w:t>Закону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України «Про використання ядерної енергії та радіаційну безпеку» одним із основних завдань ядерного законодавства є сприяння подальшому зміцненню міжнародного режиму безпечного використання ядерної енергії. П</w:t>
      </w:r>
      <w:r w:rsidR="00D32BBE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ідтримання працездатності систем (елементів) безпеки є обов’язковим відповідно до вимог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Конвенції про ядерну безпеку </w:t>
      </w:r>
      <w:r w:rsidR="00D32BBE" w:rsidRPr="0046188F">
        <w:rPr>
          <w:rFonts w:ascii="Times New Roman" w:eastAsia="Calibri" w:hAnsi="Times New Roman" w:cs="Times New Roman"/>
          <w:bCs/>
          <w:sz w:val="28"/>
          <w:szCs w:val="28"/>
        </w:rPr>
        <w:t>та є основою забезпечення безпеки АЕС в цілому.</w:t>
      </w:r>
    </w:p>
    <w:p w:rsidR="00D32BBE" w:rsidRPr="0046188F" w:rsidRDefault="00D32BBE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Відповідно до технологічних регламентів безпечної експлуатації енергоблоків робота реакторної установки на потужності з одним непрацездатним каналом безпеки, елементом системи безпеки, дозволяється не більше 72 годин. При непрацездатних двох і більше каналах системи безпеки 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softHyphen/>
        <w:t>—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експлуатація енергоблоку на потужності не допускається. </w:t>
      </w:r>
    </w:p>
    <w:p w:rsidR="00D32BBE" w:rsidRPr="0046188F" w:rsidRDefault="00D32BBE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88F">
        <w:rPr>
          <w:rFonts w:ascii="Times New Roman" w:eastAsia="Calibri" w:hAnsi="Times New Roman" w:cs="Times New Roman"/>
          <w:bCs/>
          <w:sz w:val="28"/>
          <w:szCs w:val="28"/>
        </w:rPr>
        <w:t>Для підтримання систем (елементів) безпеки у працездатному стані проводяться періодичні випробування, технічне обслуговування, планові та, у разі необхідності, позапланові ремонти, заміна систем (елементів), які відпрацювали свій ресурс. Виконання усіх зазначених заходів можуть виконуватися лише під час планово-попереджувальних ремонтів або під час усунення аварійних ситуацій.</w:t>
      </w:r>
    </w:p>
    <w:p w:rsidR="00BD7ECB" w:rsidRPr="0046188F" w:rsidRDefault="00D32BBE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Враховуючи викладене, 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>у діяльності АЕС п</w:t>
      </w:r>
      <w:r w:rsidR="0046188F" w:rsidRPr="0046188F">
        <w:rPr>
          <w:rFonts w:ascii="Times New Roman" w:eastAsia="Calibri" w:hAnsi="Times New Roman" w:cs="Times New Roman"/>
          <w:bCs/>
          <w:sz w:val="28"/>
          <w:szCs w:val="28"/>
        </w:rPr>
        <w:t>ерманентно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виникає нагальна потреба у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>здійсн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>енні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закупів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>ель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 (елементів) безпеки для забезпечення безпечної експлуатації АЕС. 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Разом з тим,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46188F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а процедурою, 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>що передбачен</w:t>
      </w:r>
      <w:r w:rsidR="0046188F" w:rsidRPr="0046188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Законом України «Про публічні закупівлі»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188F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у більшості випадків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>вча</w:t>
      </w:r>
      <w:r w:rsidR="001E4C0C" w:rsidRPr="0046188F">
        <w:rPr>
          <w:rFonts w:ascii="Times New Roman" w:eastAsia="Calibri" w:hAnsi="Times New Roman" w:cs="Times New Roman"/>
          <w:bCs/>
          <w:sz w:val="28"/>
          <w:szCs w:val="28"/>
        </w:rPr>
        <w:t>сно здійснити таку закупівлю не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можливо. </w:t>
      </w:r>
      <w:r w:rsidR="003A66B0"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47BEA" w:rsidRPr="0046188F" w:rsidRDefault="00947BEA" w:rsidP="0046188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7" w:name="15"/>
      <w:bookmarkEnd w:id="7"/>
    </w:p>
    <w:p w:rsidR="00BA47AF" w:rsidRPr="0046188F" w:rsidRDefault="00BA47AF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Ціль та завдання законопроєкту</w:t>
      </w:r>
    </w:p>
    <w:p w:rsidR="00BA47AF" w:rsidRPr="0046188F" w:rsidRDefault="00BA47AF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Прийняття цього законопроєкту усуне 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недоліки чинного законодавства про публічні закупівлі у частині, що безпосередньо стосується придбання 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 (елементів) безпеки атомних електростанцій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Запропоновані зміни дозволять купувати ці системи (елементи)</w:t>
      </w:r>
      <w:r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невідкладно після виникнення потреби у </w:t>
      </w:r>
      <w:r w:rsidR="00921E4C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їх придбанні. 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E4C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Вказане значно прискорить процес закупівлі, що </w:t>
      </w:r>
      <w:r w:rsidR="0046188F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чергу </w:t>
      </w:r>
      <w:r w:rsidR="00921E4C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вплине на забезпечення безпечної</w:t>
      </w:r>
      <w:r w:rsidR="00A2116B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стабільної </w:t>
      </w:r>
      <w:r w:rsidR="00921E4C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атомних енергоблоків</w:t>
      </w:r>
      <w:r w:rsidR="00921E4C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BA47AF" w:rsidRPr="0046188F" w:rsidRDefault="00BA47AF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AF" w:rsidRPr="0046188F" w:rsidRDefault="00921E4C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72186"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Загальна характеристика та основні положення проєкту </w:t>
      </w:r>
      <w:r w:rsidR="00CE3E91"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Закону</w:t>
      </w:r>
      <w:r w:rsidR="00B72186"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6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 місце в системі законодавства</w:t>
      </w:r>
    </w:p>
    <w:p w:rsidR="004D5252" w:rsidRPr="0046188F" w:rsidRDefault="004D5252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Чинною редакцією п. 3 ч</w:t>
      </w:r>
      <w:r w:rsidR="0046188F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астини шостої 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 Закону України «Про публічні закупівлі»  передбачено, що дія цього Закону не поширюється на випадки придбання АЕС таких товарів: «</w:t>
      </w:r>
      <w:r w:rsidRPr="00461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паливно-енергетичні ресурси для виробництва електричної, теплової енергії (у тому числі ядерне паливо (опромінене чи неопромінене, зокрема поглинаючі стрижні систем керування та захисту), ядерні матеріали)».</w:t>
      </w:r>
    </w:p>
    <w:p w:rsidR="00D86EFB" w:rsidRPr="0046188F" w:rsidRDefault="004E3BC5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Проєктом </w:t>
      </w:r>
      <w:r w:rsidR="00CE3E91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пропонується </w:t>
      </w:r>
      <w:r w:rsidR="00A2116B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D5252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одати до </w:t>
      </w:r>
      <w:r w:rsidR="00A2116B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="004D5252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16B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товарів, </w:t>
      </w:r>
      <w:r w:rsidR="004D5252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дозволено купувати без дотримання процедур, передбачених Законом України «Про публічні закупівлі», </w:t>
      </w:r>
      <w:r w:rsidR="004D5252" w:rsidRPr="00461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системи (елементи) безпеки атомних енергоблоків</w:t>
      </w:r>
      <w:r w:rsidR="004D5252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 дозволить забезпечити виконання вимог 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міжнародного законодавства</w:t>
      </w:r>
      <w:r w:rsidR="0046188F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сфері ядерної безпеки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національного законодавства (Закону України «Про дозвільну діяльність у сфері використання ядерної енергії» та Закону України «Про використання ядерної енергії та радіаційну безпеку»)</w:t>
      </w:r>
      <w:r w:rsidR="004D5252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пріоритету ядерної безпеки в роботі АЕС.</w:t>
      </w:r>
      <w:r w:rsidR="00A2116B" w:rsidRPr="0046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66B0" w:rsidRPr="0046188F" w:rsidRDefault="00921E4C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системі законодавства законопроєкт займає місце, визначене ч</w:t>
      </w:r>
      <w:r w:rsidR="0046188F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астиною четвертою 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 </w:t>
      </w:r>
      <w:r w:rsidR="00CE3E91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публічні закупівлі», </w:t>
      </w:r>
      <w:r w:rsidR="005E268D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якою передбачено, що зміни до цього </w:t>
      </w:r>
      <w:r w:rsidR="00CE3E91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5E268D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вноситися виключно законом про внесення змін до цього </w:t>
      </w:r>
      <w:r w:rsidR="00CE3E91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5E268D" w:rsidRPr="00461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4C" w:rsidRPr="0046188F" w:rsidRDefault="00921E4C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8" w:name="n1981"/>
      <w:bookmarkEnd w:id="8"/>
    </w:p>
    <w:p w:rsidR="005E268D" w:rsidRPr="0046188F" w:rsidRDefault="005E268D" w:rsidP="0046188F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618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4. Стан нормативно-правової бази у даній сфері правового регулювання</w:t>
      </w:r>
    </w:p>
    <w:p w:rsidR="005E268D" w:rsidRPr="0046188F" w:rsidRDefault="005E268D" w:rsidP="0046188F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Правові відносини у вказаній сфері регулюються Конституцією України, Законом України «Про публічні закупівлі», </w:t>
      </w:r>
      <w:r w:rsidRPr="0046188F">
        <w:rPr>
          <w:rFonts w:ascii="Times New Roman" w:hAnsi="Times New Roman" w:cs="Times New Roman"/>
          <w:color w:val="000000" w:themeColor="text1"/>
          <w:sz w:val="28"/>
          <w:szCs w:val="28"/>
        </w:rPr>
        <w:t>а також міжнародними договорами України, згоду на обов’язковість яких надано Верховною Радою України.</w:t>
      </w:r>
    </w:p>
    <w:p w:rsidR="005E268D" w:rsidRPr="0046188F" w:rsidRDefault="005E268D" w:rsidP="004618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Прийняття проєкту </w:t>
      </w:r>
      <w:r w:rsidR="00CE3E91"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Закону</w:t>
      </w:r>
      <w:r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потребує внесення змін до інших законодавчих актів.</w:t>
      </w:r>
    </w:p>
    <w:p w:rsidR="005E268D" w:rsidRPr="0046188F" w:rsidRDefault="005E268D" w:rsidP="004618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E268D" w:rsidRPr="0046188F" w:rsidRDefault="005E268D" w:rsidP="004618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618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5. Фінансово-економічне обґрунтування</w:t>
      </w:r>
      <w:r w:rsidRPr="0046188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проєкту </w:t>
      </w:r>
      <w:r w:rsidR="00CE3E91" w:rsidRPr="0046188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Закону</w:t>
      </w:r>
    </w:p>
    <w:p w:rsidR="005E268D" w:rsidRPr="0046188F" w:rsidRDefault="005E268D" w:rsidP="004618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Реалізація проєкту </w:t>
      </w:r>
      <w:r w:rsidR="00CE3E91"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Закону</w:t>
      </w:r>
      <w:r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потребуватиме додаткових витрат з Державного бюджету України.</w:t>
      </w:r>
    </w:p>
    <w:p w:rsidR="005E268D" w:rsidRPr="0046188F" w:rsidRDefault="005E268D" w:rsidP="004618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8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7BEA" w:rsidRPr="0046188F" w:rsidRDefault="005E268D" w:rsidP="00461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1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</w:t>
      </w:r>
      <w:r w:rsidR="00921E4C" w:rsidRPr="00461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Обґрунтування очікуваних соціально-економічних, правових та інших наслідків застосування </w:t>
      </w:r>
      <w:r w:rsidR="00CE3E91" w:rsidRPr="00461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Закону</w:t>
      </w:r>
      <w:r w:rsidR="00921E4C" w:rsidRPr="00461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після його прийняття</w:t>
      </w:r>
    </w:p>
    <w:p w:rsidR="00947BEA" w:rsidRPr="0046188F" w:rsidRDefault="00947BEA" w:rsidP="0046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n1991"/>
      <w:bookmarkEnd w:id="9"/>
      <w:r w:rsidRPr="0046188F"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r w:rsidR="00B72186" w:rsidRPr="0046188F">
        <w:rPr>
          <w:rFonts w:ascii="Times New Roman" w:eastAsia="Calibri" w:hAnsi="Times New Roman" w:cs="Times New Roman"/>
          <w:sz w:val="28"/>
          <w:szCs w:val="28"/>
        </w:rPr>
        <w:t xml:space="preserve">цього </w:t>
      </w:r>
      <w:r w:rsidRPr="0046188F">
        <w:rPr>
          <w:rFonts w:ascii="Times New Roman" w:eastAsia="Calibri" w:hAnsi="Times New Roman" w:cs="Times New Roman"/>
          <w:bCs/>
          <w:sz w:val="28"/>
          <w:szCs w:val="28"/>
        </w:rPr>
        <w:t xml:space="preserve">проєкту </w:t>
      </w:r>
      <w:r w:rsidR="00CE3E91" w:rsidRPr="0046188F">
        <w:rPr>
          <w:rFonts w:ascii="Times New Roman" w:eastAsia="Calibri" w:hAnsi="Times New Roman" w:cs="Times New Roman"/>
          <w:bCs/>
          <w:sz w:val="28"/>
          <w:szCs w:val="28"/>
        </w:rPr>
        <w:t>Закону</w:t>
      </w:r>
      <w:r w:rsidRPr="0046188F">
        <w:rPr>
          <w:rFonts w:ascii="Times New Roman" w:eastAsia="Calibri" w:hAnsi="Times New Roman" w:cs="Times New Roman"/>
          <w:sz w:val="28"/>
          <w:szCs w:val="28"/>
        </w:rPr>
        <w:t xml:space="preserve"> 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47BEA" w:rsidRPr="0046188F" w:rsidRDefault="00947BEA" w:rsidP="0046188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C75" w:rsidRPr="0046188F" w:rsidRDefault="007F7C75" w:rsidP="0046188F">
      <w:pPr>
        <w:spacing w:after="0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n1997"/>
      <w:bookmarkEnd w:id="10"/>
    </w:p>
    <w:p w:rsidR="00B72186" w:rsidRPr="0046188F" w:rsidRDefault="00B72186" w:rsidP="0046188F">
      <w:pPr>
        <w:spacing w:after="0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88F">
        <w:rPr>
          <w:rFonts w:ascii="Times New Roman" w:eastAsia="Calibri" w:hAnsi="Times New Roman" w:cs="Times New Roman"/>
          <w:b/>
          <w:sz w:val="28"/>
          <w:szCs w:val="28"/>
        </w:rPr>
        <w:t xml:space="preserve">Народний депутат    України                                        </w:t>
      </w:r>
      <w:r w:rsidR="005E268D" w:rsidRPr="0046188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46188F">
        <w:rPr>
          <w:rFonts w:ascii="Times New Roman" w:eastAsia="Calibri" w:hAnsi="Times New Roman" w:cs="Times New Roman"/>
          <w:b/>
          <w:sz w:val="28"/>
          <w:szCs w:val="28"/>
        </w:rPr>
        <w:t xml:space="preserve">С.В. Нагорняк </w:t>
      </w:r>
    </w:p>
    <w:p w:rsidR="007F7C75" w:rsidRPr="0046188F" w:rsidRDefault="00B72186" w:rsidP="0046188F">
      <w:pPr>
        <w:spacing w:after="0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88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</w:p>
    <w:p w:rsidR="0046188F" w:rsidRPr="0046188F" w:rsidRDefault="0046188F">
      <w:pPr>
        <w:spacing w:after="0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6188F" w:rsidRPr="0046188F" w:rsidSect="0046188F">
      <w:headerReference w:type="even" r:id="rId10"/>
      <w:headerReference w:type="default" r:id="rId11"/>
      <w:pgSz w:w="11906" w:h="16838"/>
      <w:pgMar w:top="1134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95" w:rsidRDefault="00B30795">
      <w:pPr>
        <w:spacing w:after="0" w:line="240" w:lineRule="auto"/>
      </w:pPr>
      <w:r>
        <w:separator/>
      </w:r>
    </w:p>
  </w:endnote>
  <w:endnote w:type="continuationSeparator" w:id="0">
    <w:p w:rsidR="00B30795" w:rsidRDefault="00B3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95" w:rsidRDefault="00B30795">
      <w:pPr>
        <w:spacing w:after="0" w:line="240" w:lineRule="auto"/>
      </w:pPr>
      <w:r>
        <w:separator/>
      </w:r>
    </w:p>
  </w:footnote>
  <w:footnote w:type="continuationSeparator" w:id="0">
    <w:p w:rsidR="00B30795" w:rsidRDefault="00B3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F1" w:rsidRDefault="00621370" w:rsidP="0092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FF1" w:rsidRDefault="00B30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F1" w:rsidRDefault="00621370" w:rsidP="0092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B6F">
      <w:rPr>
        <w:rStyle w:val="a5"/>
        <w:noProof/>
      </w:rPr>
      <w:t>2</w:t>
    </w:r>
    <w:r>
      <w:rPr>
        <w:rStyle w:val="a5"/>
      </w:rPr>
      <w:fldChar w:fldCharType="end"/>
    </w:r>
  </w:p>
  <w:p w:rsidR="00926FF1" w:rsidRDefault="00B307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E8F"/>
    <w:multiLevelType w:val="hybridMultilevel"/>
    <w:tmpl w:val="B8F061B2"/>
    <w:lvl w:ilvl="0" w:tplc="4202ABC4">
      <w:start w:val="14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CF1885"/>
    <w:multiLevelType w:val="hybridMultilevel"/>
    <w:tmpl w:val="2960A232"/>
    <w:lvl w:ilvl="0" w:tplc="FEE2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B6EA8"/>
    <w:multiLevelType w:val="hybridMultilevel"/>
    <w:tmpl w:val="04D6C174"/>
    <w:lvl w:ilvl="0" w:tplc="F6801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EA"/>
    <w:rsid w:val="000D399F"/>
    <w:rsid w:val="00161C66"/>
    <w:rsid w:val="00183CFC"/>
    <w:rsid w:val="001E4C0C"/>
    <w:rsid w:val="00241C34"/>
    <w:rsid w:val="00245962"/>
    <w:rsid w:val="0028644C"/>
    <w:rsid w:val="00292210"/>
    <w:rsid w:val="002E18D0"/>
    <w:rsid w:val="002E3E99"/>
    <w:rsid w:val="003A2500"/>
    <w:rsid w:val="003A66B0"/>
    <w:rsid w:val="00456FA5"/>
    <w:rsid w:val="0046188F"/>
    <w:rsid w:val="00473661"/>
    <w:rsid w:val="004D1BB1"/>
    <w:rsid w:val="004D5252"/>
    <w:rsid w:val="004E3BC5"/>
    <w:rsid w:val="005372BC"/>
    <w:rsid w:val="0057530E"/>
    <w:rsid w:val="005E1B6F"/>
    <w:rsid w:val="005E268D"/>
    <w:rsid w:val="00621370"/>
    <w:rsid w:val="00622F54"/>
    <w:rsid w:val="00717E6D"/>
    <w:rsid w:val="007D523E"/>
    <w:rsid w:val="007F7C75"/>
    <w:rsid w:val="008C1F62"/>
    <w:rsid w:val="00921E4C"/>
    <w:rsid w:val="009466C9"/>
    <w:rsid w:val="00947BEA"/>
    <w:rsid w:val="009C01AF"/>
    <w:rsid w:val="009C18F1"/>
    <w:rsid w:val="00A2116B"/>
    <w:rsid w:val="00B30795"/>
    <w:rsid w:val="00B72186"/>
    <w:rsid w:val="00BA47AF"/>
    <w:rsid w:val="00BD7ECB"/>
    <w:rsid w:val="00C00025"/>
    <w:rsid w:val="00C202D9"/>
    <w:rsid w:val="00C50C10"/>
    <w:rsid w:val="00C76822"/>
    <w:rsid w:val="00C822DF"/>
    <w:rsid w:val="00C97D66"/>
    <w:rsid w:val="00CC7B40"/>
    <w:rsid w:val="00CE3E91"/>
    <w:rsid w:val="00D167C2"/>
    <w:rsid w:val="00D319EA"/>
    <w:rsid w:val="00D32BBE"/>
    <w:rsid w:val="00D86EFB"/>
    <w:rsid w:val="00E03CC2"/>
    <w:rsid w:val="00E0755E"/>
    <w:rsid w:val="00E15181"/>
    <w:rsid w:val="00E1653D"/>
    <w:rsid w:val="00E4061A"/>
    <w:rsid w:val="00EC2E9A"/>
    <w:rsid w:val="00F447B4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FED4-6D47-4B8B-8461-AFF2A7C2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B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47BEA"/>
  </w:style>
  <w:style w:type="character" w:styleId="a5">
    <w:name w:val="page number"/>
    <w:rsid w:val="00947BEA"/>
  </w:style>
  <w:style w:type="paragraph" w:styleId="a6">
    <w:name w:val="List Paragraph"/>
    <w:basedOn w:val="a"/>
    <w:uiPriority w:val="34"/>
    <w:qFormat/>
    <w:rsid w:val="004D1BB1"/>
    <w:pPr>
      <w:ind w:left="720"/>
      <w:contextualSpacing/>
    </w:pPr>
  </w:style>
  <w:style w:type="paragraph" w:customStyle="1" w:styleId="rvps2">
    <w:name w:val="rvps2"/>
    <w:basedOn w:val="a"/>
    <w:rsid w:val="001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5E2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4B732-D529-488C-B1BE-346185457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0CCB3-8FA2-438C-8320-DA9CE1B8F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FE2B9-19CF-4E87-B1CB-00698F9A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5159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2020-10-15T05:32:00Z</dcterms:created>
  <dcterms:modified xsi:type="dcterms:W3CDTF">2020-10-15T05:32:00Z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