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2D" w:rsidRDefault="00F90F2D" w:rsidP="00B45560">
      <w:pPr>
        <w:ind w:firstLine="720"/>
        <w:jc w:val="right"/>
        <w:rPr>
          <w:sz w:val="28"/>
        </w:rPr>
      </w:pPr>
      <w:bookmarkStart w:id="0" w:name="_GoBack"/>
      <w:bookmarkEnd w:id="0"/>
      <w:r w:rsidRPr="00F90F2D">
        <w:rPr>
          <w:sz w:val="28"/>
        </w:rPr>
        <w:t>П</w:t>
      </w:r>
      <w:r w:rsidR="00B45560" w:rsidRPr="00F90F2D">
        <w:rPr>
          <w:sz w:val="28"/>
        </w:rPr>
        <w:t>роект</w:t>
      </w:r>
    </w:p>
    <w:p w:rsidR="00B45560" w:rsidRPr="00B45560" w:rsidRDefault="00B45560" w:rsidP="00B45560">
      <w:pPr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(тираж 15.03.2021)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</w:p>
    <w:p w:rsidR="00F90F2D" w:rsidRPr="00F90F2D" w:rsidRDefault="00F90F2D" w:rsidP="00B45560">
      <w:pPr>
        <w:ind w:firstLine="720"/>
        <w:jc w:val="center"/>
        <w:rPr>
          <w:sz w:val="28"/>
        </w:rPr>
      </w:pPr>
      <w:r w:rsidRPr="00F90F2D">
        <w:rPr>
          <w:b/>
          <w:sz w:val="28"/>
        </w:rPr>
        <w:t>ЗАКОН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УКРАЇНИ</w:t>
      </w:r>
    </w:p>
    <w:p w:rsidR="00F90F2D" w:rsidRDefault="00F90F2D" w:rsidP="00B45560">
      <w:pPr>
        <w:ind w:firstLine="720"/>
        <w:jc w:val="center"/>
        <w:rPr>
          <w:sz w:val="28"/>
        </w:rPr>
      </w:pP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внесення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</w:p>
    <w:p w:rsidR="00B45560" w:rsidRPr="00F90F2D" w:rsidRDefault="00B45560" w:rsidP="00B45560">
      <w:pPr>
        <w:ind w:firstLine="720"/>
        <w:jc w:val="center"/>
        <w:rPr>
          <w:sz w:val="28"/>
        </w:rPr>
      </w:pP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Верховна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Рада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b/>
          <w:sz w:val="28"/>
        </w:rPr>
        <w:t>І.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Внести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зміни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до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таких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законів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України: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b/>
          <w:sz w:val="28"/>
        </w:rPr>
        <w:t>4.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Законі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b/>
          <w:sz w:val="28"/>
        </w:rPr>
        <w:t>"Про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споживче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кредитування"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Верховної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2017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р.,</w:t>
      </w:r>
      <w:r w:rsidRPr="00F90F2D">
        <w:rPr>
          <w:sz w:val="28"/>
        </w:rPr>
        <w:t xml:space="preserve"> </w:t>
      </w:r>
      <w:r w:rsidRPr="00F90F2D">
        <w:rPr>
          <w:sz w:val="28"/>
        </w:rPr>
        <w:t>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ст.</w:t>
      </w:r>
      <w:r w:rsidRPr="00F90F2D">
        <w:rPr>
          <w:sz w:val="28"/>
        </w:rPr>
        <w:t xml:space="preserve"> </w:t>
      </w:r>
      <w:r w:rsidRPr="00F90F2D">
        <w:rPr>
          <w:sz w:val="28"/>
        </w:rPr>
        <w:t>2;</w:t>
      </w:r>
      <w:r w:rsidRPr="00F90F2D">
        <w:rPr>
          <w:sz w:val="28"/>
        </w:rPr>
        <w:t xml:space="preserve"> </w:t>
      </w:r>
      <w:r w:rsidRPr="00F90F2D">
        <w:rPr>
          <w:sz w:val="28"/>
        </w:rPr>
        <w:t>2019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р.,</w:t>
      </w:r>
      <w:r w:rsidRPr="00F90F2D">
        <w:rPr>
          <w:sz w:val="28"/>
        </w:rPr>
        <w:t xml:space="preserve"> </w:t>
      </w:r>
      <w:r w:rsidRPr="00F90F2D">
        <w:rPr>
          <w:sz w:val="28"/>
        </w:rPr>
        <w:t>№</w:t>
      </w:r>
      <w:r w:rsidRPr="00F90F2D">
        <w:rPr>
          <w:sz w:val="28"/>
        </w:rPr>
        <w:t xml:space="preserve"> </w:t>
      </w:r>
      <w:r w:rsidRPr="00F90F2D">
        <w:rPr>
          <w:sz w:val="28"/>
        </w:rPr>
        <w:t>44,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ст.</w:t>
      </w:r>
      <w:r w:rsidRPr="00F90F2D">
        <w:rPr>
          <w:sz w:val="28"/>
        </w:rPr>
        <w:t xml:space="preserve"> </w:t>
      </w:r>
      <w:r w:rsidRPr="00F90F2D">
        <w:rPr>
          <w:sz w:val="28"/>
        </w:rPr>
        <w:t>278;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змінами,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внесеними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15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вересня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2020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№</w:t>
      </w:r>
      <w:r w:rsidRPr="00F90F2D">
        <w:rPr>
          <w:sz w:val="28"/>
        </w:rPr>
        <w:t xml:space="preserve"> </w:t>
      </w:r>
      <w:r w:rsidRPr="00F90F2D">
        <w:rPr>
          <w:sz w:val="28"/>
        </w:rPr>
        <w:t>891-ІХ):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першій: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пункт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спрямовані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позасудовому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прострочив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грошового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(прострочена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заборгованість)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Фондом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гарантування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вкладів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процесі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неплатоспроможних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ринку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ліквідації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заборгованістю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,</w:t>
      </w:r>
      <w:r w:rsidRPr="00F90F2D">
        <w:rPr>
          <w:sz w:val="28"/>
        </w:rPr>
        <w:t xml:space="preserve"> </w:t>
      </w:r>
      <w:r w:rsidRPr="00F90F2D">
        <w:rPr>
          <w:sz w:val="28"/>
        </w:rPr>
        <w:t>4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,</w:t>
      </w:r>
      <w:r w:rsidRPr="00F90F2D">
        <w:rPr>
          <w:sz w:val="28"/>
        </w:rPr>
        <w:t xml:space="preserve"> </w:t>
      </w:r>
      <w:r w:rsidRPr="00F90F2D">
        <w:rPr>
          <w:sz w:val="28"/>
        </w:rPr>
        <w:t>7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  <w:vertAlign w:val="superscript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8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зобов’язується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(позичальник)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зобов’язується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повернути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сплатити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проценти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користування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"4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небанківська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кошти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факторингу),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(первісного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заміни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первісного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"7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цивільно-правовим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заміни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"8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система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одержання,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накопичення,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зберігання,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(даних)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Термін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"близькі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особи"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вживається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значенні,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наведеному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запобігання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корупції".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зв'язку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вважати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другим;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3: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регулює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відносини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посередниками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відносини,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виникають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зв’язку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абзац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положень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9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9,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15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12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четверту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рахунку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становить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трьох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місяців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застосовуються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лише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2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7,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8-10,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четвертої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12,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13,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шостої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15,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18,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21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положення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загальний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перевищує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однієї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мінімальної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заробітної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застосовуються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сьомої,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десятої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дванадцятої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9,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шостої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14,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19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21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положення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5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затверджує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методику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розрахунку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загальної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вартості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реальної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процентної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ставки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посередників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lastRenderedPageBreak/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додержанням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контроль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додержанням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рекламу;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належність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спрямованих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позасудовому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прострочив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грошового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зобов'язання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діяльності);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межах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компетенції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перевіряє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викладені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результатами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звернень;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8)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межах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компетенції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вживає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спрямованих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припинення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виявлених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поновлення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усунення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причин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посадових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виявлені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9)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внесення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відмову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внесенні;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10)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веде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ведення;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повноваження,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інспекційних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перевірок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безвиїзного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нагляду";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8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Реальна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річна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процентна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ставка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обчислюється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9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9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"9)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наслідки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сплати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неустойки,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процентної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ставки,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застосовуються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стягуються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обов’язково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позовом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відшкодування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шкоди,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завданої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процесі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відповідальність,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182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кодексу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незаконне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збирання,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зберігання,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конфіденційної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четверту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посередник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несуть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12: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15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позовом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відшкодування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шкоди,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завданої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процесі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п'ятим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звертатися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25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метою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необхідність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зобов'язань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прямо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приєднання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індивідуальній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повинні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стороною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передачі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дотриманням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шостої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25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волевиявлення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приєднання,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волевиявлення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повинно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міститися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індивідуальній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Кредитодавець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п’яту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"Договір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нікчемним";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8)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18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"Стаття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18.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Відступлення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Відступлення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цивільного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урахуванням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особливостей,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відступив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залучив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10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робочих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відступлення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25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(найменування,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ідентифікаційний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Єдиному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підприємств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організацій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місцезнаходження,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зв’язку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номер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телефону,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електронної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пошти).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зберігається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подальшого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відступлення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Відступлення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допускається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кошти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факторингу.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кошти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факторингу,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набуває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результаті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правонаступництва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самостійно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врегульовувати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поширюються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Фонд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гарантування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вкладів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переходять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зокрема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набуто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Положення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застосовуються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подальших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відступлень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9)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розділом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ІІІ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"Розділ</w:t>
      </w:r>
      <w:r w:rsidRPr="00F90F2D">
        <w:rPr>
          <w:sz w:val="28"/>
        </w:rPr>
        <w:t xml:space="preserve"> </w:t>
      </w:r>
      <w:r w:rsidRPr="00F90F2D">
        <w:rPr>
          <w:sz w:val="28"/>
        </w:rPr>
        <w:t>IІІ</w:t>
      </w:r>
      <w:r w:rsidRPr="00F90F2D">
        <w:rPr>
          <w:sz w:val="28"/>
          <w:vertAlign w:val="superscript"/>
        </w:rPr>
        <w:t>1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Стаття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статусу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статус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небанківської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(далі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анкета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описом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бізнес-намірів;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керівників,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цивільно-правових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запевненням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кваліфікаційним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істотної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підтверджують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істотної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структуру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анкета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політик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внутрішніх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положень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організації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навчання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підвищення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кваліфікації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працівників;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запевнення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керівників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проходження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цивільно-правових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навчання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питань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8)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внесення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пакета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внесення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зобов'язаний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одночасно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третьою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вимагати,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додаткову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пояснення,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необхідними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достовірності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відомостей,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внесення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зупиняється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моменту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вичерпної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30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робочих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запиту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внесення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вважаються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неповну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повертаються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Заявник,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небанківською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факторингу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коштів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статус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Небанківська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факторингу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коштів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лише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інтересах.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Власником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істотної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бути: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а)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зняту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судимість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безпеки,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господарської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електронно-обчислювальних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машин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(комп’ютерів),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систем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комп’ютерних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мереж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мереж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електрозв’язку,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службової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професійної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пов’язаної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публічних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життя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здоров’я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lastRenderedPageBreak/>
        <w:t>б)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резидентом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збройну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агресію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значенні,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наведеному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оборону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створюють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виникнення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збройного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конфлікту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воєнної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в)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зареєстроване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проживання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розташоване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тимчасово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окупованих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територіях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Донецькій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Луганській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областях,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Автономній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Республіці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Севастополі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території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операції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Об’єднаних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сил;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г)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застосовано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дисциплінарне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стягнення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вигляді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позбавлення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зайняття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адвокатською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анульовано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свідоцтво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зайняття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нотаріальною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арбітражного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керуючого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(розпорядника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керуючого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санацією,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ліквідатора),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позбавлено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приватного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трьох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прийняття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ґ)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звільнена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посади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судді,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прокурора,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правоохоронного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служби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служби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самоврядування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зв’язку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притягненням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дисциплінарної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трьох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звільнення;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д)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ділової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а)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зареєстрована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збройну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агресію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значенні,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наведеному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оборону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створюють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виникнення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збройного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конфлікту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воєнної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б)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місцезнаходженням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Єдиного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осіб-підприємців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формувань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тимчасово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окупована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територія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територія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операції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Об’єднаних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сил;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в)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ділової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результатами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відмову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30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робочих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пакета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відмовляє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неповну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недостовірну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керівник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(керівники)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цивільно-правових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власники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істотної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кваліфікаційним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структура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Забороняється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місцезнаходженням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Єдиного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осіб-підприємців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формувань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тимчасово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окупована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територія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територія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операції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Об’єднаних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сил.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набуває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статусу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Юридичній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забороняється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Положення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належить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видає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витяг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затверджується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істотну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зобов'язані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впродовж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вони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істотну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Стаття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спрямований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нікчемним.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розмістити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веб-сайті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(веб-сайтах),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програмному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(мобільному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додатку),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місцях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окремих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функцій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процесів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межах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зокрема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засадах.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розмістити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веб-сайті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(веб-сайтах),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програмному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(мобільному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додатку),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місцях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небанківською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установою)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Стаття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веде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забезпечує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цілодобовий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безоплатний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доступ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мережі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Інтернет,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сторінці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офіційного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Інтернет-представництва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можливістю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перегляду,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пошуку,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копіювання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роздрукування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Стаття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25.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(телефонні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відеопереговори,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зустрічі).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можливе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9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19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години,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заперечує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попередньо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телефонної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окрему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це.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підлягають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обов’язковому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попередньому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узгодженню;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текстових,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голосових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через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засоби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телекомунікації,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програмного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забезпечення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технологій;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lastRenderedPageBreak/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відправлень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позначкою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"Вручити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особисто"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проживання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перебування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рамках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повідомити: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найменування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своє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найменування,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номер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телефону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зв'язку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(електронну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поштову)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листування;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прізвище,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ім’я,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батькові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наявності)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ім’я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індекс,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допомогою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однозначно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ідентифікують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програмного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забезпечення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технології,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проценти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користування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комісії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пов’язаних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обслуговуванням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поверненням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неустойки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стягуються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невиконанні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шостої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повідомляється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лише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Розрахунок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п’яти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робочих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після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підтверджують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детальний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розрахунок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кожному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платіжному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періоду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нарахування),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особисто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направлення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листа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(електронну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поштову)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спосіб.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Кредитодавець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семи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робочих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після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підтверджують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4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направлення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листа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(електронну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поштову),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спосіб.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повторно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моменту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повторно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моменту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цілей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моментом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будь-який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момент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направлення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направлення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електронною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поштою;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23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година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59</w:t>
      </w:r>
      <w:r w:rsidRPr="00F90F2D">
        <w:rPr>
          <w:sz w:val="28"/>
        </w:rPr>
        <w:t xml:space="preserve"> </w:t>
      </w:r>
      <w:r w:rsidRPr="00F90F2D">
        <w:rPr>
          <w:sz w:val="28"/>
        </w:rPr>
        <w:t>хвилин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десятого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направлення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рекомендованого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відправлення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описом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вкладення,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містило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момент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вручення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відправлення,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раніше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10-денного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фіксування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кожної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допомогою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відео-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звукозаписувального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технічного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засобу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метою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фіксування.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зберігати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носії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зафіксовано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допомогою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технічних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засобів),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трьох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після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покладений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містяться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матеріалах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зібраних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процесі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забороняється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графіка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відпочинку;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поїздок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межах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межі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рідними,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друзями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розміщеної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соціальних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мережах;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здоров’я;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політичних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поглядів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релігійних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переконань;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8)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членства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партіях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об’єднаннях;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9)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фото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відеоматеріалів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зображенням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створення,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зберігання,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фото-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відеоматеріалів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створення,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зберігання,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фото-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відеоматеріалів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взаємодію).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засадах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дотримуватися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засадах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забороняється: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зазіхають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гідність,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свободи,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ставлять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загрозу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життя,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здоров’я,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ділову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погрози,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шантаж,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незаконні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(неправомірні)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стосовно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вводити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оману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а)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характеру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виникнення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наслідків,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настануть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б)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можливості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боржника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адміністративного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переслідування;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в)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належності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засадах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самоврядування;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період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20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9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години,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вихідні,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святкові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неробочі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дні;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більше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двох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добу,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додаткової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їхньою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ініціативою.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допомогою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засобів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зв’язку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вважається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відбулася,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результаті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змістовну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проценти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користування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комісії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пов’язаних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обслуговуванням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поверненням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неустойки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стягуються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приховувати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номер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контактного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телефону,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дзвінок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електронної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відправника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електронного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функцію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(сервіс)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автоматичного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додзвону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більше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30</w:t>
      </w:r>
      <w:r w:rsidRPr="00F90F2D">
        <w:rPr>
          <w:sz w:val="28"/>
        </w:rPr>
        <w:t xml:space="preserve"> </w:t>
      </w:r>
      <w:r w:rsidRPr="00F90F2D">
        <w:rPr>
          <w:sz w:val="28"/>
        </w:rPr>
        <w:t>хвилин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добу;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конвертах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зображення,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сприйняті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погрозу,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розміщувати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конвертах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прямо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опосередковано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вказують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написи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"виконавчий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"рішення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стягнення",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виселення"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тощо,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найменування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повноваження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примусового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рішень;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8)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будь-яким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могла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стосовно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9)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вимагати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роботодавця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прийняти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себе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10)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завдають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шкоду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діловій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погрожувати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дій;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вимагати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ніж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будь-яким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письмово,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належним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оформлених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представляє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проводити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попереднього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погодження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будь-яким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приводу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виявлення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існування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практики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межах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своєї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компетенції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додаткові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донесення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необхідність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зобов’язань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процесі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припинення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покладається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Форма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інформаційного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допомогою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повинна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відповідальність,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182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кодексу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незаконне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збирання,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зберігання,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конфіденційної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третьою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вона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висловила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негайно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припинити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обробки.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одночасно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кілька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невідкладно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метою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негайного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припинення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імені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вчиняються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засадах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вважаються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вчиненими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8.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Забороняється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покладати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оплати/компенсації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витрат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Витрати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оплати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зобов'язань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рахунок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коштів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9.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імені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допускається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спрямована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(безпосередня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моменту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свідчать,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недієздатною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обмеженою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дієздатності;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перебуває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стаціонарному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лікуванні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закладі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охорони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здоров’я;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інвалідністю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групи;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неповнолітньою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неподання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підтверджують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обставин,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вважається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непідтвердженою.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Стаття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26.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додержанням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додержанням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перевірки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достатності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належності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вживаються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метою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контролю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дотриманням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рекомендацій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необхідності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посилення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контролю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дотриманням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рекомендацій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необхідності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посилення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контролю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дотриманням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цивільно-правових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перевірки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обмежень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обробки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lastRenderedPageBreak/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відсторонити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керівників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невідповідності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кваліфікаційним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вжити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відсторонення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недостовірної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невідповідності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істотної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ділової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репутації),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невідповідності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структури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заявника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більше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2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28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дострокове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припинення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(розірвання)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більше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Єдиному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підприємців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формувань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припинення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статус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8)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9)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перевірки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10)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усунення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виявлених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питань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lastRenderedPageBreak/>
        <w:t>11)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неусунення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після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тимчасової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достроково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односторонньому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розірвати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Стаття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27.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Контроль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формах,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контроль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додержанням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вимагати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усунення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порушень.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метою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облік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достроково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односторонньому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розірвати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більше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вчинила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закінчення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дострокове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припинення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(розірвання)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пропозиції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суттю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пізніше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п’яти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робочих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пропозиції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Стаття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28.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адекватні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порушенню: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направити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застереження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усунення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виявленого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вжиття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недопущення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подальшій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(далі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застереження);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ринків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послуг"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штраф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тимчасово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5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26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тимчасово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зупинити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відкликати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(анулювати)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ліцензію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небанківської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небанківської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провадження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застосовує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цією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дотриманням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принципів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співмірності,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врахування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характеру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обставин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причин,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зумовили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вжитих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запобігання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усунення,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врахування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наслідків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оскаржене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Оскарження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зупиняє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вигляді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накладення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штрафу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набирає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наступного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прийняття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місяця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вигляді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накладення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штрафу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добровільне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було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оскаржено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набуває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статусу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підлягає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оформленню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виконавче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провадження"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виконавчої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служби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примусового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вигляді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накладення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штрафу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місяця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оскаржено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адміністративним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відкрито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провадження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справі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оскарження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набуває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статусу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справі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урахуванням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строків,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виконавче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провадження".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несуть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завдану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неправомірними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шкоду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10)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додатку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"Паспорт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(Стандартизована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форма)":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розділ</w:t>
      </w:r>
      <w:r w:rsidRPr="00F90F2D">
        <w:rPr>
          <w:sz w:val="28"/>
        </w:rPr>
        <w:t xml:space="preserve"> </w:t>
      </w:r>
      <w:r w:rsidRPr="00F90F2D">
        <w:rPr>
          <w:sz w:val="28"/>
        </w:rPr>
        <w:t>6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двома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позиціями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"Кредитодавець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Так/ні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25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кредитування"";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розділ</w:t>
      </w:r>
      <w:r w:rsidRPr="00F90F2D">
        <w:rPr>
          <w:sz w:val="28"/>
        </w:rPr>
        <w:t xml:space="preserve"> </w:t>
      </w:r>
      <w:r w:rsidRPr="00F90F2D">
        <w:rPr>
          <w:sz w:val="28"/>
        </w:rPr>
        <w:t>7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двома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позиціями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Підтверджую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зобов'язань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компанією,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позовом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відшкодування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шкоди,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завданої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процесі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Підтверджую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182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кодексу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незаконне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збирання,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зберігання,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конфіденційної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персональні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кредитодавцю.";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тексті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слова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"додаткові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супутні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"додаткові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супутні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"додаткові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супутні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послуги"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відмінках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замінити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словами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"супровідні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послуги"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відмінку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b/>
          <w:sz w:val="28"/>
        </w:rPr>
        <w:lastRenderedPageBreak/>
        <w:t>3.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Законі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України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"Про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фінансові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послуги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та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державне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регулювання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ринків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фінансових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послуг"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Верховної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2002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р.,</w:t>
      </w:r>
      <w:r w:rsidRPr="00F90F2D">
        <w:rPr>
          <w:sz w:val="28"/>
        </w:rPr>
        <w:t xml:space="preserve"> </w:t>
      </w:r>
      <w:r w:rsidRPr="00F90F2D">
        <w:rPr>
          <w:sz w:val="28"/>
        </w:rPr>
        <w:t>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ст.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наступними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змінами):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28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"28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супровідні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допоміжні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посередницькі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Терміни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заборгованості"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вживаються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значеннях,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наведених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кредитування".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зв'язку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вважати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забезпечення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ставлення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категорій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(дотримання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четвертої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12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  <w:vertAlign w:val="superscript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повинні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розкривати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розміщення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безоплатній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основі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загальнодоступній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інформаційній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веб-сайтах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(веб-сторінках)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обсязі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ринків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38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17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більше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41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Ненадання,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несвоєчасне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недостовірної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тягнуть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собою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відповідальність,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другій: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абзац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ринків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межах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своєї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компетенції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застосовують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суб’єктів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господарювання,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посередницькі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ринках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кредитних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посередників,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штрафні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санкції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пункт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7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відступлення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обов’язковість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300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600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неоподатковуваних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мінімумів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громадян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кожен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неповідомлення";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8-10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"8)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3000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6000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неоподатковуваних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мінімумів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громадян;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9)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5000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8000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неоподатковуваних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мінімумів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громадян;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10)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недотримання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–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5000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7000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неоподатковуваних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мінімумів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громадян".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b/>
          <w:sz w:val="28"/>
        </w:rPr>
        <w:t>1.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Законі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України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"Про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Національний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банк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України"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Верховної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1999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р.,</w:t>
      </w:r>
      <w:r w:rsidRPr="00F90F2D">
        <w:rPr>
          <w:sz w:val="28"/>
        </w:rPr>
        <w:t xml:space="preserve"> </w:t>
      </w:r>
      <w:r w:rsidRPr="00F90F2D">
        <w:rPr>
          <w:sz w:val="28"/>
        </w:rPr>
        <w:t>№</w:t>
      </w:r>
      <w:r w:rsidRPr="00F90F2D">
        <w:rPr>
          <w:sz w:val="28"/>
        </w:rPr>
        <w:t xml:space="preserve"> </w:t>
      </w:r>
      <w:r w:rsidRPr="00F90F2D">
        <w:rPr>
          <w:sz w:val="28"/>
        </w:rPr>
        <w:t>29,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ст.</w:t>
      </w:r>
      <w:r w:rsidRPr="00F90F2D">
        <w:rPr>
          <w:sz w:val="28"/>
        </w:rPr>
        <w:t xml:space="preserve"> </w:t>
      </w:r>
      <w:r w:rsidRPr="00F90F2D">
        <w:rPr>
          <w:sz w:val="28"/>
        </w:rPr>
        <w:t>238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наступними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змінами):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"Терміни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"реєстр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компаній"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"колекторська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компанія"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вживаються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значеннях,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наведених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першій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7: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пункт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9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"9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веде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визначених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але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окремі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банк";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доповнити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34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  <w:vertAlign w:val="superscript"/>
        </w:rPr>
        <w:t xml:space="preserve"> </w:t>
      </w:r>
      <w:r w:rsidRPr="00F90F2D">
        <w:rPr>
          <w:sz w:val="28"/>
        </w:rPr>
        <w:t>такого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змісту: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"34</w:t>
      </w:r>
      <w:r w:rsidRPr="00F90F2D">
        <w:rPr>
          <w:sz w:val="28"/>
          <w:vertAlign w:val="superscript"/>
        </w:rPr>
        <w:t>1</w:t>
      </w:r>
      <w:r w:rsidRPr="00F90F2D">
        <w:rPr>
          <w:sz w:val="28"/>
        </w:rPr>
        <w:t>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додержанням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але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окремі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компаніями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захист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поведінки)".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b/>
          <w:sz w:val="28"/>
        </w:rPr>
        <w:t>2.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Абзац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перший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частини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першої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статті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73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Закону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України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"Про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банки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і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банківську</w:t>
      </w:r>
      <w:r w:rsidRPr="00F90F2D">
        <w:rPr>
          <w:b/>
          <w:sz w:val="28"/>
        </w:rPr>
        <w:t xml:space="preserve"> </w:t>
      </w:r>
      <w:r w:rsidRPr="00F90F2D">
        <w:rPr>
          <w:b/>
          <w:sz w:val="28"/>
        </w:rPr>
        <w:t>діяльність"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Верховної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2001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р.,</w:t>
      </w:r>
      <w:r w:rsidRPr="00F90F2D">
        <w:rPr>
          <w:sz w:val="28"/>
        </w:rPr>
        <w:t xml:space="preserve"> </w:t>
      </w:r>
      <w:r w:rsidRPr="00F90F2D">
        <w:rPr>
          <w:sz w:val="28"/>
        </w:rPr>
        <w:t>№</w:t>
      </w:r>
      <w:r w:rsidRPr="00F90F2D">
        <w:rPr>
          <w:sz w:val="28"/>
        </w:rPr>
        <w:t xml:space="preserve"> </w:t>
      </w:r>
      <w:r w:rsidRPr="00F90F2D">
        <w:rPr>
          <w:sz w:val="28"/>
        </w:rPr>
        <w:t>5-6,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ст.</w:t>
      </w:r>
      <w:r w:rsidRPr="00F90F2D">
        <w:rPr>
          <w:sz w:val="28"/>
        </w:rPr>
        <w:t xml:space="preserve"> </w:t>
      </w:r>
      <w:r w:rsidRPr="00F90F2D">
        <w:rPr>
          <w:sz w:val="28"/>
        </w:rPr>
        <w:t>30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наступними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змінами)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викласти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редакції: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lastRenderedPageBreak/>
        <w:t>"У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об'єктом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перевірки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банківського,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валютного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запобігання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легалізації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(відмиванню)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доходів,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одержаних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злочинним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фінансуванню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тероризму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фінансуванню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розповсюдження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зброї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знищення,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66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ризикової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загрожує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вкладників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іноземними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міждержавними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об'єднаннями,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міжнародними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організаціями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санкцій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істотної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участі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банках,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становлять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загрозу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вкладників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стабільності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банківської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системи,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встановлених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законодавством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(вимог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етичної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поведінки)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впливу,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адекватні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вчиненому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порушенню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рівню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загрози,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належать".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ІІ.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Прикінцеві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перехідні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положення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набирає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наступного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опублікування,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вводиться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через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місяці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крім: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абзаців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четвертого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-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шостого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підпункту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1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розділу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вводяться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2</w:t>
      </w:r>
      <w:r w:rsidRPr="00F90F2D">
        <w:rPr>
          <w:sz w:val="28"/>
        </w:rPr>
        <w:t xml:space="preserve"> </w:t>
      </w:r>
      <w:r w:rsidRPr="00F90F2D">
        <w:rPr>
          <w:sz w:val="28"/>
        </w:rPr>
        <w:t>липня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2021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але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раніше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пунктів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2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розділу,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набирають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наступного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опублікування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засадах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повинні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(телефонні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відеопереговори,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зустрічі).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можливе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виключно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9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19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години,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заперечує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попередньо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телефонної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окрему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це.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підлягають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обов’язковому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попередньому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узгодженню;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текстових,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голосових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через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засоби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телекомунікації,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програмного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забезпечення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технологій;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відправлень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позначкою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"Вручити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особисто"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проживання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перебування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засадах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забороняється: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зазіхають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гідність,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свободи,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ставлять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загрозу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життя,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здоров’я,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ділову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погрози,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шантаж,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незаконні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(неправомірні)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стосовно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вводити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оману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а)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характеру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підстав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виникнення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наслідків,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настануть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б)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питання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розгляд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суду,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можливості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застосування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боржника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адміністративного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кримінального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переслідування;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в)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належності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фізичних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засадах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безпосередньої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влади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місцевого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самоврядування;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період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20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9</w:t>
      </w:r>
      <w:r w:rsidRPr="00F90F2D">
        <w:rPr>
          <w:sz w:val="28"/>
        </w:rPr>
        <w:t xml:space="preserve"> </w:t>
      </w:r>
      <w:r w:rsidRPr="00F90F2D">
        <w:rPr>
          <w:sz w:val="28"/>
        </w:rPr>
        <w:t>години,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вихідні,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святкові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неробочі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дні;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більше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двох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добу,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додаткової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їхньою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ініціативою.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допомогою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засобів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зв’язку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вважається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відбулася,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результаті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змістовну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проценти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користування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комісії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пов’язаних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отриманням,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обслуговуванням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поверненням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порядок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неустойки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платежів,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стягуються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приховувати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номер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контактного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телефону,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дзвінок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адресу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електронної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відправника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поштового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електронного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функцію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(сервіс)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автоматичного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додзвону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більше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30</w:t>
      </w:r>
      <w:r w:rsidRPr="00F90F2D">
        <w:rPr>
          <w:sz w:val="28"/>
        </w:rPr>
        <w:t xml:space="preserve"> </w:t>
      </w:r>
      <w:r w:rsidRPr="00F90F2D">
        <w:rPr>
          <w:sz w:val="28"/>
        </w:rPr>
        <w:t>хвилин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добу;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конвертах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повідомленнях,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надсилаються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зображення,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можуть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сприйняті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містять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погрозу,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розміщувати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конвертах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повідомленнях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прямо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опосередковано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вказують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використовувати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написи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"виконавчий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"рішення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стягнення",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"повідомлення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виселення"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тощо,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найменування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органів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державної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влади,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повноваження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сфері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примусового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виконання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рішень;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8)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будь-яким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повідомляти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могла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стосовно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передачу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їй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інформації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наявність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випадків,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9)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вимагати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роботодавця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прийняти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себе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10)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завдають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шкоду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діловій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репутації,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погрожувати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вчиненням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дій;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11)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вимагати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погашення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спосіб,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ніж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lastRenderedPageBreak/>
        <w:t>12)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власною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ініціативою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будь-яким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письмово,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шляхом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всіх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належним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оформлених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підтвердних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документів,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повідомив,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представляє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13)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проводити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близькими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третіми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попереднього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погодження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зустрічей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14)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будь-яким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взаємодіяти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приводу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споживача,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представника,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спадкоємця,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майнового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поручителя),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згоду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взаємодію.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4.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інтересах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намір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кредитором,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місяця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подати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включення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відсутності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відомостей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кредитодавцем,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через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місяці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після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кредитодавець,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новий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достроково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розірвати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договір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особою.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5.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Положення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інших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передбачених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частиною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другою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статті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3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"Про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кредитування",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поширюються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що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будуть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після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укладених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підлягають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перегляду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зв’язку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продовжується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сторонами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після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бути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приведені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6.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день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договорами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споживчий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кредиторами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зобов’язаннями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повернення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споживчого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(крім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роботодавцем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своїм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працівникам)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t>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установами,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мають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надавати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кошти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позику,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числі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умовах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фінансового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кредиту,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та/або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послуги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факторингу,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привести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свою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трьох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місяців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дію.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разі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неприведення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діяльності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зазначеними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вимогами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такі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зобов’язані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припинити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самостійне</w:t>
      </w:r>
      <w:r w:rsidRPr="00F90F2D">
        <w:rPr>
          <w:sz w:val="28"/>
        </w:rPr>
        <w:t xml:space="preserve"> </w:t>
      </w:r>
      <w:r w:rsidRPr="00F90F2D">
        <w:rPr>
          <w:sz w:val="28"/>
        </w:rPr>
        <w:lastRenderedPageBreak/>
        <w:t>здійснення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залучити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юридичну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особу,</w:t>
      </w:r>
      <w:r w:rsidRPr="00F90F2D">
        <w:rPr>
          <w:sz w:val="28"/>
        </w:rPr>
        <w:t xml:space="preserve"> </w:t>
      </w:r>
      <w:r w:rsidRPr="00F90F2D">
        <w:rPr>
          <w:sz w:val="28"/>
        </w:rPr>
        <w:t>яка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має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право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здійснювати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врегулювання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простроченої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заборгованості.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7.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Національному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банку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України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протягом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трьох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місяців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набрання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чинності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Законом: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привести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свої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нормативно-правові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відповідність</w:t>
      </w:r>
      <w:r w:rsidRPr="00F90F2D">
        <w:rPr>
          <w:sz w:val="28"/>
        </w:rPr>
        <w:t xml:space="preserve"> </w:t>
      </w:r>
      <w:r w:rsidRPr="00F90F2D">
        <w:rPr>
          <w:sz w:val="28"/>
        </w:rPr>
        <w:t>із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цим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Законом;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забезпечити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прийняття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нормативно-правових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актів,</w:t>
      </w:r>
      <w:r w:rsidRPr="00F90F2D">
        <w:rPr>
          <w:sz w:val="28"/>
        </w:rPr>
        <w:t xml:space="preserve"> </w:t>
      </w:r>
      <w:r w:rsidRPr="00F90F2D">
        <w:rPr>
          <w:sz w:val="28"/>
        </w:rPr>
        <w:t>необхідних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реалізації</w:t>
      </w:r>
      <w:r w:rsidRPr="00F90F2D">
        <w:rPr>
          <w:sz w:val="28"/>
        </w:rPr>
        <w:t xml:space="preserve"> </w:t>
      </w:r>
      <w:r w:rsidRPr="00F90F2D">
        <w:rPr>
          <w:sz w:val="28"/>
        </w:rPr>
        <w:t>цього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Закону;</w:t>
      </w:r>
    </w:p>
    <w:p w:rsidR="00F90F2D" w:rsidRPr="00F90F2D" w:rsidRDefault="00F90F2D" w:rsidP="00F90F2D">
      <w:pPr>
        <w:ind w:firstLine="720"/>
        <w:jc w:val="both"/>
        <w:rPr>
          <w:sz w:val="28"/>
        </w:rPr>
      </w:pPr>
      <w:r w:rsidRPr="00F90F2D">
        <w:rPr>
          <w:sz w:val="28"/>
        </w:rPr>
        <w:t>вжити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заходів</w:t>
      </w:r>
      <w:r w:rsidRPr="00F90F2D">
        <w:rPr>
          <w:sz w:val="28"/>
        </w:rPr>
        <w:t xml:space="preserve"> </w:t>
      </w:r>
      <w:r w:rsidRPr="00F90F2D">
        <w:rPr>
          <w:sz w:val="28"/>
        </w:rPr>
        <w:t>для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створення</w:t>
      </w:r>
      <w:r w:rsidRPr="00F90F2D">
        <w:rPr>
          <w:sz w:val="28"/>
        </w:rPr>
        <w:t xml:space="preserve"> </w:t>
      </w:r>
      <w:r w:rsidRPr="00F90F2D">
        <w:rPr>
          <w:sz w:val="28"/>
        </w:rPr>
        <w:t>реєстру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колекторських</w:t>
      </w:r>
      <w:r w:rsidRPr="00F90F2D">
        <w:rPr>
          <w:sz w:val="28"/>
        </w:rPr>
        <w:t xml:space="preserve"> </w:t>
      </w:r>
      <w:r w:rsidRPr="00F90F2D">
        <w:rPr>
          <w:sz w:val="28"/>
        </w:rPr>
        <w:t>компаній</w:t>
      </w:r>
      <w:r w:rsidRPr="00F90F2D">
        <w:rPr>
          <w:sz w:val="28"/>
        </w:rPr>
        <w:t xml:space="preserve"> </w:t>
      </w:r>
      <w:r w:rsidRPr="00F90F2D">
        <w:rPr>
          <w:sz w:val="28"/>
        </w:rPr>
        <w:t>та</w:t>
      </w:r>
      <w:r w:rsidRPr="00F90F2D">
        <w:rPr>
          <w:sz w:val="28"/>
        </w:rPr>
        <w:t xml:space="preserve"> </w:t>
      </w:r>
      <w:r w:rsidRPr="00F90F2D">
        <w:rPr>
          <w:sz w:val="28"/>
        </w:rPr>
        <w:t>забезпечити</w:t>
      </w:r>
      <w:r w:rsidRPr="00F90F2D">
        <w:rPr>
          <w:sz w:val="28"/>
        </w:rPr>
        <w:t xml:space="preserve"> </w:t>
      </w:r>
      <w:r w:rsidRPr="00F90F2D">
        <w:rPr>
          <w:sz w:val="28"/>
        </w:rPr>
        <w:t>його</w:t>
      </w:r>
      <w:r w:rsidRPr="00F90F2D">
        <w:rPr>
          <w:sz w:val="28"/>
        </w:rPr>
        <w:t xml:space="preserve"> </w:t>
      </w:r>
      <w:r w:rsidRPr="00F90F2D">
        <w:rPr>
          <w:sz w:val="28"/>
        </w:rPr>
        <w:t>ведення.</w:t>
      </w:r>
    </w:p>
    <w:p w:rsidR="00595064" w:rsidRPr="00F90F2D" w:rsidRDefault="00595064" w:rsidP="00F90F2D">
      <w:pPr>
        <w:ind w:firstLine="720"/>
        <w:jc w:val="both"/>
        <w:rPr>
          <w:sz w:val="28"/>
        </w:rPr>
      </w:pPr>
    </w:p>
    <w:sectPr w:rsidR="00595064" w:rsidRPr="00F90F2D" w:rsidSect="00F90F2D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2D" w:rsidRDefault="00F90F2D">
      <w:r>
        <w:separator/>
      </w:r>
    </w:p>
  </w:endnote>
  <w:endnote w:type="continuationSeparator" w:id="0">
    <w:p w:rsidR="00F90F2D" w:rsidRDefault="00F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2D" w:rsidRDefault="00F90F2D" w:rsidP="002340E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F90F2D" w:rsidRDefault="00F90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2D" w:rsidRDefault="00F90F2D" w:rsidP="002340E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B45560">
      <w:rPr>
        <w:rStyle w:val="aa"/>
        <w:noProof/>
      </w:rPr>
      <w:t>9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F90F2D" w:rsidRDefault="00F90F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2D" w:rsidRDefault="00F90F2D">
      <w:r>
        <w:separator/>
      </w:r>
    </w:p>
  </w:footnote>
  <w:footnote w:type="continuationSeparator" w:id="0">
    <w:p w:rsidR="00F90F2D" w:rsidRDefault="00F9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F2D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61593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45560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90F2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A9082"/>
  <w15:chartTrackingRefBased/>
  <w15:docId w15:val="{7E62F12D-CF53-4432-9B2D-576AB9B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F90F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F90F2D"/>
    <w:rPr>
      <w:sz w:val="28"/>
    </w:rPr>
  </w:style>
  <w:style w:type="character" w:styleId="aa">
    <w:name w:val="page number"/>
    <w:basedOn w:val="a1"/>
    <w:rsid w:val="00F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55</TotalTime>
  <Pages>29</Pages>
  <Words>9189</Words>
  <Characters>64143</Characters>
  <Application>Microsoft Office Word</Application>
  <DocSecurity>0</DocSecurity>
  <Lines>1210</Lines>
  <Paragraphs>333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72999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2021-03-19T13:15:00Z</dcterms:created>
  <dcterms:modified xsi:type="dcterms:W3CDTF">2021-03-19T14:10:00Z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