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99C" w:rsidRPr="00E7794C" w:rsidRDefault="004C099C" w:rsidP="000C7D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0"/>
          <w:lang w:val="uk-UA" w:eastAsia="ru-RU"/>
        </w:rPr>
      </w:pPr>
    </w:p>
    <w:p w:rsidR="004C099C" w:rsidRPr="00E7794C" w:rsidRDefault="004C099C" w:rsidP="000C7D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0"/>
          <w:lang w:val="uk-UA" w:eastAsia="ru-RU"/>
        </w:rPr>
      </w:pPr>
    </w:p>
    <w:p w:rsidR="004C099C" w:rsidRPr="00E7794C" w:rsidRDefault="004C099C" w:rsidP="004C099C">
      <w:pPr>
        <w:spacing w:after="0" w:line="240" w:lineRule="auto"/>
        <w:jc w:val="center"/>
        <w:rPr>
          <w:b/>
          <w:szCs w:val="28"/>
          <w:lang w:val="uk-UA"/>
        </w:rPr>
      </w:pPr>
      <w:bookmarkStart w:id="0" w:name="_GoBack"/>
      <w:bookmarkEnd w:id="0"/>
    </w:p>
    <w:p w:rsidR="004C099C" w:rsidRPr="00E7794C" w:rsidRDefault="004C099C" w:rsidP="004C099C">
      <w:pPr>
        <w:spacing w:after="0" w:line="240" w:lineRule="auto"/>
        <w:jc w:val="center"/>
        <w:rPr>
          <w:b/>
          <w:szCs w:val="28"/>
          <w:lang w:val="uk-UA"/>
        </w:rPr>
      </w:pPr>
    </w:p>
    <w:p w:rsidR="004C099C" w:rsidRPr="00E7794C" w:rsidRDefault="004C099C" w:rsidP="004C099C">
      <w:pPr>
        <w:spacing w:after="0" w:line="240" w:lineRule="auto"/>
        <w:jc w:val="center"/>
        <w:rPr>
          <w:b/>
          <w:szCs w:val="28"/>
          <w:lang w:val="uk-UA"/>
        </w:rPr>
      </w:pPr>
    </w:p>
    <w:p w:rsidR="00972EEB" w:rsidRPr="00E7794C" w:rsidRDefault="00972EEB" w:rsidP="004C099C">
      <w:pPr>
        <w:spacing w:after="0" w:line="240" w:lineRule="auto"/>
        <w:jc w:val="center"/>
        <w:rPr>
          <w:b/>
          <w:szCs w:val="28"/>
          <w:lang w:val="uk-UA"/>
        </w:rPr>
      </w:pPr>
    </w:p>
    <w:p w:rsidR="00972EEB" w:rsidRPr="00E7794C" w:rsidRDefault="00E7794C" w:rsidP="00E7794C">
      <w:pPr>
        <w:tabs>
          <w:tab w:val="left" w:pos="7425"/>
        </w:tabs>
        <w:spacing w:after="0" w:line="240" w:lineRule="auto"/>
        <w:rPr>
          <w:b/>
          <w:szCs w:val="28"/>
          <w:lang w:val="uk-UA"/>
        </w:rPr>
      </w:pPr>
      <w:r>
        <w:rPr>
          <w:b/>
          <w:szCs w:val="28"/>
          <w:lang w:val="uk-UA"/>
        </w:rPr>
        <w:tab/>
      </w:r>
    </w:p>
    <w:p w:rsidR="004C099C" w:rsidRPr="00E7794C" w:rsidRDefault="004C099C" w:rsidP="004C099C">
      <w:pPr>
        <w:spacing w:after="0" w:line="240" w:lineRule="auto"/>
        <w:jc w:val="center"/>
        <w:rPr>
          <w:b/>
          <w:szCs w:val="28"/>
          <w:lang w:val="uk-UA"/>
        </w:rPr>
      </w:pPr>
    </w:p>
    <w:p w:rsidR="004C099C" w:rsidRPr="00E7794C" w:rsidRDefault="004C099C" w:rsidP="004C099C">
      <w:pPr>
        <w:spacing w:after="0" w:line="240" w:lineRule="auto"/>
        <w:jc w:val="center"/>
        <w:rPr>
          <w:b/>
          <w:szCs w:val="28"/>
          <w:lang w:val="uk-UA"/>
        </w:rPr>
      </w:pPr>
    </w:p>
    <w:p w:rsidR="004C099C" w:rsidRPr="00E7794C" w:rsidRDefault="004C099C" w:rsidP="00A70000">
      <w:pPr>
        <w:spacing w:after="0" w:line="240" w:lineRule="auto"/>
        <w:jc w:val="center"/>
        <w:rPr>
          <w:b/>
          <w:szCs w:val="28"/>
          <w:lang w:val="uk-UA"/>
        </w:rPr>
      </w:pPr>
      <w:r w:rsidRPr="00E7794C">
        <w:rPr>
          <w:b/>
          <w:szCs w:val="28"/>
          <w:lang w:val="uk-UA"/>
        </w:rPr>
        <w:t>ВИСНОВОК</w:t>
      </w:r>
    </w:p>
    <w:p w:rsidR="00A70000" w:rsidRPr="00E7794C" w:rsidRDefault="004C099C" w:rsidP="00A70000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 w:rsidRPr="00E7794C">
        <w:rPr>
          <w:sz w:val="28"/>
          <w:szCs w:val="28"/>
        </w:rPr>
        <w:t xml:space="preserve">на проект Закону України </w:t>
      </w:r>
      <w:r w:rsidR="00A70000" w:rsidRPr="00E7794C">
        <w:rPr>
          <w:sz w:val="28"/>
          <w:szCs w:val="28"/>
        </w:rPr>
        <w:t xml:space="preserve">«Про внесення змін до Закону України </w:t>
      </w:r>
    </w:p>
    <w:p w:rsidR="00A70000" w:rsidRPr="00E7794C" w:rsidRDefault="00A70000" w:rsidP="00A70000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 w:rsidRPr="00E7794C">
        <w:rPr>
          <w:sz w:val="28"/>
          <w:szCs w:val="28"/>
        </w:rPr>
        <w:t xml:space="preserve">«Про Конституційний Суд України» (щодо порядку розгляду </w:t>
      </w:r>
    </w:p>
    <w:p w:rsidR="00A70000" w:rsidRPr="00E7794C" w:rsidRDefault="00A70000" w:rsidP="00A70000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 w:rsidRPr="00E7794C">
        <w:rPr>
          <w:sz w:val="28"/>
          <w:szCs w:val="28"/>
        </w:rPr>
        <w:t>справ Конституційним Судом України)»</w:t>
      </w:r>
    </w:p>
    <w:p w:rsidR="004C099C" w:rsidRPr="00E7794C" w:rsidRDefault="004C099C" w:rsidP="004C099C">
      <w:pPr>
        <w:spacing w:after="0" w:line="240" w:lineRule="auto"/>
        <w:ind w:firstLine="720"/>
        <w:jc w:val="center"/>
        <w:rPr>
          <w:b/>
          <w:color w:val="000000"/>
          <w:szCs w:val="28"/>
          <w:lang w:val="uk-UA"/>
        </w:rPr>
      </w:pPr>
    </w:p>
    <w:p w:rsidR="00A36F68" w:rsidRPr="00E7794C" w:rsidRDefault="004C099C" w:rsidP="00BD6604">
      <w:pPr>
        <w:pStyle w:val="3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E7794C">
        <w:rPr>
          <w:b w:val="0"/>
          <w:sz w:val="28"/>
          <w:szCs w:val="28"/>
        </w:rPr>
        <w:t xml:space="preserve">У Головному управлінні розглянуто поданий законопроект, </w:t>
      </w:r>
      <w:r w:rsidR="00F528FA" w:rsidRPr="00E7794C">
        <w:rPr>
          <w:b w:val="0"/>
          <w:sz w:val="28"/>
          <w:szCs w:val="28"/>
        </w:rPr>
        <w:t xml:space="preserve">в якому </w:t>
      </w:r>
      <w:r w:rsidR="008C60CA" w:rsidRPr="00E7794C">
        <w:rPr>
          <w:b w:val="0"/>
          <w:sz w:val="28"/>
          <w:szCs w:val="28"/>
        </w:rPr>
        <w:t xml:space="preserve">передбачається </w:t>
      </w:r>
      <w:r w:rsidR="00841792" w:rsidRPr="00E7794C">
        <w:rPr>
          <w:b w:val="0"/>
          <w:sz w:val="28"/>
          <w:szCs w:val="28"/>
        </w:rPr>
        <w:t>внесення змін до Закону України</w:t>
      </w:r>
      <w:r w:rsidR="0095339F" w:rsidRPr="00E7794C">
        <w:rPr>
          <w:b w:val="0"/>
          <w:sz w:val="28"/>
          <w:szCs w:val="28"/>
        </w:rPr>
        <w:t xml:space="preserve"> </w:t>
      </w:r>
      <w:r w:rsidR="00841792" w:rsidRPr="00E7794C">
        <w:rPr>
          <w:b w:val="0"/>
          <w:sz w:val="28"/>
          <w:szCs w:val="28"/>
        </w:rPr>
        <w:t xml:space="preserve">«Про Конституційний Суд України» (далі – Закон), де </w:t>
      </w:r>
      <w:r w:rsidR="008C60CA" w:rsidRPr="00E7794C">
        <w:rPr>
          <w:b w:val="0"/>
          <w:sz w:val="28"/>
          <w:szCs w:val="28"/>
        </w:rPr>
        <w:t>встанов</w:t>
      </w:r>
      <w:r w:rsidR="00BD6604" w:rsidRPr="00E7794C">
        <w:rPr>
          <w:b w:val="0"/>
          <w:sz w:val="28"/>
          <w:szCs w:val="28"/>
        </w:rPr>
        <w:t>люється</w:t>
      </w:r>
      <w:r w:rsidR="008C60CA" w:rsidRPr="00E7794C">
        <w:rPr>
          <w:b w:val="0"/>
          <w:sz w:val="28"/>
          <w:szCs w:val="28"/>
        </w:rPr>
        <w:t>, що Регламент Конституційного Суду</w:t>
      </w:r>
      <w:r w:rsidR="00042635" w:rsidRPr="00E7794C">
        <w:rPr>
          <w:b w:val="0"/>
          <w:sz w:val="28"/>
          <w:szCs w:val="28"/>
        </w:rPr>
        <w:t xml:space="preserve"> України</w:t>
      </w:r>
      <w:r w:rsidR="008C60CA" w:rsidRPr="00E7794C">
        <w:rPr>
          <w:b w:val="0"/>
          <w:sz w:val="28"/>
          <w:szCs w:val="28"/>
        </w:rPr>
        <w:t xml:space="preserve"> </w:t>
      </w:r>
      <w:r w:rsidR="00841792" w:rsidRPr="00E7794C">
        <w:rPr>
          <w:b w:val="0"/>
          <w:sz w:val="28"/>
          <w:szCs w:val="28"/>
        </w:rPr>
        <w:t xml:space="preserve">(далі – КСУ) </w:t>
      </w:r>
      <w:r w:rsidR="008C60CA" w:rsidRPr="00E7794C">
        <w:rPr>
          <w:b w:val="0"/>
          <w:sz w:val="28"/>
          <w:szCs w:val="28"/>
        </w:rPr>
        <w:t xml:space="preserve">затверджуватиметься законом; для ухвалення рішень і висновків Великою палатою КСУ </w:t>
      </w:r>
      <w:proofErr w:type="spellStart"/>
      <w:r w:rsidR="008C60CA" w:rsidRPr="00E7794C">
        <w:rPr>
          <w:b w:val="0"/>
          <w:sz w:val="28"/>
          <w:szCs w:val="28"/>
        </w:rPr>
        <w:t>вимагатиметься</w:t>
      </w:r>
      <w:proofErr w:type="spellEnd"/>
      <w:r w:rsidR="008C60CA" w:rsidRPr="00E7794C">
        <w:rPr>
          <w:b w:val="0"/>
          <w:sz w:val="28"/>
          <w:szCs w:val="28"/>
        </w:rPr>
        <w:t xml:space="preserve"> щонайменше 12 голосів суддів КСУ (що складає 2/3 від конституційного складу КСУ) замість 10 голосів (як це наразі передбачено чинним Законом); </w:t>
      </w:r>
      <w:r w:rsidR="00BD6604" w:rsidRPr="00E7794C">
        <w:rPr>
          <w:b w:val="0"/>
          <w:sz w:val="28"/>
          <w:szCs w:val="28"/>
        </w:rPr>
        <w:t xml:space="preserve">рішення вважається ухваленим </w:t>
      </w:r>
      <w:r w:rsidR="008C60CA" w:rsidRPr="00E7794C">
        <w:rPr>
          <w:b w:val="0"/>
          <w:sz w:val="28"/>
          <w:szCs w:val="28"/>
        </w:rPr>
        <w:t xml:space="preserve">Сенатом </w:t>
      </w:r>
      <w:r w:rsidR="00BD6604" w:rsidRPr="00E7794C">
        <w:rPr>
          <w:b w:val="0"/>
          <w:sz w:val="28"/>
          <w:szCs w:val="28"/>
        </w:rPr>
        <w:t>КСУ</w:t>
      </w:r>
      <w:r w:rsidR="008C60CA" w:rsidRPr="00E7794C">
        <w:rPr>
          <w:b w:val="0"/>
          <w:sz w:val="28"/>
          <w:szCs w:val="28"/>
        </w:rPr>
        <w:t xml:space="preserve"> у разі, якщо за нього проголосують шість суддів Конституційного Суду, які входять до складу Сенату, що також складає 2/3 від складу кожного з двох передбачених Законом Сенатів; передбачається можливість залучення до Сенату суддів з іншого Сенату, що дозволить забезпечити розгляд справи більш ефективно у разі, якщо у Суді на</w:t>
      </w:r>
      <w:r w:rsidR="00A36F68" w:rsidRPr="00E7794C">
        <w:rPr>
          <w:b w:val="0"/>
          <w:sz w:val="28"/>
          <w:szCs w:val="28"/>
        </w:rPr>
        <w:t>явні вакантні посади суддів КСУ (п. 3 пояснювальної записки). Прогнозується, що</w:t>
      </w:r>
      <w:r w:rsidR="00042635" w:rsidRPr="00E7794C">
        <w:rPr>
          <w:b w:val="0"/>
          <w:sz w:val="28"/>
          <w:szCs w:val="28"/>
        </w:rPr>
        <w:t xml:space="preserve"> </w:t>
      </w:r>
      <w:r w:rsidR="00F80E0E" w:rsidRPr="00E7794C">
        <w:rPr>
          <w:b w:val="0"/>
          <w:sz w:val="28"/>
          <w:szCs w:val="28"/>
        </w:rPr>
        <w:t xml:space="preserve">ухвалення </w:t>
      </w:r>
      <w:r w:rsidR="00A36F68" w:rsidRPr="00E7794C">
        <w:rPr>
          <w:b w:val="0"/>
          <w:sz w:val="28"/>
          <w:szCs w:val="28"/>
        </w:rPr>
        <w:t xml:space="preserve">поданого законопроекту «сприятиме підвищенню всебічності, гласності і належного врахування Судом всіх важливих обставин при розгляді справ Великою палатою і Сенатами КСУ. Це, в свою чергу, буде забезпечувати той рівень якості, обґрунтованості, зваженості і вмотивованості рішень КСУ, який </w:t>
      </w:r>
      <w:r w:rsidR="00A36F68" w:rsidRPr="00E7794C">
        <w:rPr>
          <w:b w:val="0"/>
          <w:sz w:val="28"/>
          <w:szCs w:val="28"/>
        </w:rPr>
        <w:lastRenderedPageBreak/>
        <w:t xml:space="preserve">вимагається виходячи із суспільної важливості питань, які вирішуються Судом» (п. 7 пояснювальної записки). </w:t>
      </w:r>
    </w:p>
    <w:p w:rsidR="00495453" w:rsidRPr="00E7794C" w:rsidRDefault="00495453" w:rsidP="00BD6604">
      <w:pPr>
        <w:spacing w:after="0" w:line="240" w:lineRule="auto"/>
        <w:ind w:firstLine="709"/>
        <w:jc w:val="both"/>
        <w:rPr>
          <w:szCs w:val="28"/>
          <w:lang w:val="uk-UA"/>
        </w:rPr>
      </w:pPr>
      <w:r w:rsidRPr="00E7794C">
        <w:rPr>
          <w:szCs w:val="28"/>
          <w:lang w:val="uk-UA"/>
        </w:rPr>
        <w:t>За результатами розгляду законопроекту</w:t>
      </w:r>
      <w:r w:rsidR="00F528FA" w:rsidRPr="00E7794C">
        <w:rPr>
          <w:szCs w:val="28"/>
          <w:lang w:val="uk-UA"/>
        </w:rPr>
        <w:t xml:space="preserve"> </w:t>
      </w:r>
      <w:r w:rsidRPr="00E7794C">
        <w:rPr>
          <w:szCs w:val="28"/>
          <w:lang w:val="uk-UA"/>
        </w:rPr>
        <w:t>Головне управління вважає за необхідне висловити наступні міркування та зауваження</w:t>
      </w:r>
      <w:r w:rsidR="00BD6604" w:rsidRPr="00E7794C">
        <w:rPr>
          <w:szCs w:val="28"/>
          <w:lang w:val="uk-UA"/>
        </w:rPr>
        <w:t>.</w:t>
      </w:r>
    </w:p>
    <w:p w:rsidR="002F677E" w:rsidRPr="00E7794C" w:rsidRDefault="00495453" w:rsidP="00BD6604">
      <w:pPr>
        <w:pStyle w:val="a4"/>
        <w:spacing w:after="0" w:line="240" w:lineRule="auto"/>
        <w:ind w:left="0" w:firstLine="709"/>
        <w:jc w:val="both"/>
        <w:rPr>
          <w:szCs w:val="28"/>
          <w:lang w:val="uk-UA"/>
        </w:rPr>
      </w:pPr>
      <w:r w:rsidRPr="00E7794C">
        <w:rPr>
          <w:b/>
          <w:szCs w:val="28"/>
          <w:lang w:val="uk-UA"/>
        </w:rPr>
        <w:t xml:space="preserve">1. </w:t>
      </w:r>
      <w:r w:rsidR="002F677E" w:rsidRPr="00E7794C">
        <w:rPr>
          <w:szCs w:val="28"/>
          <w:lang w:val="uk-UA"/>
        </w:rPr>
        <w:t>Змінами до ч. 2 ст. 3 Закону передбач</w:t>
      </w:r>
      <w:r w:rsidR="00BD6604" w:rsidRPr="00E7794C">
        <w:rPr>
          <w:szCs w:val="28"/>
          <w:lang w:val="uk-UA"/>
        </w:rPr>
        <w:t>ено</w:t>
      </w:r>
      <w:r w:rsidR="002F677E" w:rsidRPr="00E7794C">
        <w:rPr>
          <w:szCs w:val="28"/>
          <w:lang w:val="uk-UA"/>
        </w:rPr>
        <w:t xml:space="preserve">, що </w:t>
      </w:r>
      <w:r w:rsidR="001E68D4" w:rsidRPr="00E7794C">
        <w:rPr>
          <w:szCs w:val="28"/>
          <w:lang w:val="uk-UA"/>
        </w:rPr>
        <w:t>«</w:t>
      </w:r>
      <w:r w:rsidR="00BD6604" w:rsidRPr="00E7794C">
        <w:rPr>
          <w:szCs w:val="28"/>
          <w:lang w:val="uk-UA"/>
        </w:rPr>
        <w:t>о</w:t>
      </w:r>
      <w:r w:rsidR="002F677E" w:rsidRPr="00E7794C">
        <w:rPr>
          <w:bCs/>
          <w:szCs w:val="28"/>
          <w:lang w:val="uk-UA"/>
        </w:rPr>
        <w:t xml:space="preserve">рганізацію внутрішньої роботи Суду та відповідні правила процедури розгляду ним справ установлює згідно з цим Законом Регламент Конституційного Суду України (далі – Регламент), </w:t>
      </w:r>
      <w:r w:rsidR="002F677E" w:rsidRPr="00E7794C">
        <w:rPr>
          <w:i/>
          <w:szCs w:val="28"/>
          <w:u w:val="single"/>
          <w:lang w:val="uk-UA"/>
        </w:rPr>
        <w:t>який затверджується законом</w:t>
      </w:r>
      <w:r w:rsidR="00841792" w:rsidRPr="00E7794C">
        <w:rPr>
          <w:i/>
          <w:szCs w:val="28"/>
          <w:u w:val="single"/>
          <w:lang w:val="uk-UA"/>
        </w:rPr>
        <w:t>»</w:t>
      </w:r>
      <w:r w:rsidR="007E5E28" w:rsidRPr="00E7794C">
        <w:rPr>
          <w:bCs/>
          <w:szCs w:val="28"/>
          <w:lang w:val="uk-UA"/>
        </w:rPr>
        <w:t>,</w:t>
      </w:r>
      <w:r w:rsidR="00841792" w:rsidRPr="00E7794C">
        <w:rPr>
          <w:bCs/>
          <w:szCs w:val="28"/>
          <w:lang w:val="uk-UA"/>
        </w:rPr>
        <w:t xml:space="preserve"> тоді як </w:t>
      </w:r>
      <w:r w:rsidR="007E5E28" w:rsidRPr="00E7794C">
        <w:rPr>
          <w:bCs/>
          <w:szCs w:val="28"/>
          <w:lang w:val="uk-UA"/>
        </w:rPr>
        <w:t xml:space="preserve">за чинними нормами Закону </w:t>
      </w:r>
      <w:r w:rsidR="00BD6604" w:rsidRPr="00E7794C">
        <w:rPr>
          <w:bCs/>
          <w:szCs w:val="28"/>
          <w:lang w:val="uk-UA"/>
        </w:rPr>
        <w:t xml:space="preserve">такий Регламент </w:t>
      </w:r>
      <w:r w:rsidR="007E5E28" w:rsidRPr="00E7794C">
        <w:rPr>
          <w:bCs/>
          <w:szCs w:val="28"/>
          <w:lang w:val="uk-UA"/>
        </w:rPr>
        <w:t>затверджується</w:t>
      </w:r>
      <w:r w:rsidR="002F677E" w:rsidRPr="00E7794C">
        <w:rPr>
          <w:bCs/>
          <w:szCs w:val="28"/>
          <w:lang w:val="uk-UA"/>
        </w:rPr>
        <w:t xml:space="preserve"> </w:t>
      </w:r>
      <w:r w:rsidR="007E5E28" w:rsidRPr="00E7794C">
        <w:rPr>
          <w:bCs/>
          <w:szCs w:val="28"/>
          <w:lang w:val="uk-UA"/>
        </w:rPr>
        <w:t>на спеціальному пленарном</w:t>
      </w:r>
      <w:r w:rsidR="00841792" w:rsidRPr="00E7794C">
        <w:rPr>
          <w:bCs/>
          <w:szCs w:val="28"/>
          <w:lang w:val="uk-UA"/>
        </w:rPr>
        <w:t>у засіданні КСУ</w:t>
      </w:r>
      <w:r w:rsidR="007E5E28" w:rsidRPr="00E7794C">
        <w:rPr>
          <w:bCs/>
          <w:szCs w:val="28"/>
          <w:lang w:val="uk-UA"/>
        </w:rPr>
        <w:t xml:space="preserve"> </w:t>
      </w:r>
      <w:r w:rsidR="001E68D4" w:rsidRPr="00E7794C">
        <w:rPr>
          <w:bCs/>
          <w:szCs w:val="28"/>
          <w:lang w:val="uk-UA"/>
        </w:rPr>
        <w:br/>
      </w:r>
      <w:r w:rsidR="007E5E28" w:rsidRPr="00E7794C">
        <w:rPr>
          <w:bCs/>
          <w:szCs w:val="28"/>
          <w:lang w:val="uk-UA"/>
        </w:rPr>
        <w:t>(п.</w:t>
      </w:r>
      <w:r w:rsidR="00D7739E" w:rsidRPr="00E7794C">
        <w:rPr>
          <w:bCs/>
          <w:szCs w:val="28"/>
          <w:lang w:val="uk-UA"/>
        </w:rPr>
        <w:t xml:space="preserve"> </w:t>
      </w:r>
      <w:r w:rsidR="007E5E28" w:rsidRPr="00E7794C">
        <w:rPr>
          <w:bCs/>
          <w:szCs w:val="28"/>
          <w:lang w:val="uk-UA"/>
        </w:rPr>
        <w:t>6 ч.</w:t>
      </w:r>
      <w:r w:rsidR="001B71EF" w:rsidRPr="00E7794C">
        <w:rPr>
          <w:bCs/>
          <w:szCs w:val="28"/>
          <w:lang w:val="uk-UA"/>
        </w:rPr>
        <w:t xml:space="preserve"> </w:t>
      </w:r>
      <w:r w:rsidR="007E5E28" w:rsidRPr="00E7794C">
        <w:rPr>
          <w:bCs/>
          <w:szCs w:val="28"/>
          <w:lang w:val="uk-UA"/>
        </w:rPr>
        <w:t>2 ст.</w:t>
      </w:r>
      <w:r w:rsidR="001B71EF" w:rsidRPr="00E7794C">
        <w:rPr>
          <w:bCs/>
          <w:szCs w:val="28"/>
          <w:lang w:val="uk-UA"/>
        </w:rPr>
        <w:t xml:space="preserve"> </w:t>
      </w:r>
      <w:r w:rsidR="007E5E28" w:rsidRPr="00E7794C">
        <w:rPr>
          <w:bCs/>
          <w:szCs w:val="28"/>
          <w:lang w:val="uk-UA"/>
        </w:rPr>
        <w:t>39).</w:t>
      </w:r>
    </w:p>
    <w:p w:rsidR="0093530C" w:rsidRPr="00E7794C" w:rsidRDefault="00E968E1" w:rsidP="00BD6604">
      <w:pPr>
        <w:spacing w:after="0" w:line="240" w:lineRule="auto"/>
        <w:ind w:firstLine="709"/>
        <w:jc w:val="both"/>
        <w:rPr>
          <w:szCs w:val="28"/>
          <w:lang w:val="uk-UA"/>
        </w:rPr>
      </w:pPr>
      <w:r w:rsidRPr="00E7794C">
        <w:rPr>
          <w:szCs w:val="28"/>
          <w:lang w:val="uk-UA"/>
        </w:rPr>
        <w:t xml:space="preserve">1.1. </w:t>
      </w:r>
      <w:r w:rsidR="00520A3F" w:rsidRPr="00E7794C">
        <w:rPr>
          <w:szCs w:val="28"/>
          <w:lang w:val="uk-UA"/>
        </w:rPr>
        <w:t xml:space="preserve">При розгляді цього питання Головне управління виходить, насамперед, з того, що </w:t>
      </w:r>
      <w:r w:rsidR="00A53D12" w:rsidRPr="00E7794C">
        <w:rPr>
          <w:szCs w:val="28"/>
          <w:lang w:val="uk-UA"/>
        </w:rPr>
        <w:t>з</w:t>
      </w:r>
      <w:r w:rsidR="00495453" w:rsidRPr="00E7794C">
        <w:rPr>
          <w:szCs w:val="28"/>
          <w:lang w:val="uk-UA"/>
        </w:rPr>
        <w:t>гідно з</w:t>
      </w:r>
      <w:r w:rsidR="00BD6604" w:rsidRPr="00E7794C">
        <w:rPr>
          <w:szCs w:val="28"/>
          <w:lang w:val="uk-UA"/>
        </w:rPr>
        <w:t>і</w:t>
      </w:r>
      <w:r w:rsidR="00495453" w:rsidRPr="00E7794C">
        <w:rPr>
          <w:szCs w:val="28"/>
          <w:lang w:val="uk-UA"/>
        </w:rPr>
        <w:t xml:space="preserve"> </w:t>
      </w:r>
      <w:r w:rsidR="00A36F68" w:rsidRPr="00E7794C">
        <w:rPr>
          <w:szCs w:val="28"/>
          <w:lang w:val="uk-UA"/>
        </w:rPr>
        <w:t>ст.</w:t>
      </w:r>
      <w:r w:rsidR="00495453" w:rsidRPr="00E7794C">
        <w:rPr>
          <w:szCs w:val="28"/>
          <w:lang w:val="uk-UA"/>
        </w:rPr>
        <w:t xml:space="preserve"> 153 Конституції України «порядок організації та діяльності Конституційного Суду України, статус суддів Суду, підстави і порядок звернення до Суду, </w:t>
      </w:r>
      <w:r w:rsidR="00495453" w:rsidRPr="00E7794C">
        <w:rPr>
          <w:i/>
          <w:szCs w:val="28"/>
          <w:lang w:val="uk-UA"/>
        </w:rPr>
        <w:t>процедура розгляду ним справ</w:t>
      </w:r>
      <w:r w:rsidR="00495453" w:rsidRPr="00E7794C">
        <w:rPr>
          <w:szCs w:val="28"/>
          <w:lang w:val="uk-UA"/>
        </w:rPr>
        <w:t xml:space="preserve"> і виконання рішень Суду </w:t>
      </w:r>
      <w:r w:rsidR="00495453" w:rsidRPr="00E7794C">
        <w:rPr>
          <w:i/>
          <w:szCs w:val="28"/>
          <w:lang w:val="uk-UA"/>
        </w:rPr>
        <w:t xml:space="preserve">визначаються </w:t>
      </w:r>
      <w:r w:rsidR="00495453" w:rsidRPr="00E7794C">
        <w:rPr>
          <w:i/>
          <w:szCs w:val="28"/>
          <w:u w:val="single"/>
          <w:lang w:val="uk-UA"/>
        </w:rPr>
        <w:t>Конституцією України та законом</w:t>
      </w:r>
      <w:r w:rsidR="00495453" w:rsidRPr="00E7794C">
        <w:rPr>
          <w:szCs w:val="28"/>
          <w:lang w:val="uk-UA"/>
        </w:rPr>
        <w:t xml:space="preserve">». </w:t>
      </w:r>
      <w:r w:rsidR="0093530C" w:rsidRPr="00E7794C">
        <w:rPr>
          <w:szCs w:val="28"/>
          <w:lang w:val="uk-UA"/>
        </w:rPr>
        <w:t xml:space="preserve">Крім того, варто враховувати, що </w:t>
      </w:r>
      <w:r w:rsidR="00224AA1" w:rsidRPr="00E7794C">
        <w:rPr>
          <w:szCs w:val="28"/>
          <w:lang w:val="uk-UA"/>
        </w:rPr>
        <w:t xml:space="preserve">в системі законодавства України закріпився підхід, за яким </w:t>
      </w:r>
      <w:r w:rsidR="00224AA1" w:rsidRPr="00E7794C">
        <w:rPr>
          <w:rFonts w:eastAsiaTheme="minorHAnsi"/>
          <w:szCs w:val="28"/>
          <w:lang w:val="uk-UA"/>
        </w:rPr>
        <w:t>особлива процесуальна діяльність судових та правоохоронних органів</w:t>
      </w:r>
      <w:r w:rsidR="00224AA1" w:rsidRPr="00E7794C">
        <w:rPr>
          <w:szCs w:val="28"/>
          <w:lang w:val="uk-UA"/>
        </w:rPr>
        <w:t xml:space="preserve"> при розгляді ними справ</w:t>
      </w:r>
      <w:r w:rsidR="0074498C" w:rsidRPr="00E7794C">
        <w:rPr>
          <w:szCs w:val="28"/>
          <w:lang w:val="uk-UA"/>
        </w:rPr>
        <w:t xml:space="preserve"> їх компетенції</w:t>
      </w:r>
      <w:r w:rsidR="00224AA1" w:rsidRPr="00E7794C">
        <w:rPr>
          <w:szCs w:val="28"/>
          <w:lang w:val="uk-UA"/>
        </w:rPr>
        <w:t xml:space="preserve"> регулюється спеціальними процесуальними законодавчими актами </w:t>
      </w:r>
      <w:r w:rsidR="0074498C" w:rsidRPr="00E7794C">
        <w:rPr>
          <w:szCs w:val="28"/>
          <w:lang w:val="uk-UA"/>
        </w:rPr>
        <w:t xml:space="preserve">(наприклад, </w:t>
      </w:r>
      <w:r w:rsidR="00042635" w:rsidRPr="00E7794C">
        <w:rPr>
          <w:szCs w:val="28"/>
          <w:lang w:val="uk-UA"/>
        </w:rPr>
        <w:t>Кримінальним процесуальним кодексом України, Цивільним процесуальним кодексом України, Кодексом адміністративного судочинства України</w:t>
      </w:r>
      <w:r w:rsidR="0074498C" w:rsidRPr="00E7794C">
        <w:rPr>
          <w:szCs w:val="28"/>
          <w:lang w:val="uk-UA"/>
        </w:rPr>
        <w:t>). Регулювання процедури розгляду судових справ на рівні закону забезпечує об’єктивність та неупередженість висновків судових органів</w:t>
      </w:r>
      <w:r w:rsidR="0093530C" w:rsidRPr="00E7794C">
        <w:rPr>
          <w:szCs w:val="28"/>
          <w:lang w:val="uk-UA"/>
        </w:rPr>
        <w:t>, довіру до їх рішень, які приймаються від імені держави.</w:t>
      </w:r>
      <w:r w:rsidR="0074498C" w:rsidRPr="00E7794C">
        <w:rPr>
          <w:szCs w:val="28"/>
          <w:lang w:val="uk-UA"/>
        </w:rPr>
        <w:t xml:space="preserve"> </w:t>
      </w:r>
      <w:r w:rsidR="00823613" w:rsidRPr="00E7794C">
        <w:rPr>
          <w:szCs w:val="28"/>
          <w:lang w:val="uk-UA"/>
        </w:rPr>
        <w:t xml:space="preserve">Оскільки правові завдання КСУ та характер його діяльності </w:t>
      </w:r>
      <w:r w:rsidR="0074498C" w:rsidRPr="00E7794C">
        <w:rPr>
          <w:szCs w:val="28"/>
          <w:lang w:val="uk-UA"/>
        </w:rPr>
        <w:t>при вирішенні питань, віднесених до його компетенції</w:t>
      </w:r>
      <w:r w:rsidR="00823613" w:rsidRPr="00E7794C">
        <w:rPr>
          <w:szCs w:val="28"/>
          <w:lang w:val="uk-UA"/>
        </w:rPr>
        <w:t xml:space="preserve">, є значно подібними </w:t>
      </w:r>
      <w:r w:rsidR="00A1000F" w:rsidRPr="00E7794C">
        <w:rPr>
          <w:szCs w:val="28"/>
          <w:lang w:val="uk-UA"/>
        </w:rPr>
        <w:t>до судочинства</w:t>
      </w:r>
      <w:r w:rsidR="00823613" w:rsidRPr="00E7794C">
        <w:rPr>
          <w:szCs w:val="28"/>
          <w:lang w:val="uk-UA"/>
        </w:rPr>
        <w:t xml:space="preserve">, то </w:t>
      </w:r>
      <w:r w:rsidR="00042635" w:rsidRPr="00E7794C">
        <w:rPr>
          <w:szCs w:val="28"/>
          <w:lang w:val="uk-UA"/>
        </w:rPr>
        <w:t xml:space="preserve">Головне управління в цілому </w:t>
      </w:r>
      <w:r w:rsidR="00BD6604" w:rsidRPr="00E7794C">
        <w:rPr>
          <w:szCs w:val="28"/>
          <w:lang w:val="uk-UA"/>
        </w:rPr>
        <w:t xml:space="preserve">не заперечує </w:t>
      </w:r>
      <w:r w:rsidR="0093530C" w:rsidRPr="00E7794C">
        <w:rPr>
          <w:szCs w:val="28"/>
          <w:lang w:val="uk-UA"/>
        </w:rPr>
        <w:t>про</w:t>
      </w:r>
      <w:r w:rsidR="00BD6604" w:rsidRPr="00E7794C">
        <w:rPr>
          <w:szCs w:val="28"/>
          <w:lang w:val="uk-UA"/>
        </w:rPr>
        <w:t>ти</w:t>
      </w:r>
      <w:r w:rsidR="0093530C" w:rsidRPr="00E7794C">
        <w:rPr>
          <w:szCs w:val="28"/>
          <w:lang w:val="uk-UA"/>
        </w:rPr>
        <w:t xml:space="preserve"> т</w:t>
      </w:r>
      <w:r w:rsidR="00BD6604" w:rsidRPr="00E7794C">
        <w:rPr>
          <w:szCs w:val="28"/>
          <w:lang w:val="uk-UA"/>
        </w:rPr>
        <w:t>ого</w:t>
      </w:r>
      <w:r w:rsidR="0093530C" w:rsidRPr="00E7794C">
        <w:rPr>
          <w:szCs w:val="28"/>
          <w:lang w:val="uk-UA"/>
        </w:rPr>
        <w:t>, що</w:t>
      </w:r>
      <w:r w:rsidR="00BD6604" w:rsidRPr="00E7794C">
        <w:rPr>
          <w:szCs w:val="28"/>
          <w:lang w:val="uk-UA"/>
        </w:rPr>
        <w:t>б</w:t>
      </w:r>
      <w:r w:rsidR="0093530C" w:rsidRPr="00E7794C">
        <w:rPr>
          <w:szCs w:val="28"/>
          <w:lang w:val="uk-UA"/>
        </w:rPr>
        <w:t xml:space="preserve"> правила конституційного судочинства </w:t>
      </w:r>
      <w:r w:rsidR="0093530C" w:rsidRPr="00E7794C">
        <w:rPr>
          <w:rFonts w:eastAsiaTheme="minorHAnsi"/>
          <w:szCs w:val="28"/>
          <w:lang w:val="uk-UA"/>
        </w:rPr>
        <w:t xml:space="preserve"> бу</w:t>
      </w:r>
      <w:r w:rsidR="00BD6604" w:rsidRPr="00E7794C">
        <w:rPr>
          <w:rFonts w:eastAsiaTheme="minorHAnsi"/>
          <w:szCs w:val="28"/>
          <w:lang w:val="uk-UA"/>
        </w:rPr>
        <w:t>л</w:t>
      </w:r>
      <w:r w:rsidR="0093530C" w:rsidRPr="00E7794C">
        <w:rPr>
          <w:rFonts w:eastAsiaTheme="minorHAnsi"/>
          <w:szCs w:val="28"/>
          <w:lang w:val="uk-UA"/>
        </w:rPr>
        <w:t xml:space="preserve">и закріплені на законодавчому рівні. </w:t>
      </w:r>
      <w:r w:rsidR="003A3166" w:rsidRPr="00E7794C">
        <w:rPr>
          <w:rFonts w:eastAsiaTheme="minorHAnsi"/>
          <w:szCs w:val="28"/>
          <w:lang w:val="uk-UA"/>
        </w:rPr>
        <w:t>Н</w:t>
      </w:r>
      <w:r w:rsidR="00BD6604" w:rsidRPr="00E7794C">
        <w:rPr>
          <w:rFonts w:eastAsiaTheme="minorHAnsi"/>
          <w:szCs w:val="28"/>
          <w:lang w:val="uk-UA"/>
        </w:rPr>
        <w:t>а нашу думку</w:t>
      </w:r>
      <w:r w:rsidR="00726F36" w:rsidRPr="00E7794C">
        <w:rPr>
          <w:rFonts w:eastAsiaTheme="minorHAnsi"/>
          <w:szCs w:val="28"/>
          <w:lang w:val="uk-UA"/>
        </w:rPr>
        <w:t xml:space="preserve">, </w:t>
      </w:r>
      <w:r w:rsidR="00726F36" w:rsidRPr="00E7794C">
        <w:rPr>
          <w:szCs w:val="28"/>
          <w:lang w:val="uk-UA"/>
        </w:rPr>
        <w:t xml:space="preserve">необхідні </w:t>
      </w:r>
      <w:r w:rsidR="00164426" w:rsidRPr="00E7794C">
        <w:rPr>
          <w:szCs w:val="28"/>
          <w:lang w:val="uk-UA"/>
        </w:rPr>
        <w:t xml:space="preserve">процедурні правила розгляду конституційних проваджень </w:t>
      </w:r>
      <w:r w:rsidR="00726F36" w:rsidRPr="00E7794C">
        <w:rPr>
          <w:szCs w:val="28"/>
          <w:lang w:val="uk-UA"/>
        </w:rPr>
        <w:t xml:space="preserve">мають бути </w:t>
      </w:r>
      <w:r w:rsidR="00BD6604" w:rsidRPr="00E7794C">
        <w:rPr>
          <w:szCs w:val="28"/>
          <w:lang w:val="uk-UA"/>
        </w:rPr>
        <w:t xml:space="preserve">або </w:t>
      </w:r>
      <w:r w:rsidR="00726F36" w:rsidRPr="00E7794C">
        <w:rPr>
          <w:szCs w:val="28"/>
          <w:lang w:val="uk-UA"/>
        </w:rPr>
        <w:t>інкорпоровані до тексту самого Закону</w:t>
      </w:r>
      <w:r w:rsidR="00BD6604" w:rsidRPr="00E7794C">
        <w:rPr>
          <w:szCs w:val="28"/>
          <w:lang w:val="uk-UA"/>
        </w:rPr>
        <w:t>,</w:t>
      </w:r>
      <w:r w:rsidR="00726F36" w:rsidRPr="00E7794C">
        <w:rPr>
          <w:szCs w:val="28"/>
          <w:lang w:val="uk-UA"/>
        </w:rPr>
        <w:t xml:space="preserve"> або ж виписані в окремому законі, наприклад, про конституційне судочинство</w:t>
      </w:r>
      <w:r w:rsidR="00164426" w:rsidRPr="00E7794C">
        <w:rPr>
          <w:szCs w:val="28"/>
          <w:lang w:val="uk-UA"/>
        </w:rPr>
        <w:t>.</w:t>
      </w:r>
    </w:p>
    <w:p w:rsidR="005374AB" w:rsidRPr="00E7794C" w:rsidRDefault="00D44DC4" w:rsidP="007212BC">
      <w:pPr>
        <w:spacing w:after="0" w:line="240" w:lineRule="auto"/>
        <w:ind w:firstLine="709"/>
        <w:jc w:val="both"/>
        <w:rPr>
          <w:rFonts w:eastAsiaTheme="minorHAnsi"/>
          <w:szCs w:val="28"/>
          <w:lang w:val="uk-UA"/>
        </w:rPr>
      </w:pPr>
      <w:r w:rsidRPr="00E7794C">
        <w:rPr>
          <w:rFonts w:eastAsiaTheme="minorHAnsi"/>
          <w:szCs w:val="28"/>
          <w:lang w:val="uk-UA"/>
        </w:rPr>
        <w:t xml:space="preserve">Як зазначено вище, проектом пропонується встановити, що </w:t>
      </w:r>
      <w:r w:rsidRPr="00E7794C">
        <w:rPr>
          <w:szCs w:val="28"/>
          <w:lang w:val="uk-UA"/>
        </w:rPr>
        <w:t>«о</w:t>
      </w:r>
      <w:r w:rsidRPr="00E7794C">
        <w:rPr>
          <w:bCs/>
          <w:szCs w:val="28"/>
          <w:lang w:val="uk-UA"/>
        </w:rPr>
        <w:t xml:space="preserve">рганізацію внутрішньої роботи Суду та відповідні правила процедури розгляду ним справ установлює згідно з цим Законом </w:t>
      </w:r>
      <w:r w:rsidRPr="00E7794C">
        <w:rPr>
          <w:bCs/>
          <w:i/>
          <w:szCs w:val="28"/>
          <w:u w:val="single"/>
          <w:lang w:val="uk-UA"/>
        </w:rPr>
        <w:t>Регла</w:t>
      </w:r>
      <w:r w:rsidRPr="00E7794C">
        <w:rPr>
          <w:bCs/>
          <w:i/>
          <w:szCs w:val="28"/>
          <w:u w:val="single"/>
          <w:lang w:val="uk-UA"/>
        </w:rPr>
        <w:lastRenderedPageBreak/>
        <w:t xml:space="preserve">мент Конституційного Суду України, </w:t>
      </w:r>
      <w:r w:rsidRPr="00E7794C">
        <w:rPr>
          <w:i/>
          <w:szCs w:val="28"/>
          <w:u w:val="single"/>
          <w:lang w:val="uk-UA"/>
        </w:rPr>
        <w:t>який затверджується законом»</w:t>
      </w:r>
      <w:r w:rsidRPr="00E7794C">
        <w:rPr>
          <w:bCs/>
          <w:szCs w:val="28"/>
          <w:lang w:val="uk-UA"/>
        </w:rPr>
        <w:t xml:space="preserve">. </w:t>
      </w:r>
      <w:r w:rsidRPr="00E7794C">
        <w:rPr>
          <w:szCs w:val="28"/>
          <w:lang w:val="uk-UA"/>
        </w:rPr>
        <w:t>Така модель означає, що парламент має затвердити вже прийнятий в якомусь порядку відповідний нормативно-правовий акт. Проте ні відповідного порядку, ні первинного суб’єкта прийняття Регламенту Конституційного Суду України проект не визначає.</w:t>
      </w:r>
      <w:r w:rsidR="00060198" w:rsidRPr="00E7794C">
        <w:rPr>
          <w:szCs w:val="28"/>
          <w:lang w:val="uk-UA"/>
        </w:rPr>
        <w:t xml:space="preserve"> При цьому зауважимо, що </w:t>
      </w:r>
      <w:r w:rsidR="00122C97" w:rsidRPr="00E7794C">
        <w:rPr>
          <w:szCs w:val="28"/>
          <w:lang w:val="uk-UA"/>
        </w:rPr>
        <w:t>норм</w:t>
      </w:r>
      <w:r w:rsidR="00067740" w:rsidRPr="00E7794C">
        <w:rPr>
          <w:szCs w:val="28"/>
          <w:lang w:val="uk-UA"/>
        </w:rPr>
        <w:t>ами</w:t>
      </w:r>
      <w:r w:rsidR="00122C97" w:rsidRPr="00E7794C">
        <w:rPr>
          <w:szCs w:val="28"/>
          <w:lang w:val="uk-UA"/>
        </w:rPr>
        <w:t xml:space="preserve"> </w:t>
      </w:r>
      <w:r w:rsidR="00122C97" w:rsidRPr="00E7794C">
        <w:rPr>
          <w:rFonts w:eastAsiaTheme="minorHAnsi"/>
          <w:szCs w:val="28"/>
          <w:lang w:val="uk-UA"/>
        </w:rPr>
        <w:t xml:space="preserve">Конституції України </w:t>
      </w:r>
      <w:r w:rsidR="00067740" w:rsidRPr="00E7794C">
        <w:rPr>
          <w:rFonts w:eastAsiaTheme="minorHAnsi"/>
          <w:szCs w:val="28"/>
          <w:lang w:val="uk-UA"/>
        </w:rPr>
        <w:t>не передбачається такого способу законодавчої діяльності Верховної Ради України як затвердження Регламентів органів публічної влади</w:t>
      </w:r>
      <w:r w:rsidR="00067740" w:rsidRPr="00E7794C">
        <w:rPr>
          <w:rFonts w:eastAsiaTheme="minorHAnsi"/>
          <w:i/>
          <w:szCs w:val="28"/>
          <w:lang w:val="uk-UA"/>
        </w:rPr>
        <w:t xml:space="preserve"> </w:t>
      </w:r>
      <w:r w:rsidR="00067740" w:rsidRPr="00E7794C">
        <w:rPr>
          <w:rFonts w:eastAsiaTheme="minorHAnsi"/>
          <w:szCs w:val="28"/>
          <w:lang w:val="uk-UA"/>
        </w:rPr>
        <w:t xml:space="preserve">(передбачається лише </w:t>
      </w:r>
      <w:r w:rsidR="00067740" w:rsidRPr="00E7794C">
        <w:rPr>
          <w:rFonts w:eastAsiaTheme="minorHAnsi"/>
          <w:i/>
          <w:szCs w:val="28"/>
          <w:u w:val="single"/>
          <w:lang w:val="uk-UA"/>
        </w:rPr>
        <w:t>прийняття</w:t>
      </w:r>
      <w:r w:rsidR="00067740" w:rsidRPr="00E7794C">
        <w:rPr>
          <w:rFonts w:eastAsiaTheme="minorHAnsi"/>
          <w:i/>
          <w:szCs w:val="28"/>
          <w:lang w:val="uk-UA"/>
        </w:rPr>
        <w:t xml:space="preserve"> </w:t>
      </w:r>
      <w:r w:rsidR="00067740" w:rsidRPr="00E7794C">
        <w:rPr>
          <w:rFonts w:eastAsiaTheme="minorHAnsi"/>
          <w:szCs w:val="28"/>
          <w:lang w:val="uk-UA"/>
        </w:rPr>
        <w:t>законів,</w:t>
      </w:r>
      <w:r w:rsidR="00067740" w:rsidRPr="00E7794C">
        <w:rPr>
          <w:rFonts w:eastAsiaTheme="minorHAnsi"/>
          <w:i/>
          <w:szCs w:val="28"/>
          <w:lang w:val="uk-UA"/>
        </w:rPr>
        <w:t xml:space="preserve"> </w:t>
      </w:r>
      <w:r w:rsidR="00067740" w:rsidRPr="00E7794C">
        <w:rPr>
          <w:rFonts w:eastAsiaTheme="minorHAnsi"/>
          <w:szCs w:val="28"/>
          <w:lang w:val="uk-UA"/>
        </w:rPr>
        <w:t xml:space="preserve">власного Регламенту та </w:t>
      </w:r>
      <w:r w:rsidR="00067740" w:rsidRPr="00E7794C">
        <w:rPr>
          <w:rFonts w:eastAsiaTheme="minorHAnsi"/>
          <w:i/>
          <w:szCs w:val="28"/>
          <w:u w:val="single"/>
          <w:lang w:val="uk-UA"/>
        </w:rPr>
        <w:t>затвердження</w:t>
      </w:r>
      <w:r w:rsidR="00067740" w:rsidRPr="00E7794C">
        <w:rPr>
          <w:rFonts w:eastAsiaTheme="minorHAnsi"/>
          <w:szCs w:val="28"/>
          <w:lang w:val="uk-UA"/>
        </w:rPr>
        <w:t xml:space="preserve">, </w:t>
      </w:r>
      <w:r w:rsidR="001E68D4" w:rsidRPr="00E7794C">
        <w:rPr>
          <w:szCs w:val="28"/>
          <w:lang w:val="uk-UA"/>
        </w:rPr>
        <w:t xml:space="preserve">зокрема, </w:t>
      </w:r>
      <w:r w:rsidR="005374AB" w:rsidRPr="00E7794C">
        <w:rPr>
          <w:szCs w:val="28"/>
          <w:lang w:val="uk-UA"/>
        </w:rPr>
        <w:t>Державного бюджету України</w:t>
      </w:r>
      <w:bookmarkStart w:id="1" w:name="n5052"/>
      <w:bookmarkStart w:id="2" w:name="n5053"/>
      <w:bookmarkEnd w:id="1"/>
      <w:bookmarkEnd w:id="2"/>
      <w:r w:rsidR="005374AB" w:rsidRPr="00E7794C">
        <w:rPr>
          <w:szCs w:val="28"/>
          <w:lang w:val="uk-UA"/>
        </w:rPr>
        <w:t>; загальнодержавних програм економічного, науково-технічного, соціального, національно-культурного розвитку; рішень про надання Україною позик і економічної допомоги іноземним державам; указів Президента України про введення воєнного чи надзвичайного стану в Україні; переліку об’єктів права державної власності, що не підлягають приватизації</w:t>
      </w:r>
      <w:bookmarkStart w:id="3" w:name="n5085"/>
      <w:bookmarkEnd w:id="3"/>
      <w:r w:rsidR="005374AB" w:rsidRPr="00E7794C">
        <w:rPr>
          <w:szCs w:val="28"/>
          <w:lang w:val="uk-UA"/>
        </w:rPr>
        <w:t>; законом Конституції Автономної Республіки Крим</w:t>
      </w:r>
      <w:r w:rsidR="007212BC" w:rsidRPr="00E7794C">
        <w:rPr>
          <w:szCs w:val="28"/>
          <w:lang w:val="uk-UA"/>
        </w:rPr>
        <w:t xml:space="preserve"> </w:t>
      </w:r>
      <w:r w:rsidR="001D47B8" w:rsidRPr="00E7794C">
        <w:rPr>
          <w:szCs w:val="28"/>
          <w:lang w:val="uk-UA"/>
        </w:rPr>
        <w:t xml:space="preserve"> (</w:t>
      </w:r>
      <w:r w:rsidR="005374AB" w:rsidRPr="00E7794C">
        <w:rPr>
          <w:szCs w:val="28"/>
          <w:lang w:val="uk-UA"/>
        </w:rPr>
        <w:t>ч. 1 ст. 85 Конституції України</w:t>
      </w:r>
      <w:r w:rsidR="007212BC" w:rsidRPr="00E7794C">
        <w:rPr>
          <w:szCs w:val="28"/>
          <w:lang w:val="uk-UA"/>
        </w:rPr>
        <w:t>)</w:t>
      </w:r>
      <w:r w:rsidR="001D47B8" w:rsidRPr="00E7794C">
        <w:rPr>
          <w:szCs w:val="28"/>
          <w:lang w:val="uk-UA"/>
        </w:rPr>
        <w:t>)</w:t>
      </w:r>
      <w:r w:rsidR="007212BC" w:rsidRPr="00E7794C">
        <w:rPr>
          <w:szCs w:val="28"/>
          <w:lang w:val="uk-UA"/>
        </w:rPr>
        <w:t xml:space="preserve">. </w:t>
      </w:r>
    </w:p>
    <w:p w:rsidR="0008660E" w:rsidRPr="00E7794C" w:rsidRDefault="009B565B" w:rsidP="0008660E">
      <w:pPr>
        <w:spacing w:after="0" w:line="240" w:lineRule="auto"/>
        <w:ind w:firstLine="709"/>
        <w:contextualSpacing/>
        <w:jc w:val="both"/>
        <w:rPr>
          <w:szCs w:val="28"/>
          <w:lang w:val="uk-UA" w:eastAsia="ru-RU"/>
        </w:rPr>
      </w:pPr>
      <w:bookmarkStart w:id="4" w:name="n5054"/>
      <w:bookmarkStart w:id="5" w:name="n5074"/>
      <w:bookmarkStart w:id="6" w:name="n5079"/>
      <w:bookmarkEnd w:id="4"/>
      <w:bookmarkEnd w:id="5"/>
      <w:bookmarkEnd w:id="6"/>
      <w:r w:rsidRPr="00E7794C">
        <w:rPr>
          <w:bCs/>
          <w:szCs w:val="28"/>
          <w:lang w:val="uk-UA"/>
        </w:rPr>
        <w:t>1.2.</w:t>
      </w:r>
      <w:r w:rsidRPr="00E7794C">
        <w:rPr>
          <w:b/>
          <w:bCs/>
          <w:szCs w:val="28"/>
          <w:lang w:val="uk-UA"/>
        </w:rPr>
        <w:t xml:space="preserve"> </w:t>
      </w:r>
      <w:r w:rsidR="00797CCA" w:rsidRPr="00E7794C">
        <w:rPr>
          <w:bCs/>
          <w:szCs w:val="28"/>
          <w:lang w:val="uk-UA"/>
        </w:rPr>
        <w:t>В</w:t>
      </w:r>
      <w:r w:rsidRPr="00E7794C">
        <w:rPr>
          <w:bCs/>
          <w:szCs w:val="28"/>
          <w:lang w:val="uk-UA"/>
        </w:rPr>
        <w:t xml:space="preserve">ідповідно до п. 1 Розділу ІІ «Прикінцевих положень» проекту цей </w:t>
      </w:r>
      <w:r w:rsidR="000D49C1" w:rsidRPr="00E7794C">
        <w:rPr>
          <w:bCs/>
          <w:szCs w:val="28"/>
          <w:lang w:val="uk-UA"/>
        </w:rPr>
        <w:t>З</w:t>
      </w:r>
      <w:r w:rsidRPr="00E7794C">
        <w:rPr>
          <w:bCs/>
          <w:szCs w:val="28"/>
          <w:lang w:val="uk-UA"/>
        </w:rPr>
        <w:t xml:space="preserve">акон (у разі його </w:t>
      </w:r>
      <w:r w:rsidR="00042635" w:rsidRPr="00E7794C">
        <w:rPr>
          <w:bCs/>
          <w:szCs w:val="28"/>
          <w:lang w:val="uk-UA"/>
        </w:rPr>
        <w:t>прийняття</w:t>
      </w:r>
      <w:r w:rsidRPr="00E7794C">
        <w:rPr>
          <w:bCs/>
          <w:szCs w:val="28"/>
          <w:lang w:val="uk-UA"/>
        </w:rPr>
        <w:t xml:space="preserve">) </w:t>
      </w:r>
      <w:r w:rsidRPr="00E7794C">
        <w:rPr>
          <w:bCs/>
          <w:i/>
          <w:szCs w:val="28"/>
          <w:lang w:val="uk-UA"/>
        </w:rPr>
        <w:t>наб</w:t>
      </w:r>
      <w:r w:rsidR="000D49C1" w:rsidRPr="00E7794C">
        <w:rPr>
          <w:bCs/>
          <w:i/>
          <w:szCs w:val="28"/>
          <w:lang w:val="uk-UA"/>
        </w:rPr>
        <w:t>ира</w:t>
      </w:r>
      <w:r w:rsidRPr="00E7794C">
        <w:rPr>
          <w:bCs/>
          <w:i/>
          <w:szCs w:val="28"/>
          <w:lang w:val="uk-UA"/>
        </w:rPr>
        <w:t>є чинності з дня опублікування</w:t>
      </w:r>
      <w:r w:rsidR="0008660E" w:rsidRPr="00E7794C">
        <w:rPr>
          <w:bCs/>
          <w:szCs w:val="28"/>
          <w:lang w:val="uk-UA"/>
        </w:rPr>
        <w:t>.</w:t>
      </w:r>
      <w:r w:rsidR="0008660E" w:rsidRPr="00E7794C">
        <w:rPr>
          <w:szCs w:val="28"/>
          <w:lang w:val="uk-UA" w:eastAsia="ru-RU"/>
        </w:rPr>
        <w:t xml:space="preserve"> При цьому, проект не містить перехідних положень, які б врегул</w:t>
      </w:r>
      <w:r w:rsidR="00012D6D" w:rsidRPr="00E7794C">
        <w:rPr>
          <w:szCs w:val="28"/>
          <w:lang w:val="uk-UA" w:eastAsia="ru-RU"/>
        </w:rPr>
        <w:t>ьову</w:t>
      </w:r>
      <w:r w:rsidR="0008660E" w:rsidRPr="00E7794C">
        <w:rPr>
          <w:szCs w:val="28"/>
          <w:lang w:val="uk-UA" w:eastAsia="ru-RU"/>
        </w:rPr>
        <w:t xml:space="preserve">вали відносини, пов’язані з переходом від існуючого правового регулювання до запропонованого, яке має запроваджуватися з прийняттям нового закону. </w:t>
      </w:r>
      <w:r w:rsidR="0008660E" w:rsidRPr="00E7794C">
        <w:rPr>
          <w:bCs/>
          <w:szCs w:val="28"/>
          <w:lang w:val="uk-UA"/>
        </w:rPr>
        <w:t>Зокрема,</w:t>
      </w:r>
      <w:r w:rsidR="00F25C5F" w:rsidRPr="00E7794C">
        <w:rPr>
          <w:bCs/>
          <w:szCs w:val="28"/>
          <w:lang w:val="uk-UA"/>
        </w:rPr>
        <w:t xml:space="preserve"> з метою забезпечення безперервності роботи Конституційного Суду України після прийняття відповідного закону,</w:t>
      </w:r>
      <w:r w:rsidR="0008660E" w:rsidRPr="00E7794C">
        <w:rPr>
          <w:bCs/>
          <w:szCs w:val="28"/>
          <w:lang w:val="uk-UA"/>
        </w:rPr>
        <w:t xml:space="preserve"> потребує врегулювання питання тимчасового (до прийняття нового акту) заст</w:t>
      </w:r>
      <w:r w:rsidR="00F25C5F" w:rsidRPr="00E7794C">
        <w:rPr>
          <w:bCs/>
          <w:szCs w:val="28"/>
          <w:lang w:val="uk-UA"/>
        </w:rPr>
        <w:t>осування чинного Регламенту КСУ</w:t>
      </w:r>
      <w:r w:rsidR="0008660E" w:rsidRPr="00E7794C">
        <w:rPr>
          <w:bCs/>
          <w:szCs w:val="28"/>
          <w:lang w:val="uk-UA"/>
        </w:rPr>
        <w:t xml:space="preserve">. </w:t>
      </w:r>
    </w:p>
    <w:p w:rsidR="004E5BD3" w:rsidRPr="00E7794C" w:rsidRDefault="00A53D12" w:rsidP="00BD6604">
      <w:pPr>
        <w:pStyle w:val="a4"/>
        <w:spacing w:after="0" w:line="240" w:lineRule="auto"/>
        <w:ind w:left="0" w:firstLine="709"/>
        <w:jc w:val="both"/>
        <w:rPr>
          <w:bCs/>
          <w:szCs w:val="28"/>
          <w:lang w:val="uk-UA"/>
        </w:rPr>
      </w:pPr>
      <w:r w:rsidRPr="00E7794C">
        <w:rPr>
          <w:b/>
          <w:bCs/>
          <w:szCs w:val="28"/>
          <w:lang w:val="uk-UA"/>
        </w:rPr>
        <w:t>2.</w:t>
      </w:r>
      <w:r w:rsidRPr="00E7794C">
        <w:rPr>
          <w:bCs/>
          <w:szCs w:val="28"/>
          <w:lang w:val="uk-UA"/>
        </w:rPr>
        <w:t xml:space="preserve"> У зв’язку зі змінами </w:t>
      </w:r>
      <w:r w:rsidRPr="00E7794C">
        <w:rPr>
          <w:szCs w:val="28"/>
          <w:lang w:val="uk-UA"/>
        </w:rPr>
        <w:t xml:space="preserve">до ч. 2 ст. 3 Закону проектом пропонується нова редакція ст. 96 Закону, в якій </w:t>
      </w:r>
      <w:proofErr w:type="spellStart"/>
      <w:r w:rsidRPr="00E7794C">
        <w:rPr>
          <w:szCs w:val="28"/>
          <w:lang w:val="uk-UA"/>
        </w:rPr>
        <w:t>передбачатиметься</w:t>
      </w:r>
      <w:proofErr w:type="spellEnd"/>
      <w:r w:rsidRPr="00E7794C">
        <w:rPr>
          <w:szCs w:val="28"/>
          <w:lang w:val="uk-UA"/>
        </w:rPr>
        <w:t>, що «</w:t>
      </w:r>
      <w:r w:rsidR="000D49C1" w:rsidRPr="00E7794C">
        <w:rPr>
          <w:i/>
          <w:szCs w:val="28"/>
          <w:u w:val="single"/>
          <w:lang w:val="uk-UA"/>
        </w:rPr>
        <w:t>а</w:t>
      </w:r>
      <w:r w:rsidR="008C6B57" w:rsidRPr="00E7794C">
        <w:rPr>
          <w:bCs/>
          <w:i/>
          <w:szCs w:val="28"/>
          <w:u w:val="single"/>
          <w:lang w:val="uk-UA"/>
        </w:rPr>
        <w:t>кти</w:t>
      </w:r>
      <w:r w:rsidR="008C6B57" w:rsidRPr="00E7794C">
        <w:rPr>
          <w:bCs/>
          <w:szCs w:val="28"/>
          <w:lang w:val="uk-UA"/>
        </w:rPr>
        <w:t xml:space="preserve"> Суду, що регламентують </w:t>
      </w:r>
      <w:r w:rsidR="008C6B57" w:rsidRPr="00E7794C">
        <w:rPr>
          <w:bCs/>
          <w:i/>
          <w:szCs w:val="28"/>
          <w:u w:val="single"/>
          <w:lang w:val="uk-UA"/>
        </w:rPr>
        <w:t>організацію його роботи</w:t>
      </w:r>
      <w:r w:rsidR="008C6B57" w:rsidRPr="00E7794C">
        <w:rPr>
          <w:bCs/>
          <w:szCs w:val="28"/>
          <w:lang w:val="uk-UA"/>
        </w:rPr>
        <w:t xml:space="preserve"> (крім Регламенту), </w:t>
      </w:r>
      <w:r w:rsidR="008C6B57" w:rsidRPr="00E7794C">
        <w:rPr>
          <w:bCs/>
          <w:i/>
          <w:szCs w:val="28"/>
          <w:u w:val="single"/>
          <w:lang w:val="uk-UA"/>
        </w:rPr>
        <w:t>Суд ухвалює на засіданні більшістю голосів присутніх</w:t>
      </w:r>
      <w:r w:rsidRPr="00E7794C">
        <w:rPr>
          <w:bCs/>
          <w:szCs w:val="28"/>
          <w:lang w:val="uk-UA"/>
        </w:rPr>
        <w:t xml:space="preserve">» (п. 5 Розділу І проекту). </w:t>
      </w:r>
    </w:p>
    <w:p w:rsidR="00CF3462" w:rsidRPr="00E7794C" w:rsidRDefault="00CF3462" w:rsidP="00BD6604">
      <w:pPr>
        <w:pStyle w:val="a4"/>
        <w:spacing w:after="0" w:line="240" w:lineRule="auto"/>
        <w:ind w:left="0" w:firstLine="709"/>
        <w:jc w:val="both"/>
        <w:rPr>
          <w:bCs/>
          <w:szCs w:val="28"/>
          <w:lang w:val="uk-UA"/>
        </w:rPr>
      </w:pPr>
      <w:r w:rsidRPr="00E7794C">
        <w:rPr>
          <w:szCs w:val="28"/>
          <w:lang w:val="uk-UA" w:eastAsia="ru-RU"/>
        </w:rPr>
        <w:t xml:space="preserve">Оскільки згідно з приписами проекту </w:t>
      </w:r>
      <w:r w:rsidRPr="00E7794C">
        <w:rPr>
          <w:i/>
          <w:szCs w:val="28"/>
          <w:lang w:val="uk-UA" w:eastAsia="ru-RU"/>
        </w:rPr>
        <w:t xml:space="preserve">питання </w:t>
      </w:r>
      <w:r w:rsidRPr="00E7794C">
        <w:rPr>
          <w:bCs/>
          <w:i/>
          <w:szCs w:val="28"/>
          <w:lang w:val="uk-UA"/>
        </w:rPr>
        <w:t xml:space="preserve">організації внутрішньої роботи Суду </w:t>
      </w:r>
      <w:r w:rsidRPr="00E7794C">
        <w:rPr>
          <w:bCs/>
          <w:szCs w:val="28"/>
          <w:lang w:val="uk-UA"/>
        </w:rPr>
        <w:t xml:space="preserve">регулюватимуться </w:t>
      </w:r>
      <w:r w:rsidRPr="00E7794C">
        <w:rPr>
          <w:bCs/>
          <w:i/>
          <w:szCs w:val="28"/>
          <w:u w:val="single"/>
          <w:lang w:val="uk-UA"/>
        </w:rPr>
        <w:t>Регламентом</w:t>
      </w:r>
      <w:r w:rsidRPr="00E7794C">
        <w:rPr>
          <w:bCs/>
          <w:szCs w:val="28"/>
          <w:lang w:val="uk-UA"/>
        </w:rPr>
        <w:t xml:space="preserve"> Конституційного Суду України, </w:t>
      </w:r>
      <w:r w:rsidRPr="00E7794C">
        <w:rPr>
          <w:i/>
          <w:szCs w:val="28"/>
          <w:u w:val="single"/>
          <w:lang w:val="uk-UA"/>
        </w:rPr>
        <w:t>який затверджуватиметься законом</w:t>
      </w:r>
      <w:r w:rsidR="004E5BD3" w:rsidRPr="00E7794C">
        <w:rPr>
          <w:szCs w:val="28"/>
          <w:lang w:val="uk-UA" w:eastAsia="ru-RU"/>
        </w:rPr>
        <w:t>,</w:t>
      </w:r>
      <w:r w:rsidRPr="00E7794C">
        <w:rPr>
          <w:szCs w:val="28"/>
          <w:lang w:val="uk-UA" w:eastAsia="ru-RU"/>
        </w:rPr>
        <w:t xml:space="preserve"> </w:t>
      </w:r>
      <w:r w:rsidRPr="00E7794C">
        <w:rPr>
          <w:szCs w:val="28"/>
          <w:lang w:val="uk-UA"/>
        </w:rPr>
        <w:t>потребують визначення</w:t>
      </w:r>
      <w:r w:rsidRPr="00E7794C">
        <w:rPr>
          <w:b/>
          <w:szCs w:val="28"/>
          <w:lang w:val="uk-UA"/>
        </w:rPr>
        <w:t xml:space="preserve"> </w:t>
      </w:r>
      <w:r w:rsidRPr="00E7794C">
        <w:rPr>
          <w:szCs w:val="28"/>
          <w:lang w:val="uk-UA"/>
        </w:rPr>
        <w:t>критерії розмежування предметів регулювання Регламенту Конституційного Суду України та а</w:t>
      </w:r>
      <w:r w:rsidRPr="00E7794C">
        <w:rPr>
          <w:bCs/>
          <w:szCs w:val="28"/>
          <w:lang w:val="uk-UA"/>
        </w:rPr>
        <w:t>ктів Суду, що «регламентують організацію його роботи», за інших умов, закладається можливість подвійного, відмінного одне від одного тощо регулювання одних і тих же питань на рівні Регламенту (закону) та актів, ухвалених Судом.</w:t>
      </w:r>
    </w:p>
    <w:p w:rsidR="00B91123" w:rsidRPr="00E7794C" w:rsidRDefault="00CF3462" w:rsidP="004907A8">
      <w:pPr>
        <w:pStyle w:val="a4"/>
        <w:spacing w:after="0" w:line="240" w:lineRule="auto"/>
        <w:ind w:left="0" w:firstLine="709"/>
        <w:jc w:val="both"/>
        <w:rPr>
          <w:szCs w:val="28"/>
          <w:lang w:val="uk-UA"/>
        </w:rPr>
      </w:pPr>
      <w:r w:rsidRPr="00E7794C">
        <w:rPr>
          <w:bCs/>
          <w:szCs w:val="28"/>
          <w:lang w:val="uk-UA"/>
        </w:rPr>
        <w:lastRenderedPageBreak/>
        <w:t xml:space="preserve">  </w:t>
      </w:r>
      <w:r w:rsidR="00442F2B" w:rsidRPr="00E7794C">
        <w:rPr>
          <w:b/>
          <w:szCs w:val="28"/>
          <w:lang w:val="uk-UA"/>
        </w:rPr>
        <w:t xml:space="preserve">3. </w:t>
      </w:r>
      <w:r w:rsidR="00A35227" w:rsidRPr="00E7794C">
        <w:rPr>
          <w:szCs w:val="28"/>
          <w:lang w:val="uk-UA"/>
        </w:rPr>
        <w:t>У проекті</w:t>
      </w:r>
      <w:r w:rsidR="00A35227" w:rsidRPr="00E7794C">
        <w:rPr>
          <w:b/>
          <w:szCs w:val="28"/>
          <w:lang w:val="uk-UA"/>
        </w:rPr>
        <w:t xml:space="preserve"> </w:t>
      </w:r>
      <w:r w:rsidR="00BD2A59" w:rsidRPr="00E7794C">
        <w:rPr>
          <w:szCs w:val="28"/>
          <w:lang w:val="uk-UA"/>
        </w:rPr>
        <w:t>пропонується</w:t>
      </w:r>
      <w:r w:rsidR="00BD2A59" w:rsidRPr="00E7794C">
        <w:rPr>
          <w:b/>
          <w:szCs w:val="28"/>
          <w:lang w:val="uk-UA"/>
        </w:rPr>
        <w:t xml:space="preserve"> </w:t>
      </w:r>
      <w:r w:rsidR="00A35227" w:rsidRPr="00E7794C">
        <w:rPr>
          <w:szCs w:val="28"/>
          <w:lang w:val="uk-UA"/>
        </w:rPr>
        <w:t xml:space="preserve">збільшити </w:t>
      </w:r>
      <w:r w:rsidR="00DE6D78" w:rsidRPr="00E7794C">
        <w:rPr>
          <w:szCs w:val="28"/>
          <w:lang w:val="uk-UA"/>
        </w:rPr>
        <w:t>кількість голосів, необхідних</w:t>
      </w:r>
      <w:r w:rsidR="00A35227" w:rsidRPr="00E7794C">
        <w:rPr>
          <w:szCs w:val="28"/>
          <w:lang w:val="uk-UA"/>
        </w:rPr>
        <w:t xml:space="preserve"> </w:t>
      </w:r>
      <w:r w:rsidR="00BD2A59" w:rsidRPr="00E7794C">
        <w:rPr>
          <w:szCs w:val="28"/>
          <w:lang w:val="uk-UA"/>
        </w:rPr>
        <w:t xml:space="preserve">для ухвалення рішень і </w:t>
      </w:r>
      <w:r w:rsidR="00043B95" w:rsidRPr="00E7794C">
        <w:rPr>
          <w:szCs w:val="28"/>
          <w:lang w:val="uk-UA"/>
        </w:rPr>
        <w:t xml:space="preserve">надання </w:t>
      </w:r>
      <w:r w:rsidR="00BD2A59" w:rsidRPr="00E7794C">
        <w:rPr>
          <w:szCs w:val="28"/>
          <w:lang w:val="uk-UA"/>
        </w:rPr>
        <w:t xml:space="preserve">висновків Великою палатою </w:t>
      </w:r>
      <w:r w:rsidR="00A35227" w:rsidRPr="00E7794C">
        <w:rPr>
          <w:szCs w:val="28"/>
          <w:lang w:val="uk-UA"/>
        </w:rPr>
        <w:t xml:space="preserve">з 10 до 12 суддів КСУ </w:t>
      </w:r>
      <w:r w:rsidR="00BD2A59" w:rsidRPr="00E7794C">
        <w:rPr>
          <w:szCs w:val="28"/>
          <w:lang w:val="uk-UA"/>
        </w:rPr>
        <w:t xml:space="preserve">(п. 3 розділу І проекту – зміни до ч. 11 ст. 66 Закону). </w:t>
      </w:r>
    </w:p>
    <w:p w:rsidR="008F47A3" w:rsidRPr="00E7794C" w:rsidRDefault="008F47A3" w:rsidP="008F47A3">
      <w:pPr>
        <w:spacing w:after="0" w:line="240" w:lineRule="auto"/>
        <w:ind w:firstLine="567"/>
        <w:jc w:val="both"/>
        <w:rPr>
          <w:szCs w:val="28"/>
          <w:lang w:val="uk-UA"/>
        </w:rPr>
      </w:pPr>
      <w:r w:rsidRPr="00E7794C">
        <w:rPr>
          <w:szCs w:val="28"/>
          <w:lang w:val="uk-UA"/>
        </w:rPr>
        <w:t xml:space="preserve">Необхідність </w:t>
      </w:r>
      <w:r w:rsidR="00DE6D78" w:rsidRPr="00E7794C">
        <w:rPr>
          <w:szCs w:val="28"/>
          <w:lang w:val="uk-UA"/>
        </w:rPr>
        <w:t>такого підходу</w:t>
      </w:r>
      <w:r w:rsidRPr="00E7794C">
        <w:rPr>
          <w:szCs w:val="28"/>
          <w:lang w:val="uk-UA"/>
        </w:rPr>
        <w:t xml:space="preserve"> обґрунтовується у пояснювальній записці тим, що «запровадження кваліфікованої більшості в 2/3 голосів від конституційного складу Суду… забезпечить розгляд Судом особливо важливих справ із достатньо виваженим підходом, що буде убезпечувати Суд від ухвалення рішень без необхідного консенсусу і належного врахування всіх обставин справи» (п. 3 пояснювальної записки). </w:t>
      </w:r>
    </w:p>
    <w:p w:rsidR="00A417FD" w:rsidRPr="00E7794C" w:rsidRDefault="00E64CA7" w:rsidP="00A417FD">
      <w:pPr>
        <w:tabs>
          <w:tab w:val="num" w:pos="540"/>
          <w:tab w:val="left" w:pos="900"/>
        </w:tabs>
        <w:spacing w:after="0" w:line="240" w:lineRule="auto"/>
        <w:ind w:firstLine="567"/>
        <w:jc w:val="both"/>
        <w:rPr>
          <w:szCs w:val="28"/>
          <w:lang w:val="uk-UA"/>
        </w:rPr>
      </w:pPr>
      <w:r w:rsidRPr="00E7794C">
        <w:rPr>
          <w:szCs w:val="28"/>
          <w:lang w:val="uk-UA"/>
        </w:rPr>
        <w:t xml:space="preserve">Головне управління, розуміючи причини, якими викликана відповідна законодавча пропозиція, погоджуючись з </w:t>
      </w:r>
      <w:r w:rsidR="00AD51E1" w:rsidRPr="00E7794C">
        <w:rPr>
          <w:szCs w:val="28"/>
          <w:lang w:val="uk-UA"/>
        </w:rPr>
        <w:t xml:space="preserve">важливістю забезпечення </w:t>
      </w:r>
      <w:r w:rsidR="00010D1A" w:rsidRPr="00E7794C">
        <w:rPr>
          <w:szCs w:val="28"/>
          <w:lang w:val="uk-UA"/>
        </w:rPr>
        <w:t xml:space="preserve">належного, всебічного і об’єктивного розгляду справ Конституційним Судом України, </w:t>
      </w:r>
      <w:r w:rsidRPr="00E7794C">
        <w:rPr>
          <w:szCs w:val="28"/>
          <w:lang w:val="uk-UA"/>
        </w:rPr>
        <w:t xml:space="preserve">разом з тим, вважає за необхідне </w:t>
      </w:r>
      <w:r w:rsidR="00010D1A" w:rsidRPr="00E7794C">
        <w:rPr>
          <w:szCs w:val="28"/>
          <w:lang w:val="uk-UA"/>
        </w:rPr>
        <w:t>зауважити</w:t>
      </w:r>
      <w:r w:rsidRPr="00E7794C">
        <w:rPr>
          <w:szCs w:val="28"/>
          <w:lang w:val="uk-UA"/>
        </w:rPr>
        <w:t xml:space="preserve">, що </w:t>
      </w:r>
      <w:r w:rsidR="00010D1A" w:rsidRPr="00E7794C">
        <w:rPr>
          <w:szCs w:val="28"/>
          <w:lang w:val="uk-UA"/>
        </w:rPr>
        <w:t xml:space="preserve">поряд із досягненням задекларованої мети законопроекту, </w:t>
      </w:r>
      <w:r w:rsidR="00A417FD" w:rsidRPr="00E7794C">
        <w:rPr>
          <w:szCs w:val="28"/>
          <w:lang w:val="uk-UA"/>
        </w:rPr>
        <w:t xml:space="preserve">при </w:t>
      </w:r>
      <w:r w:rsidRPr="00E7794C">
        <w:rPr>
          <w:szCs w:val="28"/>
          <w:lang w:val="uk-UA"/>
        </w:rPr>
        <w:t>запровадженн</w:t>
      </w:r>
      <w:r w:rsidR="00A417FD" w:rsidRPr="00E7794C">
        <w:rPr>
          <w:szCs w:val="28"/>
          <w:lang w:val="uk-UA"/>
        </w:rPr>
        <w:t>і</w:t>
      </w:r>
      <w:r w:rsidRPr="00E7794C">
        <w:rPr>
          <w:szCs w:val="28"/>
          <w:lang w:val="uk-UA"/>
        </w:rPr>
        <w:t xml:space="preserve"> кваліфікованої більшості в 2/3 голосів від конституційного складу Суду</w:t>
      </w:r>
      <w:r w:rsidR="00A417FD" w:rsidRPr="00E7794C">
        <w:rPr>
          <w:szCs w:val="28"/>
          <w:lang w:val="uk-UA"/>
        </w:rPr>
        <w:t>, слід також враховувати і ту обставину, що за тако</w:t>
      </w:r>
      <w:r w:rsidR="001547AC" w:rsidRPr="00E7794C">
        <w:rPr>
          <w:szCs w:val="28"/>
          <w:lang w:val="uk-UA"/>
        </w:rPr>
        <w:t>го підходу,</w:t>
      </w:r>
      <w:r w:rsidR="00010D1A" w:rsidRPr="00E7794C">
        <w:rPr>
          <w:szCs w:val="28"/>
          <w:lang w:val="uk-UA"/>
        </w:rPr>
        <w:t xml:space="preserve"> по суті, зрівнюються можливості більшості і меншості впливати на результат розгляду певного питання</w:t>
      </w:r>
      <w:r w:rsidR="001547AC" w:rsidRPr="00E7794C">
        <w:rPr>
          <w:szCs w:val="28"/>
          <w:lang w:val="uk-UA"/>
        </w:rPr>
        <w:t>, а</w:t>
      </w:r>
      <w:r w:rsidR="00010D1A" w:rsidRPr="00E7794C">
        <w:rPr>
          <w:szCs w:val="28"/>
          <w:lang w:val="uk-UA"/>
        </w:rPr>
        <w:t>дже</w:t>
      </w:r>
      <w:r w:rsidR="001547AC" w:rsidRPr="00E7794C">
        <w:rPr>
          <w:szCs w:val="28"/>
          <w:lang w:val="uk-UA"/>
        </w:rPr>
        <w:t>,</w:t>
      </w:r>
      <w:r w:rsidR="00010D1A" w:rsidRPr="00E7794C">
        <w:rPr>
          <w:szCs w:val="28"/>
          <w:lang w:val="uk-UA"/>
        </w:rPr>
        <w:t xml:space="preserve"> голосів меншості буде достатньо для блокування рішень, які підтримуватимуться більшістю суддів.</w:t>
      </w:r>
    </w:p>
    <w:p w:rsidR="00A07D03" w:rsidRPr="00E7794C" w:rsidRDefault="004F3120" w:rsidP="006A7B68">
      <w:pPr>
        <w:spacing w:after="0" w:line="240" w:lineRule="auto"/>
        <w:ind w:firstLine="709"/>
        <w:jc w:val="both"/>
        <w:rPr>
          <w:bCs/>
          <w:szCs w:val="28"/>
          <w:lang w:val="uk-UA"/>
        </w:rPr>
      </w:pPr>
      <w:r w:rsidRPr="00E7794C">
        <w:rPr>
          <w:b/>
          <w:color w:val="000000"/>
          <w:szCs w:val="28"/>
          <w:shd w:val="clear" w:color="auto" w:fill="FFFFFF"/>
          <w:lang w:val="uk-UA"/>
        </w:rPr>
        <w:t>4</w:t>
      </w:r>
      <w:r w:rsidR="00BD2A59" w:rsidRPr="00E7794C">
        <w:rPr>
          <w:b/>
          <w:color w:val="000000"/>
          <w:szCs w:val="28"/>
          <w:shd w:val="clear" w:color="auto" w:fill="FFFFFF"/>
          <w:lang w:val="uk-UA"/>
        </w:rPr>
        <w:t>.</w:t>
      </w:r>
      <w:r w:rsidR="00BD2A59" w:rsidRPr="00E7794C">
        <w:rPr>
          <w:color w:val="000000"/>
          <w:szCs w:val="28"/>
          <w:shd w:val="clear" w:color="auto" w:fill="FFFFFF"/>
          <w:lang w:val="uk-UA"/>
        </w:rPr>
        <w:t xml:space="preserve"> </w:t>
      </w:r>
      <w:r w:rsidR="006A7B68" w:rsidRPr="00E7794C">
        <w:rPr>
          <w:color w:val="000000"/>
          <w:szCs w:val="28"/>
          <w:shd w:val="clear" w:color="auto" w:fill="FFFFFF"/>
          <w:lang w:val="uk-UA"/>
        </w:rPr>
        <w:t>В</w:t>
      </w:r>
      <w:r w:rsidR="00D03DBA" w:rsidRPr="00E7794C">
        <w:rPr>
          <w:color w:val="000000"/>
          <w:szCs w:val="28"/>
          <w:shd w:val="clear" w:color="auto" w:fill="FFFFFF"/>
          <w:lang w:val="uk-UA"/>
        </w:rPr>
        <w:t xml:space="preserve"> нов</w:t>
      </w:r>
      <w:r w:rsidR="006A7B68" w:rsidRPr="00E7794C">
        <w:rPr>
          <w:color w:val="000000"/>
          <w:szCs w:val="28"/>
          <w:shd w:val="clear" w:color="auto" w:fill="FFFFFF"/>
          <w:lang w:val="uk-UA"/>
        </w:rPr>
        <w:t>ій</w:t>
      </w:r>
      <w:r w:rsidR="00D03DBA" w:rsidRPr="00E7794C">
        <w:rPr>
          <w:color w:val="000000"/>
          <w:szCs w:val="28"/>
          <w:shd w:val="clear" w:color="auto" w:fill="FFFFFF"/>
          <w:lang w:val="uk-UA"/>
        </w:rPr>
        <w:t xml:space="preserve"> ч. 12 ст. 67 Закону</w:t>
      </w:r>
      <w:r w:rsidR="006A7B68" w:rsidRPr="00E7794C">
        <w:rPr>
          <w:color w:val="000000"/>
          <w:szCs w:val="28"/>
          <w:shd w:val="clear" w:color="auto" w:fill="FFFFFF"/>
          <w:lang w:val="uk-UA"/>
        </w:rPr>
        <w:t xml:space="preserve"> пропонується встановити, що</w:t>
      </w:r>
      <w:r w:rsidR="00D03DBA" w:rsidRPr="00E7794C">
        <w:rPr>
          <w:color w:val="000000"/>
          <w:szCs w:val="28"/>
          <w:shd w:val="clear" w:color="auto" w:fill="FFFFFF"/>
          <w:lang w:val="uk-UA"/>
        </w:rPr>
        <w:t xml:space="preserve"> «</w:t>
      </w:r>
      <w:r w:rsidR="00EE2347" w:rsidRPr="00E7794C">
        <w:rPr>
          <w:color w:val="000000"/>
          <w:szCs w:val="28"/>
          <w:shd w:val="clear" w:color="auto" w:fill="FFFFFF"/>
          <w:lang w:val="uk-UA"/>
        </w:rPr>
        <w:t>д</w:t>
      </w:r>
      <w:r w:rsidR="00D03DBA" w:rsidRPr="00E7794C">
        <w:rPr>
          <w:bCs/>
          <w:szCs w:val="28"/>
          <w:lang w:val="uk-UA"/>
        </w:rPr>
        <w:t>о складу Сенату можуть залучатись судді іншого Сенату в порядку, встановленому Регламентом (з дотриманням загальної чисельності суддів у Сенаті, визначеної відповідно до ч</w:t>
      </w:r>
      <w:r w:rsidR="00EE2347" w:rsidRPr="00E7794C">
        <w:rPr>
          <w:bCs/>
          <w:szCs w:val="28"/>
          <w:lang w:val="uk-UA"/>
        </w:rPr>
        <w:t>астини першої статті 36 Закону)</w:t>
      </w:r>
      <w:r w:rsidR="00D03DBA" w:rsidRPr="00E7794C">
        <w:rPr>
          <w:bCs/>
          <w:szCs w:val="28"/>
          <w:lang w:val="uk-UA"/>
        </w:rPr>
        <w:t>». Зі змісту цього припису</w:t>
      </w:r>
      <w:r w:rsidR="006A7B68" w:rsidRPr="00E7794C">
        <w:rPr>
          <w:bCs/>
          <w:szCs w:val="28"/>
          <w:lang w:val="uk-UA"/>
        </w:rPr>
        <w:t xml:space="preserve"> залишається</w:t>
      </w:r>
      <w:r w:rsidR="00D03DBA" w:rsidRPr="00E7794C">
        <w:rPr>
          <w:bCs/>
          <w:szCs w:val="28"/>
          <w:lang w:val="uk-UA"/>
        </w:rPr>
        <w:t xml:space="preserve"> не зрозумілим</w:t>
      </w:r>
      <w:r w:rsidR="00A07D03" w:rsidRPr="00E7794C">
        <w:rPr>
          <w:bCs/>
          <w:szCs w:val="28"/>
          <w:lang w:val="uk-UA"/>
        </w:rPr>
        <w:t xml:space="preserve"> </w:t>
      </w:r>
      <w:r w:rsidR="00EE2347" w:rsidRPr="00E7794C">
        <w:rPr>
          <w:bCs/>
          <w:szCs w:val="28"/>
          <w:lang w:val="uk-UA"/>
        </w:rPr>
        <w:t>в</w:t>
      </w:r>
      <w:r w:rsidR="00D03DBA" w:rsidRPr="00E7794C">
        <w:rPr>
          <w:bCs/>
          <w:szCs w:val="28"/>
          <w:lang w:val="uk-UA"/>
        </w:rPr>
        <w:t xml:space="preserve"> яких випадках це</w:t>
      </w:r>
      <w:r w:rsidR="00DF365C" w:rsidRPr="00E7794C">
        <w:rPr>
          <w:bCs/>
          <w:szCs w:val="28"/>
          <w:lang w:val="uk-UA"/>
        </w:rPr>
        <w:t xml:space="preserve"> відбуватиметься</w:t>
      </w:r>
      <w:r w:rsidR="006A7B68" w:rsidRPr="00E7794C">
        <w:rPr>
          <w:bCs/>
          <w:szCs w:val="28"/>
          <w:lang w:val="uk-UA"/>
        </w:rPr>
        <w:t xml:space="preserve"> та в якій кількості </w:t>
      </w:r>
      <w:r w:rsidR="006A7B68" w:rsidRPr="00E7794C">
        <w:rPr>
          <w:color w:val="000000"/>
          <w:szCs w:val="28"/>
          <w:shd w:val="clear" w:color="auto" w:fill="FFFFFF"/>
          <w:lang w:val="uk-UA"/>
        </w:rPr>
        <w:t>д</w:t>
      </w:r>
      <w:r w:rsidR="006A7B68" w:rsidRPr="00E7794C">
        <w:rPr>
          <w:bCs/>
          <w:szCs w:val="28"/>
          <w:lang w:val="uk-UA"/>
        </w:rPr>
        <w:t>о складу Сенату можуть залучатись судді іншого Сенату</w:t>
      </w:r>
      <w:r w:rsidR="00DF365C" w:rsidRPr="00E7794C">
        <w:rPr>
          <w:bCs/>
          <w:szCs w:val="28"/>
          <w:lang w:val="uk-UA"/>
        </w:rPr>
        <w:t>.</w:t>
      </w:r>
      <w:r w:rsidR="00D03DBA" w:rsidRPr="00E7794C">
        <w:rPr>
          <w:bCs/>
          <w:szCs w:val="28"/>
          <w:lang w:val="uk-UA"/>
        </w:rPr>
        <w:t xml:space="preserve"> </w:t>
      </w:r>
      <w:r w:rsidR="00DF365C" w:rsidRPr="00E7794C">
        <w:rPr>
          <w:bCs/>
          <w:szCs w:val="28"/>
          <w:lang w:val="uk-UA"/>
        </w:rPr>
        <w:t>Н</w:t>
      </w:r>
      <w:r w:rsidR="00E636FE" w:rsidRPr="00E7794C">
        <w:rPr>
          <w:bCs/>
          <w:szCs w:val="28"/>
          <w:lang w:val="uk-UA"/>
        </w:rPr>
        <w:t xml:space="preserve">е є також </w:t>
      </w:r>
      <w:r w:rsidR="00B47AA5" w:rsidRPr="00E7794C">
        <w:rPr>
          <w:bCs/>
          <w:szCs w:val="28"/>
          <w:lang w:val="uk-UA"/>
        </w:rPr>
        <w:t xml:space="preserve">чітко </w:t>
      </w:r>
      <w:r w:rsidR="00E636FE" w:rsidRPr="00E7794C">
        <w:rPr>
          <w:bCs/>
          <w:szCs w:val="28"/>
          <w:lang w:val="uk-UA"/>
        </w:rPr>
        <w:t>зрозумілим</w:t>
      </w:r>
      <w:r w:rsidR="00DF365C" w:rsidRPr="00E7794C">
        <w:rPr>
          <w:bCs/>
          <w:szCs w:val="28"/>
          <w:lang w:val="uk-UA"/>
        </w:rPr>
        <w:t xml:space="preserve">, що означає застосоване у цьому приписі уточнення </w:t>
      </w:r>
      <w:r w:rsidR="00D03DBA" w:rsidRPr="00E7794C">
        <w:rPr>
          <w:bCs/>
          <w:szCs w:val="28"/>
          <w:lang w:val="uk-UA"/>
        </w:rPr>
        <w:t>«з дотриманням загальної чисельності суддів у Сенаті, визначеної відповідно до частини першої статті 36 Закону</w:t>
      </w:r>
      <w:r w:rsidR="000177C5" w:rsidRPr="00E7794C">
        <w:rPr>
          <w:bCs/>
          <w:szCs w:val="28"/>
          <w:lang w:val="uk-UA"/>
        </w:rPr>
        <w:t>»</w:t>
      </w:r>
      <w:r w:rsidR="006348E8" w:rsidRPr="00E7794C">
        <w:rPr>
          <w:bCs/>
          <w:szCs w:val="28"/>
          <w:lang w:val="uk-UA"/>
        </w:rPr>
        <w:t xml:space="preserve"> </w:t>
      </w:r>
      <w:r w:rsidR="006A7B68" w:rsidRPr="00E7794C">
        <w:rPr>
          <w:bCs/>
          <w:szCs w:val="28"/>
          <w:lang w:val="uk-UA"/>
        </w:rPr>
        <w:t xml:space="preserve">(так, відповідно до </w:t>
      </w:r>
      <w:proofErr w:type="spellStart"/>
      <w:r w:rsidR="006A7B68" w:rsidRPr="00E7794C">
        <w:rPr>
          <w:bCs/>
          <w:szCs w:val="28"/>
          <w:lang w:val="uk-UA"/>
        </w:rPr>
        <w:t>абз</w:t>
      </w:r>
      <w:proofErr w:type="spellEnd"/>
      <w:r w:rsidR="006A7B68" w:rsidRPr="00E7794C">
        <w:rPr>
          <w:bCs/>
          <w:szCs w:val="28"/>
          <w:lang w:val="uk-UA"/>
        </w:rPr>
        <w:t>. 1 ч. 1 ст. 36 Закону С</w:t>
      </w:r>
      <w:r w:rsidR="00A07D03" w:rsidRPr="00E7794C">
        <w:rPr>
          <w:bCs/>
          <w:szCs w:val="28"/>
          <w:lang w:val="uk-UA"/>
        </w:rPr>
        <w:t xml:space="preserve">енат діє у складі </w:t>
      </w:r>
      <w:r w:rsidR="00A07D03" w:rsidRPr="00E7794C">
        <w:rPr>
          <w:bCs/>
          <w:i/>
          <w:szCs w:val="28"/>
          <w:lang w:val="uk-UA"/>
        </w:rPr>
        <w:t xml:space="preserve">дев’яти </w:t>
      </w:r>
      <w:r w:rsidR="00A07D03" w:rsidRPr="00E7794C">
        <w:rPr>
          <w:bCs/>
          <w:szCs w:val="28"/>
          <w:lang w:val="uk-UA"/>
        </w:rPr>
        <w:t>суддів Конститу</w:t>
      </w:r>
      <w:r w:rsidR="006A7B68" w:rsidRPr="00E7794C">
        <w:rPr>
          <w:bCs/>
          <w:szCs w:val="28"/>
          <w:lang w:val="uk-UA"/>
        </w:rPr>
        <w:t xml:space="preserve">ційного Суду, в той час як </w:t>
      </w:r>
      <w:proofErr w:type="spellStart"/>
      <w:r w:rsidR="006A7B68" w:rsidRPr="00E7794C">
        <w:rPr>
          <w:bCs/>
          <w:szCs w:val="28"/>
          <w:lang w:val="uk-UA"/>
        </w:rPr>
        <w:t>абз</w:t>
      </w:r>
      <w:proofErr w:type="spellEnd"/>
      <w:r w:rsidR="006A7B68" w:rsidRPr="00E7794C">
        <w:rPr>
          <w:bCs/>
          <w:szCs w:val="28"/>
          <w:lang w:val="uk-UA"/>
        </w:rPr>
        <w:t xml:space="preserve">. 2 ч. 1 даної статті передбачено, </w:t>
      </w:r>
      <w:bookmarkStart w:id="7" w:name="n231"/>
      <w:bookmarkEnd w:id="7"/>
      <w:r w:rsidR="006A7B68" w:rsidRPr="00E7794C">
        <w:rPr>
          <w:bCs/>
          <w:szCs w:val="28"/>
          <w:lang w:val="uk-UA"/>
        </w:rPr>
        <w:t>я</w:t>
      </w:r>
      <w:r w:rsidR="00A07D03" w:rsidRPr="00E7794C">
        <w:rPr>
          <w:bCs/>
          <w:szCs w:val="28"/>
          <w:lang w:val="uk-UA"/>
        </w:rPr>
        <w:t xml:space="preserve">кщо кількість суддів Конституційного Суду є меншою за 18, Сенат є повноважним за умови участі в ньому щонайменше </w:t>
      </w:r>
      <w:r w:rsidR="00A07D03" w:rsidRPr="00E7794C">
        <w:rPr>
          <w:bCs/>
          <w:i/>
          <w:szCs w:val="28"/>
          <w:lang w:val="uk-UA"/>
        </w:rPr>
        <w:t xml:space="preserve">шести </w:t>
      </w:r>
      <w:r w:rsidR="00A07D03" w:rsidRPr="00E7794C">
        <w:rPr>
          <w:bCs/>
          <w:szCs w:val="28"/>
          <w:lang w:val="uk-UA"/>
        </w:rPr>
        <w:t>суддів Конституційного Суду</w:t>
      </w:r>
      <w:r w:rsidR="006A7B68" w:rsidRPr="00E7794C">
        <w:rPr>
          <w:bCs/>
          <w:szCs w:val="28"/>
          <w:lang w:val="uk-UA"/>
        </w:rPr>
        <w:t>)</w:t>
      </w:r>
      <w:r w:rsidR="00A07D03" w:rsidRPr="00E7794C">
        <w:rPr>
          <w:bCs/>
          <w:szCs w:val="28"/>
          <w:lang w:val="uk-UA"/>
        </w:rPr>
        <w:t>.</w:t>
      </w:r>
    </w:p>
    <w:p w:rsidR="00641E29" w:rsidRPr="00E7794C" w:rsidRDefault="00641E29" w:rsidP="00BD6604">
      <w:pPr>
        <w:spacing w:after="0" w:line="240" w:lineRule="auto"/>
        <w:ind w:firstLine="709"/>
        <w:contextualSpacing/>
        <w:jc w:val="both"/>
        <w:rPr>
          <w:szCs w:val="28"/>
          <w:lang w:val="uk-UA" w:eastAsia="ru-RU"/>
        </w:rPr>
      </w:pPr>
    </w:p>
    <w:p w:rsidR="00641E29" w:rsidRPr="00E7794C" w:rsidRDefault="00641E29" w:rsidP="00BD6604">
      <w:pPr>
        <w:spacing w:after="0" w:line="240" w:lineRule="auto"/>
        <w:ind w:right="-5" w:firstLine="709"/>
        <w:jc w:val="both"/>
        <w:rPr>
          <w:w w:val="101"/>
          <w:szCs w:val="28"/>
          <w:lang w:val="uk-UA"/>
        </w:rPr>
      </w:pPr>
      <w:r w:rsidRPr="00E7794C">
        <w:rPr>
          <w:w w:val="101"/>
          <w:szCs w:val="28"/>
          <w:lang w:val="uk-UA"/>
        </w:rPr>
        <w:t xml:space="preserve">Керівник Головного управління </w:t>
      </w:r>
      <w:r w:rsidRPr="00E7794C">
        <w:rPr>
          <w:w w:val="101"/>
          <w:szCs w:val="28"/>
          <w:lang w:val="uk-UA"/>
        </w:rPr>
        <w:tab/>
      </w:r>
      <w:r w:rsidRPr="00E7794C">
        <w:rPr>
          <w:w w:val="101"/>
          <w:szCs w:val="28"/>
          <w:lang w:val="uk-UA"/>
        </w:rPr>
        <w:tab/>
        <w:t xml:space="preserve">              </w:t>
      </w:r>
      <w:r w:rsidR="00BD6604" w:rsidRPr="00E7794C">
        <w:rPr>
          <w:w w:val="101"/>
          <w:szCs w:val="28"/>
          <w:lang w:val="uk-UA"/>
        </w:rPr>
        <w:t xml:space="preserve">                    </w:t>
      </w:r>
      <w:r w:rsidRPr="00E7794C">
        <w:rPr>
          <w:w w:val="101"/>
          <w:szCs w:val="28"/>
          <w:lang w:val="uk-UA"/>
        </w:rPr>
        <w:t xml:space="preserve"> С. </w:t>
      </w:r>
      <w:proofErr w:type="spellStart"/>
      <w:r w:rsidRPr="00E7794C">
        <w:rPr>
          <w:w w:val="101"/>
          <w:szCs w:val="28"/>
          <w:lang w:val="uk-UA"/>
        </w:rPr>
        <w:t>Тихонюк</w:t>
      </w:r>
      <w:proofErr w:type="spellEnd"/>
    </w:p>
    <w:p w:rsidR="00641E29" w:rsidRPr="00E7794C" w:rsidRDefault="00641E29" w:rsidP="00BD6604">
      <w:pPr>
        <w:tabs>
          <w:tab w:val="num" w:pos="540"/>
          <w:tab w:val="left" w:pos="900"/>
        </w:tabs>
        <w:spacing w:after="0" w:line="240" w:lineRule="auto"/>
        <w:ind w:firstLine="709"/>
        <w:jc w:val="both"/>
        <w:rPr>
          <w:rFonts w:eastAsia="Times New Roman"/>
          <w:lang w:val="uk-UA"/>
        </w:rPr>
      </w:pPr>
    </w:p>
    <w:p w:rsidR="00BD2A59" w:rsidRPr="00E7794C" w:rsidRDefault="00641E29" w:rsidP="001E68D4">
      <w:pPr>
        <w:spacing w:after="0" w:line="240" w:lineRule="auto"/>
        <w:ind w:firstLine="709"/>
        <w:jc w:val="both"/>
        <w:rPr>
          <w:rFonts w:eastAsia="Times New Roman"/>
          <w:sz w:val="20"/>
          <w:szCs w:val="20"/>
          <w:lang w:val="uk-UA"/>
        </w:rPr>
      </w:pPr>
      <w:proofErr w:type="spellStart"/>
      <w:r w:rsidRPr="00E7794C">
        <w:rPr>
          <w:rFonts w:eastAsia="Times New Roman"/>
          <w:sz w:val="20"/>
          <w:szCs w:val="20"/>
          <w:lang w:val="uk-UA"/>
        </w:rPr>
        <w:t>Вик</w:t>
      </w:r>
      <w:proofErr w:type="spellEnd"/>
      <w:r w:rsidRPr="00E7794C">
        <w:rPr>
          <w:rFonts w:eastAsia="Times New Roman"/>
          <w:sz w:val="20"/>
          <w:szCs w:val="20"/>
          <w:lang w:val="uk-UA"/>
        </w:rPr>
        <w:t xml:space="preserve">.:  </w:t>
      </w:r>
      <w:r w:rsidR="00F9056C" w:rsidRPr="00E7794C">
        <w:rPr>
          <w:rFonts w:eastAsia="Times New Roman"/>
          <w:sz w:val="20"/>
          <w:szCs w:val="20"/>
          <w:lang w:val="uk-UA"/>
        </w:rPr>
        <w:t xml:space="preserve">І. </w:t>
      </w:r>
      <w:proofErr w:type="spellStart"/>
      <w:r w:rsidR="00F9056C" w:rsidRPr="00E7794C">
        <w:rPr>
          <w:rFonts w:eastAsia="Times New Roman"/>
          <w:sz w:val="20"/>
          <w:szCs w:val="20"/>
          <w:lang w:val="uk-UA"/>
        </w:rPr>
        <w:t>Лагус</w:t>
      </w:r>
      <w:proofErr w:type="spellEnd"/>
      <w:r w:rsidR="00F9056C" w:rsidRPr="00E7794C">
        <w:rPr>
          <w:rFonts w:eastAsia="Times New Roman"/>
          <w:sz w:val="20"/>
          <w:szCs w:val="20"/>
          <w:lang w:val="uk-UA"/>
        </w:rPr>
        <w:t xml:space="preserve">, </w:t>
      </w:r>
      <w:r w:rsidRPr="00E7794C">
        <w:rPr>
          <w:rFonts w:eastAsia="Times New Roman"/>
          <w:sz w:val="20"/>
          <w:szCs w:val="20"/>
          <w:lang w:val="uk-UA"/>
        </w:rPr>
        <w:t>О. Мірошниченко</w:t>
      </w:r>
    </w:p>
    <w:sectPr w:rsidR="00BD2A59" w:rsidRPr="00E7794C" w:rsidSect="00BD6604">
      <w:headerReference w:type="default" r:id="rId8"/>
      <w:headerReference w:type="first" r:id="rId9"/>
      <w:pgSz w:w="11906" w:h="16838"/>
      <w:pgMar w:top="850" w:right="850" w:bottom="1134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A26" w:rsidRDefault="00901A26" w:rsidP="00A70000">
      <w:pPr>
        <w:spacing w:after="0" w:line="240" w:lineRule="auto"/>
      </w:pPr>
      <w:r>
        <w:separator/>
      </w:r>
    </w:p>
  </w:endnote>
  <w:endnote w:type="continuationSeparator" w:id="0">
    <w:p w:rsidR="00901A26" w:rsidRDefault="00901A26" w:rsidP="00A70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A26" w:rsidRDefault="00901A26" w:rsidP="00A70000">
      <w:pPr>
        <w:spacing w:after="0" w:line="240" w:lineRule="auto"/>
      </w:pPr>
      <w:r>
        <w:separator/>
      </w:r>
    </w:p>
  </w:footnote>
  <w:footnote w:type="continuationSeparator" w:id="0">
    <w:p w:rsidR="00901A26" w:rsidRDefault="00901A26" w:rsidP="00A70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288922"/>
      <w:docPartObj>
        <w:docPartGallery w:val="Page Numbers (Top of Page)"/>
        <w:docPartUnique/>
      </w:docPartObj>
    </w:sdtPr>
    <w:sdtEndPr/>
    <w:sdtContent>
      <w:p w:rsidR="00641E29" w:rsidRDefault="001B41FD">
        <w:pPr>
          <w:pStyle w:val="a7"/>
          <w:jc w:val="right"/>
        </w:pPr>
        <w:r>
          <w:fldChar w:fldCharType="begin"/>
        </w:r>
        <w:r w:rsidR="00AF591B">
          <w:instrText xml:space="preserve"> PAGE   \* MERGEFORMAT </w:instrText>
        </w:r>
        <w:r>
          <w:fldChar w:fldCharType="separate"/>
        </w:r>
        <w:r w:rsidR="000C493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70000" w:rsidRPr="00A70000" w:rsidRDefault="00A70000" w:rsidP="00A70000">
    <w:pPr>
      <w:pStyle w:val="a7"/>
      <w:jc w:val="right"/>
      <w:rPr>
        <w:sz w:val="22"/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E29" w:rsidRPr="00CC5C16" w:rsidRDefault="00641E29" w:rsidP="009A598B">
    <w:pPr>
      <w:pStyle w:val="a7"/>
      <w:jc w:val="right"/>
      <w:rPr>
        <w:sz w:val="22"/>
        <w:lang w:val="uk-UA"/>
      </w:rPr>
    </w:pPr>
    <w:r>
      <w:rPr>
        <w:sz w:val="22"/>
        <w:lang w:val="uk-UA"/>
      </w:rPr>
      <w:t xml:space="preserve">                                                                                                                  </w:t>
    </w:r>
    <w:r w:rsidRPr="00CC5C16">
      <w:rPr>
        <w:sz w:val="22"/>
        <w:lang w:val="uk-UA"/>
      </w:rPr>
      <w:t xml:space="preserve">До </w:t>
    </w:r>
    <w:r w:rsidR="00042635" w:rsidRPr="00CC5C16">
      <w:rPr>
        <w:sz w:val="22"/>
        <w:lang w:val="uk-UA"/>
      </w:rPr>
      <w:t xml:space="preserve">реєстр. </w:t>
    </w:r>
    <w:r w:rsidRPr="00CC5C16">
      <w:rPr>
        <w:sz w:val="22"/>
        <w:lang w:val="uk-UA"/>
      </w:rPr>
      <w:t>№</w:t>
    </w:r>
    <w:r w:rsidR="00042635" w:rsidRPr="00CC5C16">
      <w:rPr>
        <w:sz w:val="22"/>
        <w:lang w:val="uk-UA"/>
      </w:rPr>
      <w:t xml:space="preserve"> 4319 </w:t>
    </w:r>
    <w:r w:rsidRPr="00CC5C16">
      <w:rPr>
        <w:sz w:val="22"/>
        <w:lang w:val="uk-UA"/>
      </w:rPr>
      <w:t>від 05.11</w:t>
    </w:r>
    <w:r w:rsidR="0030042C">
      <w:rPr>
        <w:sz w:val="22"/>
        <w:lang w:val="uk-UA"/>
      </w:rPr>
      <w:t>.</w:t>
    </w:r>
    <w:r w:rsidRPr="00CC5C16">
      <w:rPr>
        <w:sz w:val="22"/>
        <w:lang w:val="uk-UA"/>
      </w:rPr>
      <w:t>2020</w:t>
    </w:r>
  </w:p>
  <w:p w:rsidR="00641E29" w:rsidRPr="00CC5C16" w:rsidRDefault="00641E29" w:rsidP="009A598B">
    <w:pPr>
      <w:pStyle w:val="a7"/>
      <w:jc w:val="right"/>
      <w:rPr>
        <w:sz w:val="22"/>
        <w:lang w:val="uk-UA"/>
      </w:rPr>
    </w:pPr>
    <w:r w:rsidRPr="00CC5C16">
      <w:rPr>
        <w:sz w:val="22"/>
        <w:lang w:val="uk-UA"/>
      </w:rPr>
      <w:t xml:space="preserve">                                                                                                                           Народн</w:t>
    </w:r>
    <w:r w:rsidR="00042635" w:rsidRPr="00CC5C16">
      <w:rPr>
        <w:sz w:val="22"/>
        <w:lang w:val="uk-UA"/>
      </w:rPr>
      <w:t>і</w:t>
    </w:r>
    <w:r w:rsidRPr="00CC5C16">
      <w:rPr>
        <w:sz w:val="22"/>
        <w:lang w:val="uk-UA"/>
      </w:rPr>
      <w:t xml:space="preserve"> депутат</w:t>
    </w:r>
    <w:r w:rsidR="00042635" w:rsidRPr="00CC5C16">
      <w:rPr>
        <w:sz w:val="22"/>
        <w:lang w:val="uk-UA"/>
      </w:rPr>
      <w:t>и</w:t>
    </w:r>
    <w:r w:rsidRPr="00CC5C16">
      <w:rPr>
        <w:sz w:val="22"/>
        <w:lang w:val="uk-UA"/>
      </w:rPr>
      <w:t xml:space="preserve"> України </w:t>
    </w:r>
  </w:p>
  <w:p w:rsidR="00641E29" w:rsidRPr="00641E29" w:rsidRDefault="00641E29" w:rsidP="009A598B">
    <w:pPr>
      <w:pStyle w:val="a7"/>
      <w:jc w:val="right"/>
      <w:rPr>
        <w:lang w:val="uk-UA"/>
      </w:rPr>
    </w:pPr>
    <w:r w:rsidRPr="00CC5C16">
      <w:rPr>
        <w:sz w:val="22"/>
        <w:lang w:val="uk-UA"/>
      </w:rPr>
      <w:t xml:space="preserve">       О. </w:t>
    </w:r>
    <w:proofErr w:type="spellStart"/>
    <w:r w:rsidRPr="00CC5C16">
      <w:rPr>
        <w:sz w:val="22"/>
        <w:lang w:val="uk-UA"/>
      </w:rPr>
      <w:t>Совгиря</w:t>
    </w:r>
    <w:proofErr w:type="spellEnd"/>
    <w:r w:rsidR="009A598B" w:rsidRPr="00CC5C16">
      <w:rPr>
        <w:sz w:val="22"/>
        <w:lang w:val="uk-UA"/>
      </w:rPr>
      <w:t xml:space="preserve"> та інші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A484E"/>
    <w:multiLevelType w:val="hybridMultilevel"/>
    <w:tmpl w:val="8522F1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67684"/>
    <w:multiLevelType w:val="multilevel"/>
    <w:tmpl w:val="7348156E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 w15:restartNumberingAfterBreak="0">
    <w:nsid w:val="7A333C03"/>
    <w:multiLevelType w:val="multilevel"/>
    <w:tmpl w:val="7348156E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DE2"/>
    <w:rsid w:val="00010D1A"/>
    <w:rsid w:val="00012D6D"/>
    <w:rsid w:val="000177C5"/>
    <w:rsid w:val="00035DCF"/>
    <w:rsid w:val="00042635"/>
    <w:rsid w:val="00043B95"/>
    <w:rsid w:val="00060198"/>
    <w:rsid w:val="00067740"/>
    <w:rsid w:val="0008660E"/>
    <w:rsid w:val="00094E80"/>
    <w:rsid w:val="000C4933"/>
    <w:rsid w:val="000C7DE2"/>
    <w:rsid w:val="000D45DF"/>
    <w:rsid w:val="000D49C1"/>
    <w:rsid w:val="000E17B3"/>
    <w:rsid w:val="000F7A86"/>
    <w:rsid w:val="0010256B"/>
    <w:rsid w:val="00122C97"/>
    <w:rsid w:val="0012372A"/>
    <w:rsid w:val="001346CC"/>
    <w:rsid w:val="00137AC4"/>
    <w:rsid w:val="00137CDD"/>
    <w:rsid w:val="001547AC"/>
    <w:rsid w:val="00162280"/>
    <w:rsid w:val="00164426"/>
    <w:rsid w:val="00176225"/>
    <w:rsid w:val="00184DBF"/>
    <w:rsid w:val="001861DF"/>
    <w:rsid w:val="001B41FD"/>
    <w:rsid w:val="001B71EF"/>
    <w:rsid w:val="001B7FB7"/>
    <w:rsid w:val="001C10F2"/>
    <w:rsid w:val="001C26A4"/>
    <w:rsid w:val="001C3D2A"/>
    <w:rsid w:val="001D47B8"/>
    <w:rsid w:val="001E68D4"/>
    <w:rsid w:val="001F3BCC"/>
    <w:rsid w:val="00206A68"/>
    <w:rsid w:val="00224AA1"/>
    <w:rsid w:val="002634E4"/>
    <w:rsid w:val="002A0E82"/>
    <w:rsid w:val="002B1392"/>
    <w:rsid w:val="002C3AA5"/>
    <w:rsid w:val="002D4EE5"/>
    <w:rsid w:val="002F677E"/>
    <w:rsid w:val="0030042C"/>
    <w:rsid w:val="0032546D"/>
    <w:rsid w:val="003338BA"/>
    <w:rsid w:val="003551F2"/>
    <w:rsid w:val="003A3166"/>
    <w:rsid w:val="003B2A0C"/>
    <w:rsid w:val="003B5C5A"/>
    <w:rsid w:val="003C30C0"/>
    <w:rsid w:val="003E2A97"/>
    <w:rsid w:val="0040269E"/>
    <w:rsid w:val="00404865"/>
    <w:rsid w:val="004349EF"/>
    <w:rsid w:val="00437FBA"/>
    <w:rsid w:val="00442F2B"/>
    <w:rsid w:val="004529E3"/>
    <w:rsid w:val="004752DB"/>
    <w:rsid w:val="004907A8"/>
    <w:rsid w:val="004939BB"/>
    <w:rsid w:val="00495453"/>
    <w:rsid w:val="004979C4"/>
    <w:rsid w:val="004C099C"/>
    <w:rsid w:val="004D015F"/>
    <w:rsid w:val="004D6719"/>
    <w:rsid w:val="004E5BD3"/>
    <w:rsid w:val="004F0641"/>
    <w:rsid w:val="004F3120"/>
    <w:rsid w:val="004F6AA2"/>
    <w:rsid w:val="00512FFD"/>
    <w:rsid w:val="00520A3F"/>
    <w:rsid w:val="005319C6"/>
    <w:rsid w:val="00536562"/>
    <w:rsid w:val="005374AB"/>
    <w:rsid w:val="00546B25"/>
    <w:rsid w:val="00562694"/>
    <w:rsid w:val="0058507C"/>
    <w:rsid w:val="005A31D6"/>
    <w:rsid w:val="005E0A09"/>
    <w:rsid w:val="005F5724"/>
    <w:rsid w:val="00605DE7"/>
    <w:rsid w:val="006129E3"/>
    <w:rsid w:val="00624833"/>
    <w:rsid w:val="006273B1"/>
    <w:rsid w:val="006348E8"/>
    <w:rsid w:val="00641E29"/>
    <w:rsid w:val="00646523"/>
    <w:rsid w:val="00666CC3"/>
    <w:rsid w:val="00695AA1"/>
    <w:rsid w:val="006A50D0"/>
    <w:rsid w:val="006A7B68"/>
    <w:rsid w:val="006D6022"/>
    <w:rsid w:val="00715648"/>
    <w:rsid w:val="007212BC"/>
    <w:rsid w:val="00722950"/>
    <w:rsid w:val="0072691E"/>
    <w:rsid w:val="00726F36"/>
    <w:rsid w:val="00732DC6"/>
    <w:rsid w:val="00740793"/>
    <w:rsid w:val="0074498C"/>
    <w:rsid w:val="00762BAA"/>
    <w:rsid w:val="00794E1C"/>
    <w:rsid w:val="00797CCA"/>
    <w:rsid w:val="007E1B04"/>
    <w:rsid w:val="007E5E28"/>
    <w:rsid w:val="007E69E0"/>
    <w:rsid w:val="007F2EC4"/>
    <w:rsid w:val="0081185C"/>
    <w:rsid w:val="00814AFF"/>
    <w:rsid w:val="00823613"/>
    <w:rsid w:val="00841792"/>
    <w:rsid w:val="00856DB2"/>
    <w:rsid w:val="008878DC"/>
    <w:rsid w:val="008A33AC"/>
    <w:rsid w:val="008C60CA"/>
    <w:rsid w:val="008C6B57"/>
    <w:rsid w:val="008E2D9B"/>
    <w:rsid w:val="008F1194"/>
    <w:rsid w:val="008F2345"/>
    <w:rsid w:val="008F47A3"/>
    <w:rsid w:val="008F4F71"/>
    <w:rsid w:val="00901A26"/>
    <w:rsid w:val="00925824"/>
    <w:rsid w:val="0093530C"/>
    <w:rsid w:val="0095339F"/>
    <w:rsid w:val="0096004F"/>
    <w:rsid w:val="00966DD2"/>
    <w:rsid w:val="00972EEB"/>
    <w:rsid w:val="0098177C"/>
    <w:rsid w:val="0098780F"/>
    <w:rsid w:val="009A146B"/>
    <w:rsid w:val="009A598B"/>
    <w:rsid w:val="009B565B"/>
    <w:rsid w:val="009E469E"/>
    <w:rsid w:val="009F1291"/>
    <w:rsid w:val="00A05731"/>
    <w:rsid w:val="00A07D03"/>
    <w:rsid w:val="00A1000F"/>
    <w:rsid w:val="00A35227"/>
    <w:rsid w:val="00A36F68"/>
    <w:rsid w:val="00A417FD"/>
    <w:rsid w:val="00A53D12"/>
    <w:rsid w:val="00A57CB1"/>
    <w:rsid w:val="00A66026"/>
    <w:rsid w:val="00A70000"/>
    <w:rsid w:val="00AB043A"/>
    <w:rsid w:val="00AB156A"/>
    <w:rsid w:val="00AB1ABF"/>
    <w:rsid w:val="00AC443D"/>
    <w:rsid w:val="00AD51E1"/>
    <w:rsid w:val="00AE05FA"/>
    <w:rsid w:val="00AF591B"/>
    <w:rsid w:val="00B13722"/>
    <w:rsid w:val="00B223D4"/>
    <w:rsid w:val="00B47362"/>
    <w:rsid w:val="00B47AA5"/>
    <w:rsid w:val="00B91123"/>
    <w:rsid w:val="00B9270F"/>
    <w:rsid w:val="00BB4C2E"/>
    <w:rsid w:val="00BB79ED"/>
    <w:rsid w:val="00BC6B44"/>
    <w:rsid w:val="00BD2A59"/>
    <w:rsid w:val="00BD6604"/>
    <w:rsid w:val="00C0074D"/>
    <w:rsid w:val="00C03385"/>
    <w:rsid w:val="00C71FF5"/>
    <w:rsid w:val="00C72763"/>
    <w:rsid w:val="00C74996"/>
    <w:rsid w:val="00C7581B"/>
    <w:rsid w:val="00C84077"/>
    <w:rsid w:val="00C92C82"/>
    <w:rsid w:val="00CC5C16"/>
    <w:rsid w:val="00CD2147"/>
    <w:rsid w:val="00CD49BC"/>
    <w:rsid w:val="00CD5B8D"/>
    <w:rsid w:val="00CE7B2B"/>
    <w:rsid w:val="00CF3462"/>
    <w:rsid w:val="00D03DBA"/>
    <w:rsid w:val="00D17455"/>
    <w:rsid w:val="00D40B61"/>
    <w:rsid w:val="00D44DC4"/>
    <w:rsid w:val="00D7739E"/>
    <w:rsid w:val="00DB7FF3"/>
    <w:rsid w:val="00DE6D78"/>
    <w:rsid w:val="00DF365C"/>
    <w:rsid w:val="00E00576"/>
    <w:rsid w:val="00E04086"/>
    <w:rsid w:val="00E32885"/>
    <w:rsid w:val="00E34438"/>
    <w:rsid w:val="00E61317"/>
    <w:rsid w:val="00E636FE"/>
    <w:rsid w:val="00E64CA7"/>
    <w:rsid w:val="00E7069E"/>
    <w:rsid w:val="00E73EBA"/>
    <w:rsid w:val="00E76F8B"/>
    <w:rsid w:val="00E7794C"/>
    <w:rsid w:val="00E822C0"/>
    <w:rsid w:val="00E968E1"/>
    <w:rsid w:val="00EC3F89"/>
    <w:rsid w:val="00EE2347"/>
    <w:rsid w:val="00F25C5F"/>
    <w:rsid w:val="00F35572"/>
    <w:rsid w:val="00F41D26"/>
    <w:rsid w:val="00F50D83"/>
    <w:rsid w:val="00F528FA"/>
    <w:rsid w:val="00F55C71"/>
    <w:rsid w:val="00F57AB5"/>
    <w:rsid w:val="00F80E0E"/>
    <w:rsid w:val="00F865DC"/>
    <w:rsid w:val="00F9056C"/>
    <w:rsid w:val="00FA4E45"/>
    <w:rsid w:val="00FD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C80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DE2"/>
    <w:pPr>
      <w:spacing w:after="160" w:line="256" w:lineRule="auto"/>
    </w:pPr>
    <w:rPr>
      <w:rFonts w:ascii="Times New Roman" w:eastAsia="Calibri" w:hAnsi="Times New Roman" w:cs="Times New Roman"/>
      <w:sz w:val="28"/>
      <w:lang w:val="ru-RU"/>
    </w:rPr>
  </w:style>
  <w:style w:type="paragraph" w:styleId="3">
    <w:name w:val="heading 3"/>
    <w:basedOn w:val="a"/>
    <w:link w:val="30"/>
    <w:uiPriority w:val="9"/>
    <w:qFormat/>
    <w:rsid w:val="00A70000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C7DE2"/>
    <w:pPr>
      <w:spacing w:after="0" w:line="240" w:lineRule="auto"/>
    </w:pPr>
    <w:rPr>
      <w:rFonts w:ascii="Times New Roman" w:eastAsia="Calibri" w:hAnsi="Times New Roman" w:cs="Times New Roman"/>
      <w:sz w:val="28"/>
      <w:lang w:val="ru-RU"/>
    </w:rPr>
  </w:style>
  <w:style w:type="paragraph" w:styleId="a4">
    <w:name w:val="List Paragraph"/>
    <w:basedOn w:val="a"/>
    <w:uiPriority w:val="34"/>
    <w:qFormat/>
    <w:rsid w:val="00695AA1"/>
    <w:pPr>
      <w:spacing w:line="259" w:lineRule="auto"/>
      <w:ind w:left="720"/>
      <w:contextualSpacing/>
    </w:pPr>
  </w:style>
  <w:style w:type="paragraph" w:styleId="a5">
    <w:name w:val="Body Text"/>
    <w:basedOn w:val="a"/>
    <w:link w:val="a6"/>
    <w:semiHidden/>
    <w:unhideWhenUsed/>
    <w:rsid w:val="004C099C"/>
    <w:pPr>
      <w:spacing w:after="0" w:line="240" w:lineRule="auto"/>
      <w:jc w:val="center"/>
    </w:pPr>
    <w:rPr>
      <w:rFonts w:eastAsia="Times New Roman"/>
      <w:b/>
      <w:szCs w:val="28"/>
      <w:lang w:val="uk-UA" w:eastAsia="ru-RU"/>
    </w:rPr>
  </w:style>
  <w:style w:type="character" w:customStyle="1" w:styleId="a6">
    <w:name w:val="Основний текст Знак"/>
    <w:basedOn w:val="a0"/>
    <w:link w:val="a5"/>
    <w:semiHidden/>
    <w:rsid w:val="004C099C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70000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7">
    <w:name w:val="header"/>
    <w:basedOn w:val="a"/>
    <w:link w:val="a8"/>
    <w:uiPriority w:val="99"/>
    <w:unhideWhenUsed/>
    <w:rsid w:val="00A7000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A70000"/>
    <w:rPr>
      <w:rFonts w:ascii="Times New Roman" w:eastAsia="Calibri" w:hAnsi="Times New Roman" w:cs="Times New Roman"/>
      <w:sz w:val="28"/>
      <w:lang w:val="ru-RU"/>
    </w:rPr>
  </w:style>
  <w:style w:type="paragraph" w:styleId="a9">
    <w:name w:val="footer"/>
    <w:basedOn w:val="a"/>
    <w:link w:val="aa"/>
    <w:uiPriority w:val="99"/>
    <w:unhideWhenUsed/>
    <w:rsid w:val="00A7000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A70000"/>
    <w:rPr>
      <w:rFonts w:ascii="Times New Roman" w:eastAsia="Calibri" w:hAnsi="Times New Roman" w:cs="Times New Roman"/>
      <w:sz w:val="28"/>
      <w:lang w:val="ru-RU"/>
    </w:rPr>
  </w:style>
  <w:style w:type="paragraph" w:customStyle="1" w:styleId="rvps2">
    <w:name w:val="rvps2"/>
    <w:basedOn w:val="a"/>
    <w:rsid w:val="00A36F6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uk-UA" w:eastAsia="uk-UA"/>
    </w:rPr>
  </w:style>
  <w:style w:type="character" w:customStyle="1" w:styleId="rvts9">
    <w:name w:val="rvts9"/>
    <w:basedOn w:val="a0"/>
    <w:rsid w:val="00A36F68"/>
  </w:style>
  <w:style w:type="character" w:customStyle="1" w:styleId="rvts46">
    <w:name w:val="rvts46"/>
    <w:basedOn w:val="a0"/>
    <w:rsid w:val="00A36F68"/>
  </w:style>
  <w:style w:type="character" w:customStyle="1" w:styleId="rvts11">
    <w:name w:val="rvts11"/>
    <w:basedOn w:val="a0"/>
    <w:rsid w:val="00A36F68"/>
  </w:style>
  <w:style w:type="character" w:styleId="ab">
    <w:name w:val="Hyperlink"/>
    <w:basedOn w:val="a0"/>
    <w:uiPriority w:val="99"/>
    <w:semiHidden/>
    <w:unhideWhenUsed/>
    <w:rsid w:val="00A36F68"/>
    <w:rPr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F41D26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uk-UA"/>
    </w:rPr>
  </w:style>
  <w:style w:type="character" w:customStyle="1" w:styleId="ad">
    <w:name w:val="Текст виноски Знак"/>
    <w:basedOn w:val="a0"/>
    <w:link w:val="ac"/>
    <w:uiPriority w:val="99"/>
    <w:semiHidden/>
    <w:rsid w:val="00F41D26"/>
    <w:rPr>
      <w:sz w:val="20"/>
      <w:szCs w:val="20"/>
    </w:rPr>
  </w:style>
  <w:style w:type="character" w:styleId="ae">
    <w:name w:val="footnote reference"/>
    <w:basedOn w:val="a0"/>
    <w:semiHidden/>
    <w:unhideWhenUsed/>
    <w:rsid w:val="00F41D26"/>
    <w:rPr>
      <w:vertAlign w:val="superscript"/>
    </w:rPr>
  </w:style>
  <w:style w:type="character" w:customStyle="1" w:styleId="tlid-translation">
    <w:name w:val="tlid-translation"/>
    <w:basedOn w:val="a0"/>
    <w:rsid w:val="00F41D26"/>
  </w:style>
  <w:style w:type="character" w:customStyle="1" w:styleId="rvts0">
    <w:name w:val="rvts0"/>
    <w:basedOn w:val="a0"/>
    <w:rsid w:val="001861DF"/>
  </w:style>
  <w:style w:type="paragraph" w:styleId="af">
    <w:name w:val="Balloon Text"/>
    <w:basedOn w:val="a"/>
    <w:link w:val="af0"/>
    <w:uiPriority w:val="99"/>
    <w:semiHidden/>
    <w:unhideWhenUsed/>
    <w:rsid w:val="00546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546B25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946545-19BB-439B-8546-70F39659A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5301</Words>
  <Characters>3022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2020-11-12T18:25:00Z</dcterms:created>
  <dcterms:modified xsi:type="dcterms:W3CDTF">2020-11-12T18:50:00Z</dcterms:modified>
</cp:coreProperties>
</file>