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17" w:rsidRPr="00310517" w:rsidRDefault="00310517" w:rsidP="00310517">
      <w:pPr>
        <w:ind w:firstLine="720"/>
        <w:jc w:val="right"/>
        <w:rPr>
          <w:sz w:val="28"/>
          <w:lang w:val="en-US"/>
        </w:rPr>
      </w:pPr>
      <w:r w:rsidRPr="00310517">
        <w:rPr>
          <w:sz w:val="28"/>
          <w:lang w:val="en-US"/>
        </w:rPr>
        <w:t>Проект</w:t>
      </w:r>
    </w:p>
    <w:p w:rsidR="00310517" w:rsidRPr="00310517" w:rsidRDefault="00310517" w:rsidP="00310517">
      <w:pPr>
        <w:ind w:firstLine="720"/>
        <w:jc w:val="right"/>
        <w:rPr>
          <w:sz w:val="28"/>
          <w:lang w:val="en-US"/>
        </w:rPr>
      </w:pPr>
      <w:r w:rsidRPr="00310517">
        <w:rPr>
          <w:sz w:val="28"/>
          <w:lang w:val="en-US"/>
        </w:rPr>
        <w:t>(тираж 13.04.2021)</w:t>
      </w:r>
    </w:p>
    <w:p w:rsidR="00310517" w:rsidRPr="00310517" w:rsidRDefault="00310517" w:rsidP="00310517">
      <w:pPr>
        <w:ind w:firstLine="720"/>
        <w:jc w:val="right"/>
        <w:rPr>
          <w:b/>
          <w:sz w:val="28"/>
          <w:lang w:val="en-US"/>
        </w:rPr>
      </w:pPr>
    </w:p>
    <w:p w:rsidR="00310517" w:rsidRPr="00310517" w:rsidRDefault="00310517" w:rsidP="00310517">
      <w:pPr>
        <w:ind w:firstLine="720"/>
        <w:jc w:val="center"/>
        <w:rPr>
          <w:sz w:val="28"/>
        </w:rPr>
      </w:pPr>
      <w:r w:rsidRPr="00310517">
        <w:rPr>
          <w:b/>
          <w:sz w:val="28"/>
        </w:rPr>
        <w:t>ЗАКОН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УКРАЇНИ</w:t>
      </w:r>
    </w:p>
    <w:p w:rsidR="00310517" w:rsidRPr="00310517" w:rsidRDefault="00310517" w:rsidP="00310517">
      <w:pPr>
        <w:ind w:firstLine="720"/>
        <w:jc w:val="center"/>
        <w:rPr>
          <w:sz w:val="28"/>
        </w:rPr>
      </w:pPr>
      <w:r w:rsidRPr="00310517">
        <w:rPr>
          <w:b/>
          <w:sz w:val="28"/>
        </w:rPr>
        <w:t>Про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внесення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змін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до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Податкового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кодексу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України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щодо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реструктуризації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зобов’язань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за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кредитами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в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іноземній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валюті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та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адаптації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процедур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неплатоспроможності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фізичних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осіб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Верховна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Рада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України</w:t>
      </w:r>
      <w:r w:rsidRPr="00310517">
        <w:rPr>
          <w:sz w:val="28"/>
        </w:rPr>
        <w:t xml:space="preserve"> </w:t>
      </w:r>
      <w:r w:rsidRPr="00310517">
        <w:rPr>
          <w:b/>
          <w:sz w:val="28"/>
        </w:rPr>
        <w:t>постановляє: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1.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Внести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Податкового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кодексу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України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(Відомості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Верховної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Ради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України,</w:t>
      </w:r>
      <w:r w:rsidRPr="00310517">
        <w:rPr>
          <w:sz w:val="28"/>
        </w:rPr>
        <w:t xml:space="preserve"> </w:t>
      </w:r>
      <w:r w:rsidRPr="00310517">
        <w:rPr>
          <w:sz w:val="28"/>
        </w:rPr>
        <w:t>2011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р.,</w:t>
      </w:r>
      <w:r w:rsidRPr="00310517">
        <w:rPr>
          <w:sz w:val="28"/>
        </w:rPr>
        <w:t xml:space="preserve"> </w:t>
      </w:r>
      <w:r w:rsidRPr="00310517">
        <w:rPr>
          <w:sz w:val="28"/>
        </w:rPr>
        <w:t>№№</w:t>
      </w:r>
      <w:r w:rsidRPr="00310517">
        <w:rPr>
          <w:sz w:val="28"/>
        </w:rPr>
        <w:t xml:space="preserve"> </w:t>
      </w:r>
      <w:r w:rsidRPr="00310517">
        <w:rPr>
          <w:sz w:val="28"/>
        </w:rPr>
        <w:t>13-17,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ст.</w:t>
      </w:r>
      <w:r w:rsidRPr="00310517">
        <w:rPr>
          <w:sz w:val="28"/>
        </w:rPr>
        <w:t xml:space="preserve"> </w:t>
      </w:r>
      <w:r w:rsidRPr="00310517">
        <w:rPr>
          <w:sz w:val="28"/>
        </w:rPr>
        <w:t>112</w:t>
      </w:r>
      <w:r w:rsidRPr="00310517">
        <w:rPr>
          <w:sz w:val="28"/>
        </w:rPr>
        <w:t xml:space="preserve"> </w:t>
      </w:r>
      <w:r w:rsidRPr="00310517">
        <w:rPr>
          <w:sz w:val="28"/>
        </w:rPr>
        <w:t>)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зміни: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1)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підпункт</w:t>
      </w:r>
      <w:r w:rsidRPr="00310517">
        <w:rPr>
          <w:sz w:val="28"/>
        </w:rPr>
        <w:t xml:space="preserve"> </w:t>
      </w:r>
      <w:r w:rsidRPr="00310517">
        <w:rPr>
          <w:sz w:val="28"/>
        </w:rPr>
        <w:t>14.1.11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пункту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14.1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статті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14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після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абзацу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одинадцятого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доповнити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новим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абзацом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змісту: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«и)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заборгованість</w:t>
      </w:r>
      <w:r w:rsidRPr="00310517">
        <w:rPr>
          <w:sz w:val="28"/>
        </w:rPr>
        <w:t xml:space="preserve"> </w:t>
      </w:r>
      <w:r w:rsidRPr="00310517">
        <w:rPr>
          <w:sz w:val="28"/>
        </w:rPr>
        <w:t>фізичної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особи,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яка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залишилася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непогашеною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перед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іпотекодержателем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після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здійснення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згідно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статтею</w:t>
      </w:r>
      <w:r w:rsidRPr="00310517">
        <w:rPr>
          <w:sz w:val="28"/>
        </w:rPr>
        <w:t xml:space="preserve"> </w:t>
      </w:r>
      <w:r w:rsidRPr="00310517">
        <w:rPr>
          <w:sz w:val="28"/>
        </w:rPr>
        <w:t>36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Закону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України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«Про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іпотеку»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звернення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стягнення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предмет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іпотеки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шляхом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позасудового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врегулювання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підставі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договору,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якщо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законом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договором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передбачено,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що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після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завершення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позасудового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врегулювання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будь-які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наступні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вимоги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іпотекодержателя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щодо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виконання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боржником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-</w:t>
      </w:r>
      <w:r w:rsidRPr="00310517">
        <w:rPr>
          <w:sz w:val="28"/>
        </w:rPr>
        <w:t xml:space="preserve"> </w:t>
      </w:r>
      <w:r w:rsidRPr="00310517">
        <w:rPr>
          <w:sz w:val="28"/>
        </w:rPr>
        <w:t>фізичною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особою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основного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зобов’язання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є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недійсними».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зв'язку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цим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абзаци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дванадцятий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-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п'ятнадцятий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вважати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відповідно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абзацами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тринадцятим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-</w:t>
      </w:r>
      <w:r w:rsidRPr="00310517">
        <w:rPr>
          <w:sz w:val="28"/>
        </w:rPr>
        <w:t xml:space="preserve"> </w:t>
      </w:r>
      <w:r w:rsidRPr="00310517">
        <w:rPr>
          <w:sz w:val="28"/>
        </w:rPr>
        <w:t>шістнадцятим;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2)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підпункті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164.2.17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пункту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164.2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статті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164: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абзац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перший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підпункту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"д"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викласти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редакції: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«д)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основної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суми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боргу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(кредиту)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платника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(крім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суми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прощеного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(анульованого)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основного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боргу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платника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іпотечним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іноземній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валюті,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забезпеченим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іпотекою</w:t>
      </w:r>
      <w:r w:rsidRPr="00310517">
        <w:rPr>
          <w:sz w:val="28"/>
        </w:rPr>
        <w:t xml:space="preserve"> </w:t>
      </w:r>
      <w:r w:rsidRPr="00310517">
        <w:rPr>
          <w:sz w:val="28"/>
        </w:rPr>
        <w:t>житлової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нерухомості),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прощеного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(анульованого)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кредитором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його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самостійним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рішенням,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пов'язаним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процедурою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банкрутства,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закінчення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строку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позовної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давності,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разі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якщо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його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сума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перевищує</w:t>
      </w:r>
      <w:r w:rsidRPr="00310517">
        <w:rPr>
          <w:sz w:val="28"/>
        </w:rPr>
        <w:t xml:space="preserve"> </w:t>
      </w:r>
      <w:r w:rsidRPr="00310517">
        <w:rPr>
          <w:sz w:val="28"/>
        </w:rPr>
        <w:t>25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відсотків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однієї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мінімальної</w:t>
      </w:r>
      <w:r w:rsidRPr="00310517">
        <w:rPr>
          <w:sz w:val="28"/>
        </w:rPr>
        <w:t xml:space="preserve"> </w:t>
      </w:r>
      <w:bookmarkStart w:id="0" w:name="_GoBack"/>
      <w:bookmarkEnd w:id="0"/>
      <w:r w:rsidRPr="00310517">
        <w:rPr>
          <w:sz w:val="28"/>
        </w:rPr>
        <w:t>заробітної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плати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(у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розрахунку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рік),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встановленої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1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січня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звітного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податкового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року.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Кредитор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зобов'язаний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повідомити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платника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-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боржника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шляхом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направлення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рекомендованого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листа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повідомленням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вручення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шляхом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укладення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відповідного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договору,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надання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повідомлення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боржнику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підпис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особисто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прощення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(анулювання)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боргу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включити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суму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прощеного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(анульованого)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боргу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податкового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розрахунку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суми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доходу,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нарахованого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(сплаченого)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користь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платників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податку,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підсумками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звітного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періоду,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якому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борг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було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прощено.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Боржник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самостійно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сплачує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податок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таких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доходів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відображає</w:t>
      </w:r>
      <w:r w:rsidRPr="00310517">
        <w:rPr>
          <w:sz w:val="28"/>
        </w:rPr>
        <w:t xml:space="preserve"> </w:t>
      </w:r>
      <w:r w:rsidRPr="00310517">
        <w:rPr>
          <w:sz w:val="28"/>
        </w:rPr>
        <w:t>їх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річній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податковій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декларації.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разі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неповідомлення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кредитором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боржника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прощення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(анулювання)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боргу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порядку,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визначеному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цим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підпунктом,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кредитор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зобов'язаний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виконати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всі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обов'язки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податкового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агента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щодо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доходів,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визначених</w:t>
      </w:r>
      <w:r w:rsidRPr="00310517">
        <w:rPr>
          <w:sz w:val="28"/>
        </w:rPr>
        <w:t xml:space="preserve"> </w:t>
      </w:r>
      <w:r w:rsidRPr="00310517">
        <w:rPr>
          <w:sz w:val="28"/>
        </w:rPr>
        <w:t>цим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підпунктом»;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lastRenderedPageBreak/>
        <w:t>підпункт</w:t>
      </w:r>
      <w:r w:rsidRPr="00310517">
        <w:rPr>
          <w:sz w:val="28"/>
        </w:rPr>
        <w:t xml:space="preserve"> </w:t>
      </w:r>
      <w:r w:rsidRPr="00310517">
        <w:rPr>
          <w:sz w:val="28"/>
        </w:rPr>
        <w:t>«е»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доповнити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реченням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змісту:</w:t>
      </w:r>
      <w:r w:rsidRPr="00310517">
        <w:rPr>
          <w:sz w:val="28"/>
        </w:rPr>
        <w:t xml:space="preserve"> </w:t>
      </w:r>
      <w:r w:rsidRPr="00310517">
        <w:rPr>
          <w:sz w:val="28"/>
        </w:rPr>
        <w:t>«Не</w:t>
      </w:r>
      <w:r w:rsidRPr="00310517">
        <w:rPr>
          <w:sz w:val="28"/>
        </w:rPr>
        <w:t xml:space="preserve"> </w:t>
      </w:r>
      <w:r w:rsidRPr="00310517">
        <w:rPr>
          <w:sz w:val="28"/>
        </w:rPr>
        <w:t>є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додатковим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благом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сума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знижки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звичайної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ціни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(вартості)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продажу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(відчуженні)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користь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платника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податків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житлової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нерухомості,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набутої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власність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внаслідок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звернення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стягнення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таке</w:t>
      </w:r>
      <w:r w:rsidRPr="00310517">
        <w:rPr>
          <w:sz w:val="28"/>
        </w:rPr>
        <w:t xml:space="preserve"> </w:t>
      </w:r>
      <w:r w:rsidRPr="00310517">
        <w:rPr>
          <w:sz w:val="28"/>
        </w:rPr>
        <w:t>майно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договорами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іпотеки,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що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забезпечує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наданий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іноземній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валюті»;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3)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пункті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165.1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статті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165: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підпункт</w:t>
      </w:r>
      <w:r w:rsidRPr="00310517">
        <w:rPr>
          <w:sz w:val="28"/>
        </w:rPr>
        <w:t xml:space="preserve"> </w:t>
      </w:r>
      <w:r w:rsidRPr="00310517">
        <w:rPr>
          <w:sz w:val="28"/>
        </w:rPr>
        <w:t>165.1.55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доповнити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абзацом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третім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змісту: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«основна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сума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боргу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(кредиту)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платника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податку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іпотечним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іноземній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валюті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забезпеченим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іпотекою</w:t>
      </w:r>
      <w:r w:rsidRPr="00310517">
        <w:rPr>
          <w:sz w:val="28"/>
        </w:rPr>
        <w:t xml:space="preserve"> </w:t>
      </w:r>
      <w:r w:rsidRPr="00310517">
        <w:rPr>
          <w:sz w:val="28"/>
        </w:rPr>
        <w:t>житлової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нерухомості,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прощеного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(анульованого)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кредитором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його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самостійним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рішенням,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пов'язаним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процедурою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банкрутства,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закінчення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строку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позовної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давності»;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підпункт</w:t>
      </w:r>
      <w:r w:rsidRPr="00310517">
        <w:rPr>
          <w:sz w:val="28"/>
        </w:rPr>
        <w:t xml:space="preserve"> </w:t>
      </w:r>
      <w:r w:rsidRPr="00310517">
        <w:rPr>
          <w:sz w:val="28"/>
        </w:rPr>
        <w:t>165.1.59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викласти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редакції: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«165.1.59.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суми,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які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зменшено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(прощено)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борг</w:t>
      </w:r>
      <w:r w:rsidRPr="00310517">
        <w:rPr>
          <w:sz w:val="28"/>
        </w:rPr>
        <w:t xml:space="preserve"> </w:t>
      </w:r>
      <w:r w:rsidRPr="00310517">
        <w:rPr>
          <w:sz w:val="28"/>
        </w:rPr>
        <w:t>фізичної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особи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шляхом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проведення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реструктуризації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зобов’язань,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передбачених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кредитним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договором,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відповідно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якого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кредитором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було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надано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позичальнику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-</w:t>
      </w:r>
      <w:r w:rsidRPr="00310517">
        <w:rPr>
          <w:sz w:val="28"/>
        </w:rPr>
        <w:t xml:space="preserve"> </w:t>
      </w:r>
      <w:r w:rsidRPr="00310517">
        <w:rPr>
          <w:sz w:val="28"/>
        </w:rPr>
        <w:t>фізичній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особі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іноземній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валюті,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якщо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така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реструктуризація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здійснена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відповідно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порядку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умовах,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встановлених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розділом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IV</w:t>
      </w:r>
      <w:r w:rsidRPr="00310517">
        <w:rPr>
          <w:sz w:val="28"/>
        </w:rPr>
        <w:t xml:space="preserve"> </w:t>
      </w:r>
      <w:r w:rsidRPr="00310517">
        <w:rPr>
          <w:sz w:val="28"/>
        </w:rPr>
        <w:t>«Прикінцеві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перехідні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положення»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Закону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України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«Про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споживче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кредитування»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пунктом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5</w:t>
      </w:r>
      <w:r w:rsidRPr="00310517">
        <w:rPr>
          <w:sz w:val="28"/>
        </w:rPr>
        <w:t xml:space="preserve"> </w:t>
      </w:r>
      <w:r w:rsidRPr="00310517">
        <w:rPr>
          <w:sz w:val="28"/>
        </w:rPr>
        <w:t>розділу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«Прикінцеві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та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перехідні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положення»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Кодексу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України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процедур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банкрутства»;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4)</w:t>
      </w:r>
      <w:r w:rsidRPr="00310517">
        <w:rPr>
          <w:sz w:val="28"/>
        </w:rPr>
        <w:t xml:space="preserve"> </w:t>
      </w:r>
      <w:r w:rsidRPr="00310517">
        <w:rPr>
          <w:sz w:val="28"/>
        </w:rPr>
        <w:t>абзац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перший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пункту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172.2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статті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172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після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слів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«більш</w:t>
      </w:r>
      <w:r w:rsidRPr="00310517">
        <w:rPr>
          <w:sz w:val="28"/>
        </w:rPr>
        <w:t xml:space="preserve"> </w:t>
      </w:r>
      <w:r w:rsidRPr="00310517">
        <w:rPr>
          <w:sz w:val="28"/>
        </w:rPr>
        <w:t>як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одного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об'єктів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нерухомості»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доповнити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словами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«(крім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операцій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відчуження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житлової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нерухомості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банками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порядку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звернення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стягнення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договорами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іпотеки,</w:t>
      </w:r>
      <w:r w:rsidRPr="00310517">
        <w:rPr>
          <w:sz w:val="28"/>
        </w:rPr>
        <w:t xml:space="preserve"> </w:t>
      </w:r>
      <w:r w:rsidRPr="00310517">
        <w:rPr>
          <w:sz w:val="28"/>
        </w:rPr>
        <w:t>що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забезпечують</w:t>
      </w:r>
      <w:r w:rsidRPr="00310517">
        <w:rPr>
          <w:sz w:val="28"/>
        </w:rPr>
        <w:t xml:space="preserve"> </w:t>
      </w:r>
      <w:r w:rsidRPr="00310517">
        <w:rPr>
          <w:sz w:val="28"/>
        </w:rPr>
        <w:t>кредит,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наданий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</w:t>
      </w:r>
      <w:r w:rsidRPr="00310517">
        <w:rPr>
          <w:sz w:val="28"/>
        </w:rPr>
        <w:t xml:space="preserve"> </w:t>
      </w:r>
      <w:r w:rsidRPr="00310517">
        <w:rPr>
          <w:sz w:val="28"/>
        </w:rPr>
        <w:t>іноземній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валюті)».</w:t>
      </w:r>
    </w:p>
    <w:p w:rsidR="00310517" w:rsidRDefault="00310517" w:rsidP="00310517">
      <w:pPr>
        <w:ind w:firstLine="720"/>
        <w:jc w:val="both"/>
        <w:rPr>
          <w:sz w:val="28"/>
        </w:rPr>
      </w:pPr>
      <w:r w:rsidRPr="00310517">
        <w:rPr>
          <w:sz w:val="28"/>
        </w:rPr>
        <w:t>2.</w:t>
      </w:r>
      <w:r w:rsidRPr="00310517">
        <w:rPr>
          <w:sz w:val="28"/>
        </w:rPr>
        <w:t xml:space="preserve"> </w:t>
      </w:r>
      <w:r w:rsidRPr="00310517">
        <w:rPr>
          <w:sz w:val="28"/>
        </w:rPr>
        <w:t>Цей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Закон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набирає</w:t>
      </w:r>
      <w:r w:rsidRPr="00310517">
        <w:rPr>
          <w:sz w:val="28"/>
        </w:rPr>
        <w:t xml:space="preserve"> </w:t>
      </w:r>
      <w:r w:rsidRPr="00310517">
        <w:rPr>
          <w:sz w:val="28"/>
        </w:rPr>
        <w:t>чинності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дня,</w:t>
      </w:r>
      <w:r w:rsidRPr="00310517">
        <w:rPr>
          <w:sz w:val="28"/>
        </w:rPr>
        <w:t xml:space="preserve"> </w:t>
      </w:r>
      <w:r w:rsidRPr="00310517">
        <w:rPr>
          <w:sz w:val="28"/>
        </w:rPr>
        <w:t>наступного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за</w:t>
      </w:r>
      <w:r w:rsidRPr="00310517">
        <w:rPr>
          <w:sz w:val="28"/>
        </w:rPr>
        <w:t xml:space="preserve"> </w:t>
      </w:r>
      <w:r w:rsidRPr="00310517">
        <w:rPr>
          <w:sz w:val="28"/>
        </w:rPr>
        <w:t>днем</w:t>
      </w:r>
      <w:r w:rsidRPr="00310517">
        <w:rPr>
          <w:sz w:val="28"/>
        </w:rPr>
        <w:t xml:space="preserve"> </w:t>
      </w:r>
      <w:r w:rsidRPr="00310517">
        <w:rPr>
          <w:sz w:val="28"/>
        </w:rPr>
        <w:t>його</w:t>
      </w:r>
      <w:r w:rsidRPr="00310517">
        <w:rPr>
          <w:sz w:val="28"/>
        </w:rPr>
        <w:t xml:space="preserve"> </w:t>
      </w:r>
      <w:r w:rsidRPr="00310517">
        <w:rPr>
          <w:sz w:val="28"/>
        </w:rPr>
        <w:t>опублікування.</w:t>
      </w:r>
    </w:p>
    <w:p w:rsidR="00310517" w:rsidRPr="00310517" w:rsidRDefault="00310517" w:rsidP="00310517">
      <w:pPr>
        <w:ind w:firstLine="720"/>
        <w:jc w:val="both"/>
        <w:rPr>
          <w:sz w:val="28"/>
        </w:rPr>
      </w:pPr>
    </w:p>
    <w:p w:rsidR="00310517" w:rsidRPr="00310517" w:rsidRDefault="00310517" w:rsidP="00310517">
      <w:pPr>
        <w:ind w:firstLine="720"/>
        <w:jc w:val="both"/>
        <w:rPr>
          <w:sz w:val="28"/>
        </w:rPr>
      </w:pPr>
      <w:r w:rsidRPr="00310517">
        <w:rPr>
          <w:b/>
          <w:sz w:val="28"/>
        </w:rPr>
        <w:t>Голова</w:t>
      </w:r>
      <w:r>
        <w:rPr>
          <w:b/>
          <w:sz w:val="28"/>
          <w:lang w:val="en-US"/>
        </w:rPr>
        <w:t xml:space="preserve"> </w:t>
      </w:r>
      <w:r w:rsidRPr="00310517">
        <w:rPr>
          <w:b/>
          <w:sz w:val="28"/>
        </w:rPr>
        <w:t>Верховної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Ради</w:t>
      </w:r>
      <w:r w:rsidRPr="00310517">
        <w:rPr>
          <w:b/>
          <w:sz w:val="28"/>
        </w:rPr>
        <w:t xml:space="preserve"> </w:t>
      </w:r>
      <w:r w:rsidRPr="00310517">
        <w:rPr>
          <w:b/>
          <w:sz w:val="28"/>
        </w:rPr>
        <w:t>України</w:t>
      </w:r>
    </w:p>
    <w:p w:rsidR="00595064" w:rsidRPr="00310517" w:rsidRDefault="00595064" w:rsidP="00310517">
      <w:pPr>
        <w:ind w:firstLine="720"/>
        <w:jc w:val="both"/>
        <w:rPr>
          <w:sz w:val="28"/>
        </w:rPr>
      </w:pPr>
    </w:p>
    <w:sectPr w:rsidR="00595064" w:rsidRPr="00310517" w:rsidSect="00310517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17" w:rsidRDefault="00310517">
      <w:r>
        <w:separator/>
      </w:r>
    </w:p>
  </w:endnote>
  <w:endnote w:type="continuationSeparator" w:id="0">
    <w:p w:rsidR="00310517" w:rsidRDefault="0031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17" w:rsidRDefault="00310517" w:rsidP="004661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310517" w:rsidRDefault="003105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17" w:rsidRDefault="00310517" w:rsidP="004661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310517" w:rsidRDefault="003105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17" w:rsidRDefault="00310517">
      <w:r>
        <w:separator/>
      </w:r>
    </w:p>
  </w:footnote>
  <w:footnote w:type="continuationSeparator" w:id="0">
    <w:p w:rsidR="00310517" w:rsidRDefault="0031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17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0517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D3505"/>
  <w15:chartTrackingRefBased/>
  <w15:docId w15:val="{D580ACE1-DA5B-4B38-A36D-4176B60D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3105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310517"/>
    <w:rPr>
      <w:sz w:val="28"/>
    </w:rPr>
  </w:style>
  <w:style w:type="character" w:styleId="aa">
    <w:name w:val="page number"/>
    <w:basedOn w:val="a1"/>
    <w:rsid w:val="0031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2</Pages>
  <Words>519</Words>
  <Characters>3565</Characters>
  <Application>Microsoft Office Word</Application>
  <DocSecurity>0</DocSecurity>
  <Lines>69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2021-04-14T09:19:00Z</dcterms:created>
  <dcterms:modified xsi:type="dcterms:W3CDTF">2021-04-14T09:20:00Z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