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07" w:rsidRDefault="00F8063A">
      <w:pPr>
        <w:spacing w:after="120"/>
        <w:jc w:val="center"/>
        <w:rPr>
          <w:b/>
          <w:bCs/>
          <w:sz w:val="28"/>
          <w:szCs w:val="28"/>
          <w:lang w:val="uk-UA"/>
        </w:rPr>
      </w:pPr>
      <w:bookmarkStart w:id="0" w:name="_GoBack"/>
      <w:bookmarkEnd w:id="0"/>
      <w:r>
        <w:rPr>
          <w:b/>
          <w:bCs/>
          <w:sz w:val="28"/>
          <w:szCs w:val="28"/>
          <w:lang w:val="uk-UA"/>
        </w:rPr>
        <w:t>ПОРІВНЯЛЬНА ТАБЛИЦЯ</w:t>
      </w:r>
    </w:p>
    <w:p w:rsidR="00713D07" w:rsidRDefault="00F8063A">
      <w:pPr>
        <w:pStyle w:val="3"/>
        <w:spacing w:before="0" w:beforeAutospacing="0" w:after="360" w:afterAutospacing="0"/>
        <w:jc w:val="center"/>
        <w:rPr>
          <w:bCs w:val="0"/>
          <w:sz w:val="28"/>
          <w:szCs w:val="28"/>
          <w:lang w:val="uk-UA"/>
        </w:rPr>
      </w:pPr>
      <w:r>
        <w:rPr>
          <w:sz w:val="28"/>
          <w:szCs w:val="28"/>
          <w:lang w:val="uk-UA"/>
        </w:rPr>
        <w:t xml:space="preserve">до проекту Закону України «Про внесення змін до деяких законодавчих актів щодо розвитку конкуренції на ринку природного газу та особливостей проведення біржових аукціонів з продажу природного газу» </w:t>
      </w:r>
    </w:p>
    <w:tbl>
      <w:tblPr>
        <w:tblStyle w:val="a3"/>
        <w:tblW w:w="14601" w:type="dxa"/>
        <w:tblInd w:w="-5" w:type="dxa"/>
        <w:tblLook w:val="04A0" w:firstRow="1" w:lastRow="0" w:firstColumn="1" w:lastColumn="0" w:noHBand="0" w:noVBand="1"/>
      </w:tblPr>
      <w:tblGrid>
        <w:gridCol w:w="7300"/>
        <w:gridCol w:w="7301"/>
      </w:tblGrid>
      <w:tr w:rsidR="00713D07">
        <w:trPr>
          <w:trHeight w:val="332"/>
        </w:trPr>
        <w:tc>
          <w:tcPr>
            <w:tcW w:w="7300" w:type="dxa"/>
          </w:tcPr>
          <w:p w:rsidR="00713D07" w:rsidRDefault="00F8063A">
            <w:pPr>
              <w:spacing w:before="120" w:after="120"/>
              <w:jc w:val="center"/>
              <w:rPr>
                <w:b/>
                <w:sz w:val="28"/>
                <w:szCs w:val="28"/>
                <w:lang w:val="uk-UA"/>
              </w:rPr>
            </w:pPr>
            <w:r>
              <w:rPr>
                <w:b/>
                <w:sz w:val="28"/>
                <w:szCs w:val="28"/>
                <w:lang w:val="uk-UA"/>
              </w:rPr>
              <w:t xml:space="preserve">Зміст положення (норми) чинного </w:t>
            </w:r>
            <w:r>
              <w:rPr>
                <w:b/>
                <w:sz w:val="28"/>
                <w:szCs w:val="28"/>
                <w:lang w:val="uk-UA"/>
              </w:rPr>
              <w:t>законодавства</w:t>
            </w:r>
          </w:p>
        </w:tc>
        <w:tc>
          <w:tcPr>
            <w:tcW w:w="7301" w:type="dxa"/>
          </w:tcPr>
          <w:p w:rsidR="00713D07" w:rsidRDefault="00F8063A">
            <w:pPr>
              <w:spacing w:before="120" w:after="120"/>
              <w:jc w:val="center"/>
              <w:rPr>
                <w:b/>
                <w:sz w:val="28"/>
                <w:szCs w:val="28"/>
                <w:lang w:val="uk-UA"/>
              </w:rPr>
            </w:pPr>
            <w:r>
              <w:rPr>
                <w:b/>
                <w:sz w:val="28"/>
                <w:szCs w:val="28"/>
                <w:lang w:val="uk-UA"/>
              </w:rPr>
              <w:t>Зміст відповідного положення (норми) проекту акта</w:t>
            </w:r>
          </w:p>
        </w:tc>
      </w:tr>
      <w:tr w:rsidR="00713D07">
        <w:trPr>
          <w:trHeight w:val="277"/>
        </w:trPr>
        <w:tc>
          <w:tcPr>
            <w:tcW w:w="14601" w:type="dxa"/>
            <w:gridSpan w:val="2"/>
          </w:tcPr>
          <w:p w:rsidR="00713D07" w:rsidRDefault="00F8063A">
            <w:pPr>
              <w:spacing w:before="120" w:after="120"/>
              <w:jc w:val="center"/>
              <w:rPr>
                <w:b/>
                <w:bCs/>
                <w:sz w:val="28"/>
                <w:szCs w:val="28"/>
                <w:lang w:val="uk-UA"/>
              </w:rPr>
            </w:pPr>
            <w:r>
              <w:rPr>
                <w:b/>
                <w:bCs/>
                <w:sz w:val="28"/>
                <w:szCs w:val="28"/>
                <w:lang w:val="uk-UA"/>
              </w:rPr>
              <w:t>Закон України «Про ринок природного газу»</w:t>
            </w:r>
          </w:p>
        </w:tc>
      </w:tr>
      <w:tr w:rsidR="00713D07">
        <w:tc>
          <w:tcPr>
            <w:tcW w:w="7300" w:type="dxa"/>
          </w:tcPr>
          <w:p w:rsidR="00713D07" w:rsidRDefault="00F8063A">
            <w:pPr>
              <w:shd w:val="clear" w:color="auto" w:fill="FFFFFF"/>
              <w:spacing w:before="120" w:after="120" w:line="252" w:lineRule="auto"/>
              <w:ind w:firstLine="322"/>
              <w:jc w:val="both"/>
              <w:rPr>
                <w:color w:val="000000"/>
                <w:sz w:val="28"/>
                <w:szCs w:val="28"/>
                <w:lang w:val="uk-UA"/>
              </w:rPr>
            </w:pPr>
            <w:r>
              <w:rPr>
                <w:bCs/>
                <w:color w:val="000000"/>
                <w:sz w:val="28"/>
                <w:szCs w:val="28"/>
                <w:lang w:val="uk-UA"/>
              </w:rPr>
              <w:t>Стаття 6.</w:t>
            </w:r>
            <w:r>
              <w:rPr>
                <w:color w:val="000000"/>
                <w:sz w:val="28"/>
                <w:szCs w:val="28"/>
                <w:lang w:val="uk-UA"/>
              </w:rPr>
              <w:t xml:space="preserve"> Національний план дій</w:t>
            </w:r>
          </w:p>
          <w:p w:rsidR="00713D07" w:rsidRDefault="00F8063A">
            <w:pPr>
              <w:shd w:val="clear" w:color="auto" w:fill="FFFFFF"/>
              <w:spacing w:before="120" w:after="120" w:line="252" w:lineRule="auto"/>
              <w:ind w:firstLine="322"/>
              <w:jc w:val="both"/>
              <w:rPr>
                <w:sz w:val="28"/>
                <w:szCs w:val="28"/>
                <w:lang w:val="en-US"/>
              </w:rPr>
            </w:pPr>
            <w:r>
              <w:rPr>
                <w:sz w:val="28"/>
                <w:szCs w:val="28"/>
                <w:lang w:val="en-US"/>
              </w:rPr>
              <w:t>[</w:t>
            </w:r>
            <w:r>
              <w:rPr>
                <w:sz w:val="28"/>
                <w:szCs w:val="28"/>
                <w:lang w:val="uk-UA"/>
              </w:rPr>
              <w:t>…</w:t>
            </w:r>
            <w:r>
              <w:rPr>
                <w:sz w:val="28"/>
                <w:szCs w:val="28"/>
                <w:lang w:val="en-US"/>
              </w:rPr>
              <w:t>]</w:t>
            </w:r>
          </w:p>
          <w:p w:rsidR="00713D07" w:rsidRDefault="00F8063A">
            <w:pPr>
              <w:shd w:val="clear" w:color="auto" w:fill="FFFFFF"/>
              <w:spacing w:before="120" w:after="120" w:line="252" w:lineRule="auto"/>
              <w:ind w:firstLine="322"/>
              <w:jc w:val="both"/>
              <w:rPr>
                <w:color w:val="000000"/>
                <w:sz w:val="28"/>
                <w:szCs w:val="28"/>
                <w:lang w:val="uk-UA"/>
              </w:rPr>
            </w:pPr>
            <w:r>
              <w:rPr>
                <w:color w:val="000000"/>
                <w:sz w:val="28"/>
                <w:szCs w:val="28"/>
                <w:lang w:val="uk-UA"/>
              </w:rPr>
              <w:t>примусове зменшення обсягів споживання природного газу.</w:t>
            </w:r>
          </w:p>
          <w:p w:rsidR="00713D07" w:rsidRDefault="00F8063A">
            <w:pPr>
              <w:shd w:val="clear" w:color="auto" w:fill="FFFFFF"/>
              <w:spacing w:before="120" w:after="120" w:line="252" w:lineRule="auto"/>
              <w:ind w:firstLine="322"/>
              <w:jc w:val="both"/>
              <w:rPr>
                <w:b/>
                <w:i/>
                <w:color w:val="000000"/>
                <w:sz w:val="28"/>
                <w:szCs w:val="28"/>
                <w:lang w:val="uk-UA"/>
              </w:rPr>
            </w:pPr>
            <w:r>
              <w:rPr>
                <w:b/>
                <w:i/>
                <w:color w:val="000000"/>
                <w:sz w:val="28"/>
                <w:szCs w:val="28"/>
                <w:lang w:val="uk-UA"/>
              </w:rPr>
              <w:t>Абзац відсутній</w:t>
            </w:r>
          </w:p>
        </w:tc>
        <w:tc>
          <w:tcPr>
            <w:tcW w:w="7301" w:type="dxa"/>
          </w:tcPr>
          <w:p w:rsidR="00713D07" w:rsidRDefault="00F8063A">
            <w:pPr>
              <w:shd w:val="clear" w:color="auto" w:fill="FFFFFF"/>
              <w:spacing w:before="120" w:after="120" w:line="252" w:lineRule="auto"/>
              <w:ind w:firstLine="389"/>
              <w:jc w:val="both"/>
              <w:rPr>
                <w:sz w:val="28"/>
                <w:szCs w:val="28"/>
                <w:lang w:val="uk-UA"/>
              </w:rPr>
            </w:pPr>
            <w:r>
              <w:rPr>
                <w:bCs/>
                <w:sz w:val="28"/>
                <w:szCs w:val="28"/>
                <w:lang w:val="uk-UA"/>
              </w:rPr>
              <w:t>Стаття 6.</w:t>
            </w:r>
            <w:r>
              <w:rPr>
                <w:sz w:val="28"/>
                <w:szCs w:val="28"/>
                <w:lang w:val="uk-UA"/>
              </w:rPr>
              <w:t xml:space="preserve"> Національний план дій</w:t>
            </w:r>
          </w:p>
          <w:p w:rsidR="00713D07" w:rsidRDefault="00F8063A">
            <w:pPr>
              <w:shd w:val="clear" w:color="auto" w:fill="FFFFFF"/>
              <w:spacing w:before="120" w:after="120" w:line="252" w:lineRule="auto"/>
              <w:ind w:firstLine="389"/>
              <w:jc w:val="both"/>
              <w:rPr>
                <w:sz w:val="28"/>
                <w:szCs w:val="28"/>
                <w:lang w:val="en-US"/>
              </w:rPr>
            </w:pPr>
            <w:r>
              <w:rPr>
                <w:sz w:val="28"/>
                <w:szCs w:val="28"/>
                <w:lang w:val="en-US"/>
              </w:rPr>
              <w:t>[</w:t>
            </w:r>
            <w:r>
              <w:rPr>
                <w:sz w:val="28"/>
                <w:szCs w:val="28"/>
                <w:lang w:val="uk-UA"/>
              </w:rPr>
              <w:t>…</w:t>
            </w:r>
            <w:r>
              <w:rPr>
                <w:sz w:val="28"/>
                <w:szCs w:val="28"/>
                <w:lang w:val="en-US"/>
              </w:rPr>
              <w:t>]</w:t>
            </w:r>
          </w:p>
          <w:p w:rsidR="00713D07" w:rsidRDefault="00F8063A">
            <w:pPr>
              <w:shd w:val="clear" w:color="auto" w:fill="FFFFFF"/>
              <w:spacing w:before="120" w:after="120" w:line="252" w:lineRule="auto"/>
              <w:ind w:firstLine="389"/>
              <w:jc w:val="both"/>
              <w:rPr>
                <w:color w:val="000000"/>
                <w:sz w:val="28"/>
                <w:szCs w:val="28"/>
                <w:lang w:val="uk-UA"/>
              </w:rPr>
            </w:pPr>
            <w:r>
              <w:rPr>
                <w:color w:val="000000"/>
                <w:sz w:val="28"/>
                <w:szCs w:val="28"/>
                <w:lang w:val="uk-UA"/>
              </w:rPr>
              <w:t>примусове зменшення обсягів споживання природного газу.</w:t>
            </w:r>
          </w:p>
          <w:p w:rsidR="00713D07" w:rsidRDefault="00F8063A">
            <w:pPr>
              <w:shd w:val="clear" w:color="auto" w:fill="FFFFFF"/>
              <w:spacing w:before="120" w:after="120" w:line="252" w:lineRule="auto"/>
              <w:ind w:firstLine="389"/>
              <w:jc w:val="both"/>
              <w:rPr>
                <w:bCs/>
                <w:sz w:val="28"/>
                <w:szCs w:val="28"/>
                <w:lang w:val="uk-UA"/>
              </w:rPr>
            </w:pPr>
            <w:r>
              <w:rPr>
                <w:b/>
                <w:sz w:val="28"/>
                <w:szCs w:val="28"/>
                <w:lang w:val="uk-UA"/>
              </w:rPr>
              <w:t>У разі, якщо ціни на ринку природного газу встановлюються та/або визначаються в порядку, встановленому органами державної влади, або у разі якщо такі ціни підлягають застосуванню суб'єктом ринку приро</w:t>
            </w:r>
            <w:r>
              <w:rPr>
                <w:b/>
                <w:sz w:val="28"/>
                <w:szCs w:val="28"/>
                <w:lang w:val="uk-UA"/>
              </w:rPr>
              <w:t>дного газу під час виконання покладених на нього згідно із статтею 11 цього Закону спеціальних обов'язків, або ціна на ринку природного газу встановлюється або застосовується постачальником "останньої надії", такі ціни підлягають опублікуванню на веб-сайті</w:t>
            </w:r>
            <w:r>
              <w:rPr>
                <w:b/>
                <w:sz w:val="28"/>
                <w:szCs w:val="28"/>
                <w:lang w:val="uk-UA"/>
              </w:rPr>
              <w:t xml:space="preserve"> суб'єкта ринку природного газу, що здійснює реалізацію газу або послуг за такими цінами в строк не пізніше ніж за 5 робочих днів до дня початку періоду застосування таких цін. У разі, якщо суб'єкт ринку в строки визначені цим абзацом не опублікує на своєм</w:t>
            </w:r>
            <w:r>
              <w:rPr>
                <w:b/>
                <w:sz w:val="28"/>
                <w:szCs w:val="28"/>
                <w:lang w:val="uk-UA"/>
              </w:rPr>
              <w:t xml:space="preserve">у веб-сайті відповідні ціни, такі ціни не підлягають застосуванню, а продовжують діяти ціни на </w:t>
            </w:r>
            <w:r>
              <w:rPr>
                <w:b/>
                <w:sz w:val="28"/>
                <w:szCs w:val="28"/>
                <w:lang w:val="uk-UA"/>
              </w:rPr>
              <w:lastRenderedPageBreak/>
              <w:t>газ або послуги, що застосовувалися у попередньому періоді.</w:t>
            </w:r>
          </w:p>
        </w:tc>
      </w:tr>
      <w:tr w:rsidR="00713D07">
        <w:tc>
          <w:tcPr>
            <w:tcW w:w="7300" w:type="dxa"/>
          </w:tcPr>
          <w:p w:rsidR="00713D07" w:rsidRDefault="00F8063A">
            <w:pPr>
              <w:spacing w:before="120" w:after="120" w:line="252" w:lineRule="auto"/>
              <w:ind w:firstLine="322"/>
              <w:jc w:val="both"/>
              <w:rPr>
                <w:sz w:val="28"/>
                <w:szCs w:val="28"/>
                <w:lang w:val="uk-UA"/>
              </w:rPr>
            </w:pPr>
            <w:r>
              <w:rPr>
                <w:sz w:val="28"/>
                <w:szCs w:val="28"/>
                <w:lang w:val="uk-UA"/>
              </w:rPr>
              <w:lastRenderedPageBreak/>
              <w:t>Стаття 18. Приладовий облік природного газу</w:t>
            </w:r>
          </w:p>
          <w:p w:rsidR="00713D07" w:rsidRDefault="00F8063A">
            <w:pPr>
              <w:shd w:val="clear" w:color="auto" w:fill="FFFFFF"/>
              <w:spacing w:before="120" w:after="120" w:line="252" w:lineRule="auto"/>
              <w:ind w:firstLine="322"/>
              <w:jc w:val="both"/>
              <w:rPr>
                <w:sz w:val="28"/>
                <w:szCs w:val="28"/>
                <w:lang w:val="en-US"/>
              </w:rPr>
            </w:pPr>
            <w:r>
              <w:rPr>
                <w:sz w:val="28"/>
                <w:szCs w:val="28"/>
                <w:lang w:val="en-US"/>
              </w:rPr>
              <w:t>[</w:t>
            </w:r>
            <w:r>
              <w:rPr>
                <w:sz w:val="28"/>
                <w:szCs w:val="28"/>
                <w:lang w:val="uk-UA"/>
              </w:rPr>
              <w:t>…</w:t>
            </w:r>
            <w:r>
              <w:rPr>
                <w:sz w:val="28"/>
                <w:szCs w:val="28"/>
                <w:lang w:val="en-US"/>
              </w:rPr>
              <w:t>]</w:t>
            </w:r>
          </w:p>
          <w:p w:rsidR="00713D07" w:rsidRDefault="00F8063A">
            <w:pPr>
              <w:spacing w:before="120" w:after="120" w:line="252" w:lineRule="auto"/>
              <w:ind w:firstLine="322"/>
              <w:jc w:val="both"/>
              <w:rPr>
                <w:sz w:val="28"/>
                <w:szCs w:val="28"/>
                <w:lang w:val="uk-UA"/>
              </w:rPr>
            </w:pPr>
            <w:r>
              <w:rPr>
                <w:sz w:val="28"/>
                <w:szCs w:val="28"/>
                <w:lang w:val="uk-UA"/>
              </w:rPr>
              <w:t xml:space="preserve">4. Держава заохочує впровадження новітніх систем, у </w:t>
            </w:r>
            <w:r>
              <w:rPr>
                <w:sz w:val="28"/>
                <w:szCs w:val="28"/>
                <w:lang w:val="uk-UA"/>
              </w:rPr>
              <w:t>тому числі апаратних засобів, обліку природного газу, зокрема тих, що забезпечують можливість споживача активно управляти власним споживанням.</w:t>
            </w:r>
          </w:p>
          <w:p w:rsidR="00713D07" w:rsidRDefault="00F8063A">
            <w:pPr>
              <w:spacing w:before="120" w:after="120" w:line="252" w:lineRule="auto"/>
              <w:ind w:firstLine="322"/>
              <w:jc w:val="both"/>
              <w:rPr>
                <w:sz w:val="28"/>
                <w:szCs w:val="28"/>
                <w:lang w:val="uk-UA"/>
              </w:rPr>
            </w:pPr>
            <w:r>
              <w:rPr>
                <w:sz w:val="28"/>
                <w:szCs w:val="28"/>
                <w:lang w:val="uk-UA"/>
              </w:rPr>
              <w:t>Центральний орган виконавчої влади, що забезпечує формування та реалізацію державної політики в нафтогазовому ком</w:t>
            </w:r>
            <w:r>
              <w:rPr>
                <w:sz w:val="28"/>
                <w:szCs w:val="28"/>
                <w:lang w:val="uk-UA"/>
              </w:rPr>
              <w:t>плексі, у межах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w:t>
            </w:r>
            <w:r>
              <w:rPr>
                <w:sz w:val="28"/>
                <w:szCs w:val="28"/>
                <w:lang w:val="uk-UA"/>
              </w:rPr>
              <w:t>о забезпечує формування та реалізацію державної політики в нафтогазовому комплексі, затверджує план впровадження обраного комплексу заходів.</w:t>
            </w:r>
          </w:p>
          <w:p w:rsidR="00713D07" w:rsidRDefault="00F8063A">
            <w:pPr>
              <w:spacing w:before="120" w:after="120" w:line="252" w:lineRule="auto"/>
              <w:ind w:firstLine="322"/>
              <w:jc w:val="both"/>
              <w:rPr>
                <w:b/>
                <w:i/>
                <w:sz w:val="28"/>
                <w:szCs w:val="28"/>
                <w:lang w:val="uk-UA"/>
              </w:rPr>
            </w:pPr>
            <w:r>
              <w:rPr>
                <w:b/>
                <w:i/>
                <w:sz w:val="28"/>
                <w:szCs w:val="28"/>
                <w:lang w:val="uk-UA"/>
              </w:rPr>
              <w:t>Частина відсутня</w:t>
            </w:r>
          </w:p>
        </w:tc>
        <w:tc>
          <w:tcPr>
            <w:tcW w:w="7301" w:type="dxa"/>
          </w:tcPr>
          <w:p w:rsidR="00713D07" w:rsidRDefault="00F8063A">
            <w:pPr>
              <w:shd w:val="clear" w:color="auto" w:fill="FFFFFF"/>
              <w:spacing w:before="120" w:after="120" w:line="252" w:lineRule="auto"/>
              <w:ind w:firstLine="389"/>
              <w:jc w:val="both"/>
              <w:rPr>
                <w:sz w:val="28"/>
                <w:szCs w:val="28"/>
                <w:lang w:val="uk-UA"/>
              </w:rPr>
            </w:pPr>
            <w:r>
              <w:rPr>
                <w:bCs/>
                <w:sz w:val="28"/>
                <w:szCs w:val="28"/>
                <w:lang w:val="uk-UA"/>
              </w:rPr>
              <w:t>Стаття 18.</w:t>
            </w:r>
            <w:r>
              <w:rPr>
                <w:sz w:val="28"/>
                <w:szCs w:val="28"/>
                <w:lang w:val="uk-UA"/>
              </w:rPr>
              <w:t> Приладовий облік природного газу</w:t>
            </w:r>
          </w:p>
          <w:p w:rsidR="00713D07" w:rsidRDefault="00F8063A">
            <w:pPr>
              <w:shd w:val="clear" w:color="auto" w:fill="FFFFFF"/>
              <w:spacing w:before="120" w:after="120" w:line="252" w:lineRule="auto"/>
              <w:ind w:firstLine="322"/>
              <w:jc w:val="both"/>
              <w:rPr>
                <w:sz w:val="28"/>
                <w:szCs w:val="28"/>
                <w:lang w:val="en-US"/>
              </w:rPr>
            </w:pPr>
            <w:r>
              <w:rPr>
                <w:sz w:val="28"/>
                <w:szCs w:val="28"/>
                <w:lang w:val="en-US"/>
              </w:rPr>
              <w:t>[</w:t>
            </w:r>
            <w:r>
              <w:rPr>
                <w:sz w:val="28"/>
                <w:szCs w:val="28"/>
                <w:lang w:val="uk-UA"/>
              </w:rPr>
              <w:t>…</w:t>
            </w:r>
            <w:r>
              <w:rPr>
                <w:sz w:val="28"/>
                <w:szCs w:val="28"/>
                <w:lang w:val="en-US"/>
              </w:rPr>
              <w:t>]</w:t>
            </w:r>
          </w:p>
          <w:p w:rsidR="00713D07" w:rsidRDefault="00F8063A">
            <w:pPr>
              <w:spacing w:before="120" w:after="120" w:line="252" w:lineRule="auto"/>
              <w:ind w:firstLine="322"/>
              <w:jc w:val="both"/>
              <w:rPr>
                <w:sz w:val="28"/>
                <w:szCs w:val="28"/>
                <w:lang w:val="uk-UA"/>
              </w:rPr>
            </w:pPr>
            <w:r>
              <w:rPr>
                <w:sz w:val="28"/>
                <w:szCs w:val="28"/>
                <w:lang w:val="uk-UA"/>
              </w:rPr>
              <w:t xml:space="preserve">4. Держава заохочує впровадження новітніх систем, </w:t>
            </w:r>
            <w:r>
              <w:rPr>
                <w:sz w:val="28"/>
                <w:szCs w:val="28"/>
                <w:lang w:val="uk-UA"/>
              </w:rPr>
              <w:t>у тому числі апаратних засобів, обліку природного газу, зокрема тих, що забезпечують можливість споживача активно управляти власним споживанням.</w:t>
            </w:r>
          </w:p>
          <w:p w:rsidR="00713D07" w:rsidRDefault="00F8063A">
            <w:pPr>
              <w:spacing w:before="120" w:after="120" w:line="252" w:lineRule="auto"/>
              <w:ind w:firstLine="322"/>
              <w:jc w:val="both"/>
              <w:rPr>
                <w:sz w:val="28"/>
                <w:szCs w:val="28"/>
                <w:lang w:val="uk-UA"/>
              </w:rPr>
            </w:pPr>
            <w:r>
              <w:rPr>
                <w:sz w:val="28"/>
                <w:szCs w:val="28"/>
                <w:lang w:val="uk-UA"/>
              </w:rPr>
              <w:t>Центральний орган виконавчої влади, що забезпечує формування та реалізацію державної політики в нафтогазовому к</w:t>
            </w:r>
            <w:r>
              <w:rPr>
                <w:sz w:val="28"/>
                <w:szCs w:val="28"/>
                <w:lang w:val="uk-UA"/>
              </w:rPr>
              <w:t>омплексі, у межах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w:t>
            </w:r>
            <w:r>
              <w:rPr>
                <w:sz w:val="28"/>
                <w:szCs w:val="28"/>
                <w:lang w:val="uk-UA"/>
              </w:rPr>
              <w:t xml:space="preserve"> що забезпечує формування та реалізацію державної політики в нафтогазовому комплексі, затверджує план впровадження обраного комплексу заходів.</w:t>
            </w:r>
          </w:p>
          <w:p w:rsidR="00713D07" w:rsidRDefault="00F8063A">
            <w:pPr>
              <w:shd w:val="clear" w:color="auto" w:fill="FFFFFF"/>
              <w:spacing w:before="120" w:after="120" w:line="252" w:lineRule="auto"/>
              <w:ind w:firstLine="389"/>
              <w:jc w:val="both"/>
              <w:rPr>
                <w:b/>
                <w:sz w:val="28"/>
                <w:szCs w:val="28"/>
                <w:lang w:val="uk-UA"/>
              </w:rPr>
            </w:pPr>
            <w:r>
              <w:rPr>
                <w:b/>
                <w:sz w:val="28"/>
                <w:szCs w:val="28"/>
                <w:lang w:val="uk-UA"/>
              </w:rPr>
              <w:t xml:space="preserve">5. До завершення запровадження приладового обліку природного газу усіма побутовими споживачами в кожній окремій ліцензованій території діяльності з розподілу природного газу, про що Регулятор видає відповідну постанову, в межах такої ліцензованої </w:t>
            </w:r>
            <w:r>
              <w:rPr>
                <w:b/>
                <w:sz w:val="28"/>
                <w:szCs w:val="28"/>
                <w:lang w:val="uk-UA"/>
              </w:rPr>
              <w:lastRenderedPageBreak/>
              <w:t>території</w:t>
            </w:r>
            <w:r>
              <w:rPr>
                <w:b/>
                <w:sz w:val="28"/>
                <w:szCs w:val="28"/>
                <w:lang w:val="uk-UA"/>
              </w:rPr>
              <w:t xml:space="preserve"> діяльності з розподілу природного газу забороняється:</w:t>
            </w:r>
          </w:p>
          <w:p w:rsidR="00713D07" w:rsidRDefault="00F8063A">
            <w:pPr>
              <w:shd w:val="clear" w:color="auto" w:fill="FFFFFF"/>
              <w:spacing w:before="120" w:after="120" w:line="252" w:lineRule="auto"/>
              <w:ind w:firstLine="389"/>
              <w:jc w:val="both"/>
              <w:rPr>
                <w:b/>
                <w:sz w:val="28"/>
                <w:szCs w:val="28"/>
                <w:lang w:val="uk-UA"/>
              </w:rPr>
            </w:pPr>
            <w:r>
              <w:rPr>
                <w:b/>
                <w:sz w:val="28"/>
                <w:szCs w:val="28"/>
                <w:lang w:val="uk-UA"/>
              </w:rPr>
              <w:t>1) зміна діючих допустимих відхилень позитивного та негативного небалансів в частині обсягів природного газу, що транспортується та розподіляються з метою його постачання побутовим споживачам;</w:t>
            </w:r>
          </w:p>
          <w:p w:rsidR="00713D07" w:rsidRDefault="00F8063A">
            <w:pPr>
              <w:shd w:val="clear" w:color="auto" w:fill="FFFFFF"/>
              <w:spacing w:before="120" w:after="120" w:line="252" w:lineRule="auto"/>
              <w:ind w:firstLine="389"/>
              <w:jc w:val="both"/>
              <w:rPr>
                <w:bCs/>
                <w:sz w:val="28"/>
                <w:szCs w:val="28"/>
                <w:lang w:val="uk-UA"/>
              </w:rPr>
            </w:pPr>
            <w:r>
              <w:rPr>
                <w:b/>
                <w:sz w:val="28"/>
                <w:szCs w:val="28"/>
                <w:lang w:val="uk-UA"/>
              </w:rPr>
              <w:t>2) при н</w:t>
            </w:r>
            <w:r>
              <w:rPr>
                <w:b/>
                <w:sz w:val="28"/>
                <w:szCs w:val="28"/>
                <w:lang w:val="uk-UA"/>
              </w:rPr>
              <w:t>аданні послуг балансування збільшення або зменшення маржинальної ціни придбання або продажу природного газу на величину коригування в частині обсягів природного газу, що транспортується та розподіляються з метою його постачання побутовим споживачам.</w:t>
            </w:r>
          </w:p>
        </w:tc>
      </w:tr>
      <w:tr w:rsidR="00713D07">
        <w:trPr>
          <w:trHeight w:val="277"/>
        </w:trPr>
        <w:tc>
          <w:tcPr>
            <w:tcW w:w="14601" w:type="dxa"/>
            <w:gridSpan w:val="2"/>
          </w:tcPr>
          <w:p w:rsidR="00713D07" w:rsidRDefault="00F8063A">
            <w:pPr>
              <w:spacing w:before="120" w:after="120"/>
              <w:jc w:val="center"/>
              <w:rPr>
                <w:b/>
                <w:bCs/>
                <w:sz w:val="28"/>
                <w:szCs w:val="28"/>
                <w:lang w:val="uk-UA"/>
              </w:rPr>
            </w:pPr>
            <w:r>
              <w:rPr>
                <w:b/>
                <w:bCs/>
                <w:sz w:val="28"/>
                <w:szCs w:val="28"/>
                <w:lang w:val="uk-UA"/>
              </w:rPr>
              <w:lastRenderedPageBreak/>
              <w:t>Закон</w:t>
            </w:r>
            <w:r>
              <w:rPr>
                <w:b/>
                <w:bCs/>
                <w:sz w:val="28"/>
                <w:szCs w:val="28"/>
                <w:lang w:val="uk-UA"/>
              </w:rPr>
              <w:t xml:space="preserve"> України «Про нафту і газ»</w:t>
            </w:r>
          </w:p>
        </w:tc>
      </w:tr>
      <w:tr w:rsidR="00713D07">
        <w:tc>
          <w:tcPr>
            <w:tcW w:w="7300" w:type="dxa"/>
          </w:tcPr>
          <w:p w:rsidR="00713D07" w:rsidRDefault="00F8063A">
            <w:pPr>
              <w:spacing w:before="120" w:after="120" w:line="252" w:lineRule="auto"/>
              <w:ind w:firstLine="322"/>
              <w:jc w:val="both"/>
              <w:rPr>
                <w:sz w:val="28"/>
                <w:szCs w:val="28"/>
                <w:lang w:val="uk-UA"/>
              </w:rPr>
            </w:pPr>
            <w:r>
              <w:rPr>
                <w:bCs/>
                <w:sz w:val="28"/>
                <w:szCs w:val="28"/>
                <w:lang w:val="uk-UA"/>
              </w:rPr>
              <w:t>Стаття 4</w:t>
            </w:r>
            <w:r>
              <w:rPr>
                <w:bCs/>
                <w:sz w:val="28"/>
                <w:szCs w:val="28"/>
                <w:vertAlign w:val="superscript"/>
                <w:lang w:val="uk-UA"/>
              </w:rPr>
              <w:t>1</w:t>
            </w:r>
            <w:r>
              <w:rPr>
                <w:bCs/>
                <w:sz w:val="28"/>
                <w:szCs w:val="28"/>
                <w:lang w:val="uk-UA"/>
              </w:rPr>
              <w:t>.</w:t>
            </w:r>
            <w:r>
              <w:rPr>
                <w:sz w:val="28"/>
                <w:szCs w:val="28"/>
              </w:rPr>
              <w:t> </w:t>
            </w:r>
            <w:r>
              <w:rPr>
                <w:sz w:val="28"/>
                <w:szCs w:val="28"/>
                <w:lang w:val="uk-UA"/>
              </w:rPr>
              <w:t xml:space="preserve">Особливості регулювання відносин у нафтогазовій галузі підприємств, частка держави у статутному капіталі яких 50 відсотків та більше, господарських товариств, 50 відсотків та більше акцій (часток, паїв) яких </w:t>
            </w:r>
            <w:r>
              <w:rPr>
                <w:sz w:val="28"/>
                <w:szCs w:val="28"/>
                <w:lang w:val="uk-UA"/>
              </w:rPr>
              <w:t>знаходяться у статутних капіталах інших господарських товариств, акціонером яких є держава і володіє в них контрольним пакетом акцій</w:t>
            </w:r>
          </w:p>
          <w:p w:rsidR="00713D07" w:rsidRDefault="00F8063A">
            <w:pPr>
              <w:shd w:val="clear" w:color="auto" w:fill="FFFFFF"/>
              <w:spacing w:before="120" w:after="120" w:line="252" w:lineRule="auto"/>
              <w:ind w:firstLine="322"/>
              <w:jc w:val="both"/>
              <w:rPr>
                <w:sz w:val="28"/>
                <w:szCs w:val="28"/>
                <w:lang w:val="en-US"/>
              </w:rPr>
            </w:pPr>
            <w:r>
              <w:rPr>
                <w:sz w:val="28"/>
                <w:szCs w:val="28"/>
                <w:lang w:val="en-US"/>
              </w:rPr>
              <w:t>[</w:t>
            </w:r>
            <w:r>
              <w:rPr>
                <w:sz w:val="28"/>
                <w:szCs w:val="28"/>
                <w:lang w:val="uk-UA"/>
              </w:rPr>
              <w:t>…</w:t>
            </w:r>
            <w:r>
              <w:rPr>
                <w:sz w:val="28"/>
                <w:szCs w:val="28"/>
                <w:lang w:val="en-US"/>
              </w:rPr>
              <w:t>]</w:t>
            </w:r>
          </w:p>
          <w:p w:rsidR="00713D07" w:rsidRDefault="00F8063A">
            <w:pPr>
              <w:spacing w:before="120" w:after="120" w:line="252" w:lineRule="auto"/>
              <w:ind w:firstLine="322"/>
              <w:jc w:val="both"/>
              <w:rPr>
                <w:sz w:val="28"/>
                <w:szCs w:val="28"/>
                <w:lang w:val="uk-UA"/>
              </w:rPr>
            </w:pPr>
            <w:r>
              <w:rPr>
                <w:sz w:val="28"/>
                <w:szCs w:val="28"/>
                <w:lang w:val="uk-UA"/>
              </w:rPr>
              <w:t xml:space="preserve">Дія цієї статті поширюється виключно на тих учасників договорів про спільну діяльність, відповідно до яких вартість вкладу підприємств, частка держави у статутному </w:t>
            </w:r>
            <w:r>
              <w:rPr>
                <w:sz w:val="28"/>
                <w:szCs w:val="28"/>
                <w:lang w:val="uk-UA"/>
              </w:rPr>
              <w:lastRenderedPageBreak/>
              <w:t xml:space="preserve">капіталі яких 50 відсотків та більше, господарських товариств, 50 відсотків та більше акцій </w:t>
            </w:r>
            <w:r>
              <w:rPr>
                <w:sz w:val="28"/>
                <w:szCs w:val="28"/>
                <w:lang w:val="uk-UA"/>
              </w:rPr>
              <w:t>(часток, паїв) яких знаходяться у статутних капіталах інших господарських товариств, акціонером яких є держава і володіє в них контрольним пакетом акцій, а також дочірніх підприємств, представництв та філій таких підприємств і товариств, становить 50 відсо</w:t>
            </w:r>
            <w:r>
              <w:rPr>
                <w:sz w:val="28"/>
                <w:szCs w:val="28"/>
                <w:lang w:val="uk-UA"/>
              </w:rPr>
              <w:t>тків та більше загальної вартості вкладів учасників договорів про спільну діяльність.</w:t>
            </w:r>
          </w:p>
          <w:p w:rsidR="00713D07" w:rsidRDefault="00F8063A">
            <w:pPr>
              <w:spacing w:before="120" w:after="120" w:line="252" w:lineRule="auto"/>
              <w:ind w:firstLine="322"/>
              <w:jc w:val="both"/>
              <w:rPr>
                <w:b/>
                <w:i/>
                <w:sz w:val="28"/>
                <w:szCs w:val="28"/>
                <w:lang w:val="uk-UA"/>
              </w:rPr>
            </w:pPr>
            <w:r>
              <w:rPr>
                <w:b/>
                <w:i/>
                <w:sz w:val="28"/>
                <w:szCs w:val="28"/>
                <w:lang w:val="uk-UA"/>
              </w:rPr>
              <w:t>Абзаци відсутні</w:t>
            </w:r>
          </w:p>
          <w:p w:rsidR="00713D07" w:rsidRDefault="00713D07">
            <w:pPr>
              <w:spacing w:before="120" w:after="120" w:line="252" w:lineRule="auto"/>
              <w:ind w:firstLine="322"/>
              <w:jc w:val="both"/>
              <w:rPr>
                <w:color w:val="000000"/>
                <w:sz w:val="28"/>
                <w:szCs w:val="28"/>
                <w:lang w:val="uk-UA"/>
              </w:rPr>
            </w:pPr>
          </w:p>
        </w:tc>
        <w:tc>
          <w:tcPr>
            <w:tcW w:w="7301" w:type="dxa"/>
          </w:tcPr>
          <w:p w:rsidR="00713D07" w:rsidRDefault="00F8063A">
            <w:pPr>
              <w:spacing w:before="120" w:after="120" w:line="252" w:lineRule="auto"/>
              <w:ind w:firstLine="389"/>
              <w:jc w:val="both"/>
              <w:rPr>
                <w:sz w:val="28"/>
                <w:szCs w:val="28"/>
                <w:lang w:val="uk-UA"/>
              </w:rPr>
            </w:pPr>
            <w:r>
              <w:rPr>
                <w:bCs/>
                <w:sz w:val="28"/>
                <w:szCs w:val="28"/>
                <w:lang w:val="uk-UA"/>
              </w:rPr>
              <w:lastRenderedPageBreak/>
              <w:t>Стаття 4</w:t>
            </w:r>
            <w:r>
              <w:rPr>
                <w:bCs/>
                <w:sz w:val="28"/>
                <w:szCs w:val="28"/>
                <w:vertAlign w:val="superscript"/>
                <w:lang w:val="uk-UA"/>
              </w:rPr>
              <w:t>1</w:t>
            </w:r>
            <w:r>
              <w:rPr>
                <w:bCs/>
                <w:sz w:val="28"/>
                <w:szCs w:val="28"/>
                <w:lang w:val="uk-UA"/>
              </w:rPr>
              <w:t>.</w:t>
            </w:r>
            <w:r>
              <w:rPr>
                <w:sz w:val="28"/>
                <w:szCs w:val="28"/>
              </w:rPr>
              <w:t> </w:t>
            </w:r>
            <w:r>
              <w:rPr>
                <w:sz w:val="28"/>
                <w:szCs w:val="28"/>
                <w:lang w:val="uk-UA"/>
              </w:rPr>
              <w:t>Особливості регулювання відносин у нафтогазовій галузі підприємств, частка держави у статутному капіталі яких 50 відсотків та більше, господар</w:t>
            </w:r>
            <w:r>
              <w:rPr>
                <w:sz w:val="28"/>
                <w:szCs w:val="28"/>
                <w:lang w:val="uk-UA"/>
              </w:rPr>
              <w:t>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w:t>
            </w:r>
          </w:p>
          <w:p w:rsidR="00713D07" w:rsidRDefault="00F8063A">
            <w:pPr>
              <w:shd w:val="clear" w:color="auto" w:fill="FFFFFF"/>
              <w:spacing w:before="120" w:after="120" w:line="252" w:lineRule="auto"/>
              <w:ind w:firstLine="322"/>
              <w:jc w:val="both"/>
              <w:rPr>
                <w:sz w:val="28"/>
                <w:szCs w:val="28"/>
                <w:lang w:val="en-US"/>
              </w:rPr>
            </w:pPr>
            <w:r>
              <w:rPr>
                <w:sz w:val="28"/>
                <w:szCs w:val="28"/>
                <w:lang w:val="en-US"/>
              </w:rPr>
              <w:t>[</w:t>
            </w:r>
            <w:r>
              <w:rPr>
                <w:sz w:val="28"/>
                <w:szCs w:val="28"/>
                <w:lang w:val="uk-UA"/>
              </w:rPr>
              <w:t>…</w:t>
            </w:r>
            <w:r>
              <w:rPr>
                <w:sz w:val="28"/>
                <w:szCs w:val="28"/>
                <w:lang w:val="en-US"/>
              </w:rPr>
              <w:t>]</w:t>
            </w:r>
          </w:p>
          <w:p w:rsidR="00713D07" w:rsidRDefault="00F8063A">
            <w:pPr>
              <w:spacing w:before="120" w:after="120" w:line="252" w:lineRule="auto"/>
              <w:ind w:firstLine="322"/>
              <w:jc w:val="both"/>
              <w:rPr>
                <w:sz w:val="28"/>
                <w:szCs w:val="28"/>
                <w:lang w:val="uk-UA"/>
              </w:rPr>
            </w:pPr>
            <w:r>
              <w:rPr>
                <w:sz w:val="28"/>
                <w:szCs w:val="28"/>
                <w:lang w:val="uk-UA"/>
              </w:rPr>
              <w:t>Дія цієї статті поширюється виключно на тих учасників</w:t>
            </w:r>
            <w:r>
              <w:rPr>
                <w:sz w:val="28"/>
                <w:szCs w:val="28"/>
                <w:lang w:val="uk-UA"/>
              </w:rPr>
              <w:t xml:space="preserve"> договорів про спільну діяльність, відповідно до яких вартість вкладу підприємств, частка держави у статутному </w:t>
            </w:r>
            <w:r>
              <w:rPr>
                <w:sz w:val="28"/>
                <w:szCs w:val="28"/>
                <w:lang w:val="uk-UA"/>
              </w:rPr>
              <w:lastRenderedPageBreak/>
              <w:t>капіталі яких 50 відсотків та більше, господарських товариств, 50 відсотків та більше акцій (часток, паїв) яких знаходяться у статутних капіталах</w:t>
            </w:r>
            <w:r>
              <w:rPr>
                <w:sz w:val="28"/>
                <w:szCs w:val="28"/>
                <w:lang w:val="uk-UA"/>
              </w:rPr>
              <w:t xml:space="preserve"> інших господарських товариств, акціонером яких є держава і володіє в них контрольним пакетом акцій, а також дочірніх підприємств, представництв та філій таких підприємств і товариств, становить 50 відсотків та більше загальної вартості вкладів учасників д</w:t>
            </w:r>
            <w:r>
              <w:rPr>
                <w:sz w:val="28"/>
                <w:szCs w:val="28"/>
                <w:lang w:val="uk-UA"/>
              </w:rPr>
              <w:t>оговорів про спільну діяльність.</w:t>
            </w:r>
          </w:p>
          <w:p w:rsidR="00713D07" w:rsidRDefault="00F8063A">
            <w:pPr>
              <w:spacing w:before="120" w:after="120" w:line="252" w:lineRule="auto"/>
              <w:ind w:firstLine="389"/>
              <w:jc w:val="both"/>
              <w:rPr>
                <w:b/>
                <w:sz w:val="28"/>
                <w:szCs w:val="28"/>
              </w:rPr>
            </w:pPr>
            <w:bookmarkStart w:id="1" w:name="_Hlk47689716"/>
            <w:r>
              <w:rPr>
                <w:b/>
                <w:sz w:val="28"/>
                <w:szCs w:val="28"/>
                <w:lang w:val="uk-UA"/>
              </w:rPr>
              <w:t>Господарські товариства, які провадять діяльність з видобутку природного газу та 100 відсотків акцій (паїв, часток) яких належать державі або іншому господарському товариству, єдиним акціонером якого є держава в період з 10</w:t>
            </w:r>
            <w:r>
              <w:rPr>
                <w:b/>
                <w:sz w:val="28"/>
                <w:szCs w:val="28"/>
                <w:lang w:val="uk-UA"/>
              </w:rPr>
              <w:t xml:space="preserve"> по 25 число поточного місяця здійснюють продаж всього обсягу природного газу, що буде видобутий такими господарськими товариствами протягом наступного місяця (крім обсягів, що використовуються на власні технологічні потреби а також підлягають реалізації з</w:t>
            </w:r>
            <w:r>
              <w:rPr>
                <w:b/>
                <w:sz w:val="28"/>
                <w:szCs w:val="28"/>
                <w:lang w:val="uk-UA"/>
              </w:rPr>
              <w:t>гідно із спеціальними обов'язками, покладеними Кабінетом Міністрів України на таких суб'єктів господарювання на підставі статті 11 Закону України "Про ринок природного газу"), виключно на біржових аукціонах.</w:t>
            </w:r>
          </w:p>
          <w:p w:rsidR="00713D07" w:rsidRDefault="00F8063A">
            <w:pPr>
              <w:spacing w:before="120" w:after="120" w:line="252" w:lineRule="auto"/>
              <w:ind w:firstLine="389"/>
              <w:jc w:val="both"/>
              <w:rPr>
                <w:b/>
                <w:sz w:val="28"/>
                <w:szCs w:val="28"/>
                <w:lang w:val="uk-UA"/>
              </w:rPr>
            </w:pPr>
            <w:r>
              <w:rPr>
                <w:b/>
                <w:sz w:val="28"/>
                <w:szCs w:val="28"/>
                <w:lang w:val="uk-UA"/>
              </w:rPr>
              <w:t>Стартова ціна природного газу (без урахування по</w:t>
            </w:r>
            <w:r>
              <w:rPr>
                <w:b/>
                <w:sz w:val="28"/>
                <w:szCs w:val="28"/>
                <w:lang w:val="uk-UA"/>
              </w:rPr>
              <w:t xml:space="preserve">датку на додану вартість та витрат на транспортування, розподіл і зберігання) на біржових аукціонах визначається на найнижчому рівні значення </w:t>
            </w:r>
            <w:r>
              <w:rPr>
                <w:b/>
                <w:sz w:val="28"/>
                <w:szCs w:val="28"/>
                <w:lang w:val="uk-UA"/>
              </w:rPr>
              <w:lastRenderedPageBreak/>
              <w:t>фактичних цін на наступний місяць постачання природного газу за період 10 днів, що передує даті проведення біржово</w:t>
            </w:r>
            <w:r>
              <w:rPr>
                <w:b/>
                <w:sz w:val="28"/>
                <w:szCs w:val="28"/>
                <w:lang w:val="uk-UA"/>
              </w:rPr>
              <w:t xml:space="preserve">го аукціону, на вітчизняній газовій біржі. </w:t>
            </w:r>
          </w:p>
          <w:p w:rsidR="00713D07" w:rsidRDefault="00F8063A">
            <w:pPr>
              <w:spacing w:before="120" w:after="120" w:line="252" w:lineRule="auto"/>
              <w:ind w:firstLine="389"/>
              <w:jc w:val="both"/>
              <w:rPr>
                <w:b/>
                <w:sz w:val="28"/>
                <w:szCs w:val="28"/>
                <w:lang w:val="uk-UA"/>
              </w:rPr>
            </w:pPr>
            <w:r>
              <w:rPr>
                <w:b/>
                <w:sz w:val="28"/>
                <w:szCs w:val="28"/>
                <w:lang w:val="uk-UA"/>
              </w:rPr>
              <w:t>Господарські товариства, зазначені в частині  9 цієї статті протягом аукціону, можуть знижувати стартову ціну на природний газ.</w:t>
            </w:r>
          </w:p>
          <w:p w:rsidR="00713D07" w:rsidRDefault="00F8063A">
            <w:pPr>
              <w:spacing w:before="120" w:after="120" w:line="252" w:lineRule="auto"/>
              <w:ind w:firstLine="389"/>
              <w:jc w:val="both"/>
              <w:rPr>
                <w:b/>
                <w:sz w:val="28"/>
                <w:szCs w:val="28"/>
                <w:lang w:val="uk-UA"/>
              </w:rPr>
            </w:pPr>
            <w:r>
              <w:rPr>
                <w:b/>
                <w:sz w:val="28"/>
                <w:szCs w:val="28"/>
                <w:lang w:val="uk-UA"/>
              </w:rPr>
              <w:t>При проведенні біржових аукціонів з продажу природного газу не допускаються:</w:t>
            </w:r>
          </w:p>
          <w:p w:rsidR="00713D07" w:rsidRDefault="00F8063A">
            <w:pPr>
              <w:spacing w:before="120" w:after="120" w:line="252" w:lineRule="auto"/>
              <w:ind w:firstLine="389"/>
              <w:jc w:val="both"/>
              <w:rPr>
                <w:b/>
                <w:sz w:val="28"/>
                <w:szCs w:val="28"/>
                <w:lang w:val="uk-UA"/>
              </w:rPr>
            </w:pPr>
            <w:r>
              <w:rPr>
                <w:b/>
                <w:sz w:val="28"/>
                <w:szCs w:val="28"/>
                <w:lang w:val="uk-UA"/>
              </w:rPr>
              <w:t>1) прод</w:t>
            </w:r>
            <w:r>
              <w:rPr>
                <w:b/>
                <w:sz w:val="28"/>
                <w:szCs w:val="28"/>
                <w:lang w:val="uk-UA"/>
              </w:rPr>
              <w:t>аж протягом одного календарного місяця природного газу одному суб'єкту господарювання або групі суб'єктів господарювання, пов'язаних відносинами контролю, в обсягах, що перевищує 35 відсотків загального місячного обсягу природного газу, що буде видобутий г</w:t>
            </w:r>
            <w:r>
              <w:rPr>
                <w:b/>
                <w:sz w:val="28"/>
                <w:szCs w:val="28"/>
                <w:lang w:val="uk-UA"/>
              </w:rPr>
              <w:t>осподарськими товариствами зазначеними в частині 9 цієї статті, протягом наступного місяця (без урахування обсягів, що використовуються на власні технологічні потреби а також підлягають реалізації згідно із спеціальними обов'язками, покладеними Кабінетом М</w:t>
            </w:r>
            <w:r>
              <w:rPr>
                <w:b/>
                <w:sz w:val="28"/>
                <w:szCs w:val="28"/>
                <w:lang w:val="uk-UA"/>
              </w:rPr>
              <w:t>іністрів України на таких суб'єктів господарювання на підставі статті 11 Закону України "Про ринок природного газу");</w:t>
            </w:r>
          </w:p>
          <w:p w:rsidR="00713D07" w:rsidRDefault="00F8063A">
            <w:pPr>
              <w:spacing w:before="120" w:after="120" w:line="252" w:lineRule="auto"/>
              <w:ind w:firstLine="389"/>
              <w:jc w:val="both"/>
              <w:rPr>
                <w:b/>
                <w:sz w:val="28"/>
                <w:szCs w:val="28"/>
                <w:lang w:val="uk-UA"/>
              </w:rPr>
            </w:pPr>
            <w:r>
              <w:rPr>
                <w:b/>
                <w:sz w:val="28"/>
                <w:szCs w:val="28"/>
                <w:lang w:val="uk-UA"/>
              </w:rPr>
              <w:t xml:space="preserve">2) формування мінімальних за кількістю партій товару, що пропонується для продажу на біржовому </w:t>
            </w:r>
            <w:r>
              <w:rPr>
                <w:b/>
                <w:sz w:val="28"/>
                <w:szCs w:val="28"/>
                <w:lang w:val="uk-UA"/>
              </w:rPr>
              <w:lastRenderedPageBreak/>
              <w:t>аукціоні, в обсязі більшому за 1 мільйон ку</w:t>
            </w:r>
            <w:r>
              <w:rPr>
                <w:b/>
                <w:sz w:val="28"/>
                <w:szCs w:val="28"/>
                <w:lang w:val="uk-UA"/>
              </w:rPr>
              <w:t>бічних метрів природного газу.</w:t>
            </w:r>
          </w:p>
          <w:p w:rsidR="00713D07" w:rsidRDefault="00F8063A">
            <w:pPr>
              <w:spacing w:before="120" w:after="120" w:line="252" w:lineRule="auto"/>
              <w:ind w:firstLine="389"/>
              <w:jc w:val="both"/>
              <w:rPr>
                <w:b/>
                <w:sz w:val="28"/>
                <w:szCs w:val="28"/>
                <w:lang w:val="uk-UA"/>
              </w:rPr>
            </w:pPr>
            <w:r>
              <w:rPr>
                <w:b/>
                <w:sz w:val="28"/>
                <w:szCs w:val="28"/>
                <w:lang w:val="uk-UA"/>
              </w:rPr>
              <w:t>Передача природного газу реалізованого на біржових аукціонах здійснюється у віртуальній торговій точці в газотранспортній системі України.</w:t>
            </w:r>
          </w:p>
          <w:p w:rsidR="00713D07" w:rsidRDefault="00F8063A">
            <w:pPr>
              <w:spacing w:before="120" w:after="120" w:line="252" w:lineRule="auto"/>
              <w:ind w:firstLine="389"/>
              <w:jc w:val="both"/>
              <w:rPr>
                <w:b/>
                <w:sz w:val="28"/>
                <w:szCs w:val="28"/>
                <w:lang w:val="uk-UA"/>
              </w:rPr>
            </w:pPr>
            <w:r>
              <w:rPr>
                <w:b/>
                <w:sz w:val="28"/>
                <w:szCs w:val="28"/>
                <w:lang w:val="uk-UA"/>
              </w:rPr>
              <w:t xml:space="preserve">Якщо під час чергового біржового аукціону виставлений на продаж обсяг природного газу не був реалізований повністю або частково, він виставляються на додатковий біржовий аукціон, що проводиться того самого календарного місяця. </w:t>
            </w:r>
          </w:p>
          <w:p w:rsidR="00713D07" w:rsidRDefault="00F8063A">
            <w:pPr>
              <w:spacing w:before="120" w:after="120" w:line="252" w:lineRule="auto"/>
              <w:ind w:firstLine="389"/>
              <w:jc w:val="both"/>
              <w:rPr>
                <w:b/>
                <w:sz w:val="28"/>
                <w:szCs w:val="28"/>
                <w:lang w:val="uk-UA"/>
              </w:rPr>
            </w:pPr>
            <w:r>
              <w:rPr>
                <w:b/>
                <w:sz w:val="28"/>
                <w:szCs w:val="28"/>
                <w:lang w:val="uk-UA"/>
              </w:rPr>
              <w:t>У разі якщо продаж зазначено</w:t>
            </w:r>
            <w:r>
              <w:rPr>
                <w:b/>
                <w:sz w:val="28"/>
                <w:szCs w:val="28"/>
                <w:lang w:val="uk-UA"/>
              </w:rPr>
              <w:t>го обсягу природного газу не відбувся на додатковому біржовому аукціоні або додатковий біржовий аукціон не був проведений, господарські товариства, зазначені в частині  9 цієї статті, забезпечують передачу нереалізованого обсягу природного газу на зберіган</w:t>
            </w:r>
            <w:r>
              <w:rPr>
                <w:b/>
                <w:sz w:val="28"/>
                <w:szCs w:val="28"/>
                <w:lang w:val="uk-UA"/>
              </w:rPr>
              <w:t xml:space="preserve">ня до газосховищ. Переданий на зберігання до газосховищ обсяг природного газу підлягає вперше виставленню на продаж на біржовому аукціоні, який буде проводитися у найближчу календарну дату після дати передачі такого обсягу природного газу на зберігання до </w:t>
            </w:r>
            <w:r>
              <w:rPr>
                <w:b/>
                <w:sz w:val="28"/>
                <w:szCs w:val="28"/>
                <w:lang w:val="uk-UA"/>
              </w:rPr>
              <w:t xml:space="preserve">газосховищ. </w:t>
            </w:r>
          </w:p>
          <w:p w:rsidR="00713D07" w:rsidRDefault="00F8063A">
            <w:pPr>
              <w:spacing w:before="120" w:after="120" w:line="252" w:lineRule="auto"/>
              <w:ind w:firstLine="389"/>
              <w:jc w:val="both"/>
              <w:rPr>
                <w:b/>
                <w:sz w:val="28"/>
                <w:szCs w:val="28"/>
                <w:lang w:val="uk-UA"/>
              </w:rPr>
            </w:pPr>
            <w:r>
              <w:rPr>
                <w:b/>
                <w:sz w:val="28"/>
                <w:szCs w:val="28"/>
                <w:lang w:val="uk-UA"/>
              </w:rPr>
              <w:t>Господарські товариства, зазначені в частині  9 цієї статті здійснюють продаж всього обсягу природного газу, переданого на зберігання до газосховищ</w:t>
            </w:r>
            <w:r>
              <w:rPr>
                <w:lang w:val="uk-UA"/>
              </w:rPr>
              <w:t xml:space="preserve"> (</w:t>
            </w:r>
            <w:r>
              <w:rPr>
                <w:b/>
                <w:sz w:val="28"/>
                <w:szCs w:val="28"/>
                <w:lang w:val="uk-UA"/>
              </w:rPr>
              <w:t>без урахування обсягів, що підлягають реалізації згідно із спеціальними обов'язками, покладени</w:t>
            </w:r>
            <w:r>
              <w:rPr>
                <w:b/>
                <w:sz w:val="28"/>
                <w:szCs w:val="28"/>
                <w:lang w:val="uk-UA"/>
              </w:rPr>
              <w:t xml:space="preserve">ми Кабінетом </w:t>
            </w:r>
            <w:r>
              <w:rPr>
                <w:b/>
                <w:sz w:val="28"/>
                <w:szCs w:val="28"/>
                <w:lang w:val="uk-UA"/>
              </w:rPr>
              <w:lastRenderedPageBreak/>
              <w:t>Міністрів України на таких суб'єктів господарювання на підставі статті 11 Закону України "Про ринок природного газу") виключно на біржових аукціонах на постійній основі.</w:t>
            </w:r>
          </w:p>
          <w:p w:rsidR="00713D07" w:rsidRDefault="00F8063A">
            <w:pPr>
              <w:spacing w:before="120" w:after="120" w:line="252" w:lineRule="auto"/>
              <w:ind w:firstLine="389"/>
              <w:jc w:val="both"/>
              <w:rPr>
                <w:b/>
                <w:sz w:val="28"/>
                <w:szCs w:val="28"/>
                <w:lang w:val="uk-UA"/>
              </w:rPr>
            </w:pPr>
            <w:r>
              <w:rPr>
                <w:b/>
                <w:sz w:val="28"/>
                <w:szCs w:val="28"/>
                <w:lang w:val="uk-UA"/>
              </w:rPr>
              <w:t>Особа, яка за результатами біржового аукціону придбала обсяг природного г</w:t>
            </w:r>
            <w:r>
              <w:rPr>
                <w:b/>
                <w:sz w:val="28"/>
                <w:szCs w:val="28"/>
                <w:lang w:val="uk-UA"/>
              </w:rPr>
              <w:t>азу, який передавався на зберігання до газосховищ, зобов'язана компенсувати господарським товариствам, зазначеним в частині 9 цієї статті, фактично понесені ними витрати на користь оператора газосховища у зв'язку із зберіганням такого обсягу природного газ</w:t>
            </w:r>
            <w:r>
              <w:rPr>
                <w:b/>
                <w:sz w:val="28"/>
                <w:szCs w:val="28"/>
                <w:lang w:val="uk-UA"/>
              </w:rPr>
              <w:t>у. Реалізований на біржових аукціонах обсяг природного газу, який зберігається у газосховищах, може передаватися покупцям безпосередньо у таких газосховищах.</w:t>
            </w:r>
          </w:p>
          <w:p w:rsidR="00713D07" w:rsidRDefault="00F8063A">
            <w:pPr>
              <w:spacing w:before="120" w:after="120" w:line="252" w:lineRule="auto"/>
              <w:ind w:firstLine="389"/>
              <w:jc w:val="both"/>
              <w:rPr>
                <w:b/>
                <w:sz w:val="28"/>
                <w:szCs w:val="28"/>
                <w:lang w:val="uk-UA"/>
              </w:rPr>
            </w:pPr>
            <w:r>
              <w:rPr>
                <w:b/>
                <w:sz w:val="28"/>
                <w:szCs w:val="28"/>
                <w:lang w:val="uk-UA"/>
              </w:rPr>
              <w:t>Порядок організації та проведення біржових аукціонів з продажу природного газу, а також порядок ви</w:t>
            </w:r>
            <w:r>
              <w:rPr>
                <w:b/>
                <w:sz w:val="28"/>
                <w:szCs w:val="28"/>
                <w:lang w:val="uk-UA"/>
              </w:rPr>
              <w:t>значення обсягів природного газу, що підлягає реалізації на таких аукціонах, встановлюються Кабінетом Міністрів України.</w:t>
            </w:r>
          </w:p>
          <w:p w:rsidR="00713D07" w:rsidRDefault="00F8063A">
            <w:pPr>
              <w:spacing w:before="120" w:after="120" w:line="252" w:lineRule="auto"/>
              <w:ind w:firstLine="389"/>
              <w:jc w:val="both"/>
              <w:rPr>
                <w:b/>
                <w:sz w:val="28"/>
                <w:szCs w:val="28"/>
                <w:lang w:val="uk-UA"/>
              </w:rPr>
            </w:pPr>
            <w:r>
              <w:rPr>
                <w:b/>
                <w:sz w:val="28"/>
                <w:szCs w:val="28"/>
                <w:lang w:val="uk-UA"/>
              </w:rPr>
              <w:t xml:space="preserve">Порядок організації та проведення біржових аукціонів з продажу природного газу для забезпечення потреб при виконання спеціальних </w:t>
            </w:r>
            <w:r>
              <w:rPr>
                <w:b/>
                <w:sz w:val="28"/>
                <w:szCs w:val="28"/>
                <w:lang w:val="uk-UA"/>
              </w:rPr>
              <w:t>обов’язків відповідно до статті 11 Закону України "Про ринок природного газу":</w:t>
            </w:r>
          </w:p>
          <w:p w:rsidR="00713D07" w:rsidRDefault="00F8063A">
            <w:pPr>
              <w:spacing w:before="120" w:after="120" w:line="252" w:lineRule="auto"/>
              <w:ind w:firstLine="389"/>
              <w:jc w:val="both"/>
              <w:rPr>
                <w:b/>
                <w:sz w:val="28"/>
                <w:szCs w:val="28"/>
                <w:lang w:val="uk-UA"/>
              </w:rPr>
            </w:pPr>
            <w:r>
              <w:rPr>
                <w:b/>
                <w:sz w:val="28"/>
                <w:szCs w:val="28"/>
                <w:lang w:val="uk-UA"/>
              </w:rPr>
              <w:t>1)</w:t>
            </w:r>
            <w:r>
              <w:rPr>
                <w:b/>
                <w:sz w:val="28"/>
                <w:szCs w:val="28"/>
                <w:lang w:val="uk-UA"/>
              </w:rPr>
              <w:tab/>
              <w:t xml:space="preserve">Господарські товариства, які провадять діяльність з видобутку природного газу та 100 відсотків </w:t>
            </w:r>
            <w:r>
              <w:rPr>
                <w:b/>
                <w:sz w:val="28"/>
                <w:szCs w:val="28"/>
                <w:lang w:val="uk-UA"/>
              </w:rPr>
              <w:lastRenderedPageBreak/>
              <w:t>акцій (паїв, часток) яких належать державі або іншому господарському товариству</w:t>
            </w:r>
            <w:r>
              <w:rPr>
                <w:b/>
                <w:sz w:val="28"/>
                <w:szCs w:val="28"/>
                <w:lang w:val="uk-UA"/>
              </w:rPr>
              <w:t>, єдиним акціонером якого є держава та на яких Кабінетом Міністрів України відповідно до статті 11 Закону України "Про ринок природного газу" покладено спеціальні обов'язки, в період з 10 по 25 число поточного місяця здійснюють продаж обсягу природного газ</w:t>
            </w:r>
            <w:r>
              <w:rPr>
                <w:b/>
                <w:sz w:val="28"/>
                <w:szCs w:val="28"/>
                <w:lang w:val="uk-UA"/>
              </w:rPr>
              <w:t>у, що буде видобутий такими господарськими товариствами протягом наступного місяця (для забезпечення потреб при виконання зазначених спеціальних обов’язків) на біржових аукціонах в порядку та на умовах визначених Кабінетом Міністрів України.</w:t>
            </w:r>
          </w:p>
          <w:p w:rsidR="00713D07" w:rsidRDefault="00F8063A">
            <w:pPr>
              <w:spacing w:before="120" w:after="120" w:line="252" w:lineRule="auto"/>
              <w:ind w:firstLine="389"/>
              <w:jc w:val="both"/>
              <w:rPr>
                <w:b/>
                <w:sz w:val="28"/>
                <w:szCs w:val="28"/>
                <w:lang w:val="uk-UA"/>
              </w:rPr>
            </w:pPr>
            <w:r>
              <w:rPr>
                <w:b/>
                <w:sz w:val="28"/>
                <w:szCs w:val="28"/>
                <w:lang w:val="uk-UA"/>
              </w:rPr>
              <w:t>2)</w:t>
            </w:r>
            <w:r>
              <w:rPr>
                <w:b/>
                <w:sz w:val="28"/>
                <w:szCs w:val="28"/>
                <w:lang w:val="uk-UA"/>
              </w:rPr>
              <w:tab/>
              <w:t>У разі якщо</w:t>
            </w:r>
            <w:r>
              <w:rPr>
                <w:b/>
                <w:sz w:val="28"/>
                <w:szCs w:val="28"/>
                <w:lang w:val="uk-UA"/>
              </w:rPr>
              <w:t xml:space="preserve"> продаж зазначеного обсягу природного газу на біржовому аукціоні не відбувся або відбувся не в повному обсязі такий обсяг газу підлягає реалізації у порядку визначеному Кабінетом Міністрів України.</w:t>
            </w:r>
          </w:p>
          <w:p w:rsidR="00713D07" w:rsidRDefault="00F8063A">
            <w:pPr>
              <w:spacing w:before="120" w:after="120" w:line="252" w:lineRule="auto"/>
              <w:ind w:firstLine="389"/>
              <w:jc w:val="both"/>
              <w:rPr>
                <w:b/>
                <w:sz w:val="28"/>
                <w:szCs w:val="28"/>
                <w:lang w:val="uk-UA"/>
              </w:rPr>
            </w:pPr>
            <w:r>
              <w:rPr>
                <w:b/>
                <w:sz w:val="28"/>
                <w:szCs w:val="28"/>
                <w:lang w:val="uk-UA"/>
              </w:rPr>
              <w:t>3)</w:t>
            </w:r>
            <w:r>
              <w:rPr>
                <w:b/>
                <w:sz w:val="28"/>
                <w:szCs w:val="28"/>
                <w:lang w:val="uk-UA"/>
              </w:rPr>
              <w:tab/>
              <w:t>Стартова ціна природного газу (без урахування податку н</w:t>
            </w:r>
            <w:r>
              <w:rPr>
                <w:b/>
                <w:sz w:val="28"/>
                <w:szCs w:val="28"/>
                <w:lang w:val="uk-UA"/>
              </w:rPr>
              <w:t>а додану вартість та витрат на транспортування, розподіл і зберігання) на таких біржових аукціонах не може перевищувати граничної ціни за вирахуванням торговельної надбавки (націнки), визначених Кабінетом Міністрів України.</w:t>
            </w:r>
          </w:p>
          <w:p w:rsidR="00713D07" w:rsidRDefault="00F8063A">
            <w:pPr>
              <w:spacing w:before="120" w:after="120" w:line="252" w:lineRule="auto"/>
              <w:ind w:firstLine="389"/>
              <w:jc w:val="both"/>
              <w:rPr>
                <w:b/>
                <w:sz w:val="28"/>
                <w:szCs w:val="28"/>
                <w:lang w:val="uk-UA"/>
              </w:rPr>
            </w:pPr>
            <w:r>
              <w:rPr>
                <w:b/>
                <w:sz w:val="28"/>
                <w:szCs w:val="28"/>
                <w:lang w:val="uk-UA"/>
              </w:rPr>
              <w:t>4)</w:t>
            </w:r>
            <w:r>
              <w:rPr>
                <w:b/>
                <w:sz w:val="28"/>
                <w:szCs w:val="28"/>
                <w:lang w:val="uk-UA"/>
              </w:rPr>
              <w:tab/>
              <w:t>Максимальна ціна природного г</w:t>
            </w:r>
            <w:r>
              <w:rPr>
                <w:b/>
                <w:sz w:val="28"/>
                <w:szCs w:val="28"/>
                <w:lang w:val="uk-UA"/>
              </w:rPr>
              <w:t xml:space="preserve">азу (без урахування податку на додану вартість та витрат на транспортування, розподіл і зберігання) на таких </w:t>
            </w:r>
            <w:r>
              <w:rPr>
                <w:b/>
                <w:sz w:val="28"/>
                <w:szCs w:val="28"/>
                <w:lang w:val="uk-UA"/>
              </w:rPr>
              <w:lastRenderedPageBreak/>
              <w:t>біржових аукціонах не може перевищувати рівень граничних цін визначених Кабінетом Міністрів України.</w:t>
            </w:r>
          </w:p>
          <w:p w:rsidR="00713D07" w:rsidRDefault="00F8063A">
            <w:pPr>
              <w:spacing w:before="120" w:after="120" w:line="252" w:lineRule="auto"/>
              <w:ind w:firstLine="389"/>
              <w:jc w:val="both"/>
              <w:rPr>
                <w:b/>
                <w:sz w:val="28"/>
                <w:szCs w:val="28"/>
                <w:lang w:val="uk-UA"/>
              </w:rPr>
            </w:pPr>
            <w:r>
              <w:rPr>
                <w:b/>
                <w:sz w:val="28"/>
                <w:szCs w:val="28"/>
                <w:lang w:val="uk-UA"/>
              </w:rPr>
              <w:t>5)</w:t>
            </w:r>
            <w:r>
              <w:rPr>
                <w:b/>
                <w:sz w:val="28"/>
                <w:szCs w:val="28"/>
                <w:lang w:val="uk-UA"/>
              </w:rPr>
              <w:tab/>
              <w:t>Господарські товариства, зазначені в підпун</w:t>
            </w:r>
            <w:r>
              <w:rPr>
                <w:b/>
                <w:sz w:val="28"/>
                <w:szCs w:val="28"/>
                <w:lang w:val="uk-UA"/>
              </w:rPr>
              <w:t>кті 1 цієї частини протягом аукціону, можуть знижувати стартову ціну на природний газ.</w:t>
            </w:r>
            <w:bookmarkEnd w:id="1"/>
          </w:p>
        </w:tc>
      </w:tr>
    </w:tbl>
    <w:p w:rsidR="00713D07" w:rsidRDefault="00713D07">
      <w:pPr>
        <w:spacing w:before="120" w:after="120"/>
        <w:jc w:val="both"/>
        <w:rPr>
          <w:sz w:val="28"/>
          <w:szCs w:val="28"/>
          <w:lang w:val="uk-UA"/>
        </w:rPr>
      </w:pPr>
    </w:p>
    <w:tbl>
      <w:tblPr>
        <w:tblStyle w:val="a3"/>
        <w:tblW w:w="146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9"/>
        <w:gridCol w:w="7032"/>
      </w:tblGrid>
      <w:tr w:rsidR="00713D07">
        <w:tc>
          <w:tcPr>
            <w:tcW w:w="7569" w:type="dxa"/>
          </w:tcPr>
          <w:p w:rsidR="00713D07" w:rsidRDefault="00F8063A">
            <w:pPr>
              <w:jc w:val="both"/>
              <w:rPr>
                <w:sz w:val="28"/>
                <w:szCs w:val="28"/>
                <w:lang w:val="uk-UA"/>
              </w:rPr>
            </w:pPr>
            <w:r>
              <w:rPr>
                <w:b/>
                <w:sz w:val="28"/>
                <w:szCs w:val="28"/>
                <w:lang w:val="uk-UA"/>
              </w:rPr>
              <w:t>Народний депутат України</w:t>
            </w:r>
            <w:r>
              <w:rPr>
                <w:b/>
                <w:sz w:val="28"/>
                <w:szCs w:val="28"/>
                <w:lang w:val="uk-UA"/>
              </w:rPr>
              <w:tab/>
            </w:r>
          </w:p>
        </w:tc>
        <w:tc>
          <w:tcPr>
            <w:tcW w:w="7032" w:type="dxa"/>
          </w:tcPr>
          <w:p w:rsidR="00713D07" w:rsidRDefault="00F8063A">
            <w:pPr>
              <w:jc w:val="right"/>
              <w:rPr>
                <w:b/>
                <w:bCs/>
                <w:sz w:val="28"/>
                <w:szCs w:val="28"/>
                <w:lang w:eastAsia="uk-UA"/>
              </w:rPr>
            </w:pPr>
            <w:r>
              <w:rPr>
                <w:b/>
                <w:bCs/>
                <w:sz w:val="28"/>
                <w:szCs w:val="28"/>
                <w:lang w:eastAsia="uk-UA"/>
              </w:rPr>
              <w:t>Кучеренко О.Ю.</w:t>
            </w:r>
          </w:p>
          <w:p w:rsidR="00713D07" w:rsidRDefault="00F8063A">
            <w:pPr>
              <w:jc w:val="right"/>
              <w:rPr>
                <w:sz w:val="22"/>
                <w:szCs w:val="22"/>
                <w:lang w:val="uk-UA"/>
              </w:rPr>
            </w:pPr>
            <w:r>
              <w:rPr>
                <w:bCs/>
                <w:sz w:val="22"/>
                <w:szCs w:val="22"/>
                <w:lang w:val="uk-UA" w:eastAsia="uk-UA"/>
              </w:rPr>
              <w:t>(посвідчення № 179)</w:t>
            </w:r>
          </w:p>
        </w:tc>
      </w:tr>
    </w:tbl>
    <w:p w:rsidR="00713D07" w:rsidRDefault="00713D07">
      <w:pPr>
        <w:spacing w:before="120" w:after="120"/>
        <w:jc w:val="both"/>
        <w:rPr>
          <w:sz w:val="28"/>
          <w:szCs w:val="28"/>
          <w:lang w:val="uk-UA"/>
        </w:rPr>
      </w:pPr>
    </w:p>
    <w:p w:rsidR="00713D07" w:rsidRDefault="00F8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851"/>
        <w:rPr>
          <w:b/>
          <w:bCs/>
          <w:sz w:val="28"/>
          <w:szCs w:val="28"/>
          <w:lang w:eastAsia="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713D07" w:rsidRDefault="0071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851"/>
        <w:jc w:val="right"/>
        <w:rPr>
          <w:b/>
          <w:bCs/>
          <w:sz w:val="28"/>
          <w:szCs w:val="28"/>
          <w:lang w:val="uk-UA" w:eastAsia="uk-UA"/>
        </w:rPr>
      </w:pPr>
    </w:p>
    <w:p w:rsidR="00713D07" w:rsidRDefault="00F8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851"/>
        <w:rPr>
          <w:sz w:val="28"/>
          <w:szCs w:val="28"/>
          <w:lang w:val="uk-UA"/>
        </w:rPr>
      </w:pP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r>
        <w:rPr>
          <w:b/>
          <w:bCs/>
          <w:sz w:val="28"/>
          <w:szCs w:val="28"/>
          <w:lang w:eastAsia="uk-UA"/>
        </w:rPr>
        <w:tab/>
      </w:r>
    </w:p>
    <w:sectPr w:rsidR="00713D07">
      <w:headerReference w:type="default" r:id="rId10"/>
      <w:footerReference w:type="default" r:id="rId11"/>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3A" w:rsidRDefault="00F8063A">
      <w:r>
        <w:separator/>
      </w:r>
    </w:p>
  </w:endnote>
  <w:endnote w:type="continuationSeparator" w:id="0">
    <w:p w:rsidR="00F8063A" w:rsidRDefault="00F8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07" w:rsidRDefault="00713D07">
    <w:pPr>
      <w:pStyle w:val="a6"/>
    </w:pPr>
  </w:p>
  <w:p w:rsidR="00713D07" w:rsidRDefault="00713D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3A" w:rsidRDefault="00F8063A">
      <w:r>
        <w:separator/>
      </w:r>
    </w:p>
  </w:footnote>
  <w:footnote w:type="continuationSeparator" w:id="0">
    <w:p w:rsidR="00F8063A" w:rsidRDefault="00F8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577595"/>
      <w:docPartObj>
        <w:docPartGallery w:val="Page Numbers (Top of Page)"/>
        <w:docPartUnique/>
      </w:docPartObj>
    </w:sdtPr>
    <w:sdtEndPr/>
    <w:sdtContent>
      <w:p w:rsidR="00713D07" w:rsidRDefault="00F8063A">
        <w:pPr>
          <w:pStyle w:val="a4"/>
          <w:jc w:val="center"/>
        </w:pPr>
        <w:r>
          <w:fldChar w:fldCharType="begin"/>
        </w:r>
        <w:r>
          <w:instrText xml:space="preserve">PAGE   \* </w:instrText>
        </w:r>
        <w:r>
          <w:instrText>MERGEFORMAT</w:instrText>
        </w:r>
        <w:r>
          <w:fldChar w:fldCharType="separate"/>
        </w:r>
        <w:r w:rsidR="00D217EF">
          <w:rPr>
            <w:noProof/>
          </w:rPr>
          <w:t>2</w:t>
        </w:r>
        <w:r>
          <w:fldChar w:fldCharType="end"/>
        </w:r>
      </w:p>
    </w:sdtContent>
  </w:sdt>
  <w:p w:rsidR="00713D07" w:rsidRDefault="00713D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3009C"/>
    <w:multiLevelType w:val="hybridMultilevel"/>
    <w:tmpl w:val="627CA296"/>
    <w:lvl w:ilvl="0" w:tplc="3F1C6426">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07"/>
    <w:rsid w:val="00713D07"/>
    <w:rsid w:val="00D217EF"/>
    <w:rsid w:val="00F806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85D22-E6BB-4F41-A2FF-735651AC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pPr>
      <w:spacing w:before="100" w:beforeAutospacing="1" w:after="100" w:afterAutospacing="1"/>
      <w:outlineLvl w:val="2"/>
    </w:pPr>
    <w:rPr>
      <w:b/>
      <w:bCs/>
      <w:sz w:val="27"/>
      <w:szCs w:val="27"/>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val="x-none" w:eastAsia="uk-UA"/>
    </w:rPr>
  </w:style>
  <w:style w:type="table" w:styleId="a3">
    <w:name w:val="Table Grid"/>
    <w:basedOn w:val="a1"/>
    <w:uiPriority w:val="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style>
  <w:style w:type="paragraph" w:customStyle="1" w:styleId="rvps2">
    <w:name w:val="rvps2"/>
    <w:basedOn w:val="a"/>
    <w:pPr>
      <w:spacing w:before="100" w:beforeAutospacing="1" w:after="100" w:afterAutospacing="1"/>
    </w:pPr>
  </w:style>
  <w:style w:type="character" w:customStyle="1" w:styleId="rvts9">
    <w:name w:val="rvts9"/>
    <w:basedOn w:val="a0"/>
  </w:style>
  <w:style w:type="paragraph" w:styleId="HTML">
    <w:name w:val="HTML Preformatted"/>
    <w:basedOn w:val="a"/>
    <w:link w:val="HTML0"/>
    <w:uiPriority w:val="99"/>
    <w:semiHidden/>
    <w:unhideWhenUsed/>
    <w:rPr>
      <w:rFonts w:ascii="Consolas" w:hAnsi="Consolas"/>
      <w:sz w:val="20"/>
      <w:szCs w:val="20"/>
    </w:rPr>
  </w:style>
  <w:style w:type="character" w:customStyle="1" w:styleId="HTML0">
    <w:name w:val="Стандартний HTML Знак"/>
    <w:basedOn w:val="a0"/>
    <w:link w:val="HTML"/>
    <w:uiPriority w:val="99"/>
    <w:semiHidden/>
    <w:rPr>
      <w:rFonts w:ascii="Consolas" w:eastAsia="Times New Roman" w:hAnsi="Consolas" w:cs="Times New Roman"/>
      <w:sz w:val="20"/>
      <w:szCs w:val="20"/>
      <w:lang w:val="ru-RU" w:eastAsia="ru-RU"/>
    </w:rPr>
  </w:style>
  <w:style w:type="paragraph" w:styleId="a4">
    <w:name w:val="header"/>
    <w:basedOn w:val="a"/>
    <w:link w:val="a5"/>
    <w:uiPriority w:val="99"/>
    <w:unhideWhenUsed/>
    <w:pPr>
      <w:tabs>
        <w:tab w:val="center" w:pos="4819"/>
        <w:tab w:val="right" w:pos="9639"/>
      </w:tabs>
    </w:pPr>
  </w:style>
  <w:style w:type="character" w:customStyle="1" w:styleId="a5">
    <w:name w:val="Верхній колонтитул Знак"/>
    <w:basedOn w:val="a0"/>
    <w:link w:val="a4"/>
    <w:uiPriority w:val="99"/>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pPr>
      <w:tabs>
        <w:tab w:val="center" w:pos="4819"/>
        <w:tab w:val="right" w:pos="9639"/>
      </w:tabs>
    </w:pPr>
  </w:style>
  <w:style w:type="character" w:customStyle="1" w:styleId="a7">
    <w:name w:val="Нижній колонтитул Знак"/>
    <w:basedOn w:val="a0"/>
    <w:link w:val="a6"/>
    <w:uiPriority w:val="99"/>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Pr>
      <w:rFonts w:ascii="Segoe UI" w:hAnsi="Segoe UI" w:cs="Segoe UI"/>
      <w:sz w:val="18"/>
      <w:szCs w:val="18"/>
    </w:rPr>
  </w:style>
  <w:style w:type="character" w:customStyle="1" w:styleId="a9">
    <w:name w:val="Текст у виносці Знак"/>
    <w:basedOn w:val="a0"/>
    <w:link w:val="a8"/>
    <w:uiPriority w:val="99"/>
    <w:semiHidden/>
    <w:rPr>
      <w:rFonts w:ascii="Segoe UI" w:eastAsia="Times New Roman" w:hAnsi="Segoe UI" w:cs="Segoe UI"/>
      <w:sz w:val="18"/>
      <w:szCs w:val="18"/>
      <w:lang w:val="ru-RU" w:eastAsia="ru-RU"/>
    </w:rPr>
  </w:style>
  <w:style w:type="paragraph" w:styleId="aa">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0286">
      <w:bodyDiv w:val="1"/>
      <w:marLeft w:val="0"/>
      <w:marRight w:val="0"/>
      <w:marTop w:val="0"/>
      <w:marBottom w:val="0"/>
      <w:divBdr>
        <w:top w:val="none" w:sz="0" w:space="0" w:color="auto"/>
        <w:left w:val="none" w:sz="0" w:space="0" w:color="auto"/>
        <w:bottom w:val="none" w:sz="0" w:space="0" w:color="auto"/>
        <w:right w:val="none" w:sz="0" w:space="0" w:color="auto"/>
      </w:divBdr>
    </w:div>
    <w:div w:id="1838575764">
      <w:bodyDiv w:val="1"/>
      <w:marLeft w:val="0"/>
      <w:marRight w:val="0"/>
      <w:marTop w:val="0"/>
      <w:marBottom w:val="0"/>
      <w:divBdr>
        <w:top w:val="none" w:sz="0" w:space="0" w:color="auto"/>
        <w:left w:val="none" w:sz="0" w:space="0" w:color="auto"/>
        <w:bottom w:val="none" w:sz="0" w:space="0" w:color="auto"/>
        <w:right w:val="none" w:sz="0" w:space="0" w:color="auto"/>
      </w:divBdr>
    </w:div>
    <w:div w:id="20046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4A17C-DEE2-4A23-A4B0-A55F308ED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E4CB3-A554-43D6-B2EF-A6AFD8B653C7}">
  <ds:schemaRefs>
    <ds:schemaRef ds:uri="http://schemas.microsoft.com/sharepoint/v3/contenttype/forms"/>
  </ds:schemaRefs>
</ds:datastoreItem>
</file>

<file path=customXml/itemProps3.xml><?xml version="1.0" encoding="utf-8"?>
<ds:datastoreItem xmlns:ds="http://schemas.openxmlformats.org/officeDocument/2006/customXml" ds:itemID="{1BBAF108-DBB7-46E3-A516-46AC522A2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7393</Words>
  <Characters>4215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2020-11-18T15:22:00Z</dcterms:created>
  <dcterms:modified xsi:type="dcterms:W3CDTF">2020-11-18T15:22:00Z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