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497" w:rsidRPr="00DF60DC" w:rsidRDefault="008B1497" w:rsidP="005C3C8A">
      <w:pPr>
        <w:ind w:firstLine="709"/>
        <w:jc w:val="right"/>
        <w:rPr>
          <w:b/>
          <w:bCs/>
          <w:i/>
          <w:iCs/>
          <w:spacing w:val="-4"/>
          <w:sz w:val="24"/>
          <w:szCs w:val="24"/>
          <w:lang w:val="uk-UA"/>
        </w:rPr>
      </w:pPr>
      <w:bookmarkStart w:id="0" w:name="_GoBack"/>
      <w:bookmarkEnd w:id="0"/>
      <w:r w:rsidRPr="00DF60DC">
        <w:rPr>
          <w:bCs/>
          <w:i/>
          <w:iCs/>
          <w:spacing w:val="-4"/>
          <w:sz w:val="24"/>
          <w:szCs w:val="24"/>
          <w:lang w:val="uk-UA"/>
        </w:rPr>
        <w:t xml:space="preserve">До реєстр. № </w:t>
      </w:r>
      <w:r w:rsidR="003542D3" w:rsidRPr="00DF60DC">
        <w:rPr>
          <w:bCs/>
          <w:i/>
          <w:iCs/>
          <w:spacing w:val="-4"/>
          <w:sz w:val="24"/>
          <w:szCs w:val="24"/>
          <w:lang w:val="uk-UA"/>
        </w:rPr>
        <w:t>4</w:t>
      </w:r>
      <w:r w:rsidR="00327CDD" w:rsidRPr="00DF60DC">
        <w:rPr>
          <w:bCs/>
          <w:i/>
          <w:iCs/>
          <w:spacing w:val="-4"/>
          <w:sz w:val="24"/>
          <w:szCs w:val="24"/>
          <w:lang w:val="uk-UA"/>
        </w:rPr>
        <w:t>4</w:t>
      </w:r>
      <w:r w:rsidR="003542D3" w:rsidRPr="00DF60DC">
        <w:rPr>
          <w:bCs/>
          <w:i/>
          <w:iCs/>
          <w:spacing w:val="-4"/>
          <w:sz w:val="24"/>
          <w:szCs w:val="24"/>
          <w:lang w:val="uk-UA"/>
        </w:rPr>
        <w:t>1</w:t>
      </w:r>
      <w:r w:rsidR="00327CDD" w:rsidRPr="00DF60DC">
        <w:rPr>
          <w:bCs/>
          <w:i/>
          <w:iCs/>
          <w:spacing w:val="-4"/>
          <w:sz w:val="24"/>
          <w:szCs w:val="24"/>
          <w:lang w:val="uk-UA"/>
        </w:rPr>
        <w:t>1 від 20</w:t>
      </w:r>
      <w:r w:rsidR="003542D3" w:rsidRPr="00DF60DC">
        <w:rPr>
          <w:bCs/>
          <w:i/>
          <w:iCs/>
          <w:spacing w:val="-4"/>
          <w:sz w:val="24"/>
          <w:szCs w:val="24"/>
          <w:lang w:val="uk-UA"/>
        </w:rPr>
        <w:t>.1</w:t>
      </w:r>
      <w:r w:rsidR="00327CDD" w:rsidRPr="00DF60DC">
        <w:rPr>
          <w:bCs/>
          <w:i/>
          <w:iCs/>
          <w:spacing w:val="-4"/>
          <w:sz w:val="24"/>
          <w:szCs w:val="24"/>
          <w:lang w:val="uk-UA"/>
        </w:rPr>
        <w:t>1</w:t>
      </w:r>
      <w:r w:rsidR="003542D3" w:rsidRPr="00DF60DC">
        <w:rPr>
          <w:bCs/>
          <w:i/>
          <w:iCs/>
          <w:spacing w:val="-4"/>
          <w:sz w:val="24"/>
          <w:szCs w:val="24"/>
          <w:lang w:val="uk-UA"/>
        </w:rPr>
        <w:t xml:space="preserve">.2020 </w:t>
      </w:r>
      <w:r w:rsidRPr="00DF60DC">
        <w:rPr>
          <w:bCs/>
          <w:i/>
          <w:iCs/>
          <w:spacing w:val="-4"/>
          <w:sz w:val="24"/>
          <w:szCs w:val="24"/>
          <w:lang w:val="uk-UA"/>
        </w:rPr>
        <w:t>р</w:t>
      </w:r>
      <w:r w:rsidRPr="00DF60DC">
        <w:rPr>
          <w:b/>
          <w:bCs/>
          <w:i/>
          <w:iCs/>
          <w:spacing w:val="-4"/>
          <w:sz w:val="24"/>
          <w:szCs w:val="24"/>
          <w:lang w:val="uk-UA"/>
        </w:rPr>
        <w:t>.</w:t>
      </w:r>
    </w:p>
    <w:tbl>
      <w:tblPr>
        <w:tblW w:w="11340"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0"/>
      </w:tblGrid>
      <w:tr w:rsidR="00935341" w:rsidRPr="00DF60DC" w:rsidTr="00B21D2D">
        <w:tc>
          <w:tcPr>
            <w:tcW w:w="11340" w:type="dxa"/>
            <w:tcBorders>
              <w:top w:val="nil"/>
              <w:left w:val="nil"/>
              <w:bottom w:val="nil"/>
              <w:right w:val="nil"/>
            </w:tcBorders>
          </w:tcPr>
          <w:p w:rsidR="00935341" w:rsidRPr="00DF60DC" w:rsidRDefault="00742EDA" w:rsidP="00935341">
            <w:pPr>
              <w:autoSpaceDE/>
              <w:autoSpaceDN/>
              <w:ind w:right="516"/>
              <w:jc w:val="center"/>
              <w:rPr>
                <w:rFonts w:eastAsia="Calibri"/>
                <w:color w:val="002060"/>
                <w:sz w:val="32"/>
                <w:szCs w:val="32"/>
                <w:lang w:val="uk-UA" w:eastAsia="en-US"/>
              </w:rPr>
            </w:pPr>
            <w:r w:rsidRPr="00DF60DC">
              <w:rPr>
                <w:noProof/>
                <w:lang w:val="uk-UA" w:eastAsia="uk-UA"/>
              </w:rPr>
              <w:drawing>
                <wp:anchor distT="360045" distB="0" distL="114300" distR="114300" simplePos="0" relativeHeight="251657728" behindDoc="0" locked="0" layoutInCell="1" allowOverlap="1">
                  <wp:simplePos x="0" y="0"/>
                  <wp:positionH relativeFrom="margin">
                    <wp:posOffset>3731260</wp:posOffset>
                  </wp:positionH>
                  <wp:positionV relativeFrom="paragraph">
                    <wp:posOffset>47625</wp:posOffset>
                  </wp:positionV>
                  <wp:extent cx="461010" cy="636905"/>
                  <wp:effectExtent l="0" t="0" r="0" b="0"/>
                  <wp:wrapSquare wrapText="bothSides"/>
                  <wp:docPr id="2"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5341" w:rsidRPr="00DF60DC" w:rsidRDefault="00935341" w:rsidP="00935341">
            <w:pPr>
              <w:autoSpaceDE/>
              <w:autoSpaceDN/>
              <w:ind w:left="1590"/>
              <w:jc w:val="center"/>
              <w:rPr>
                <w:rFonts w:eastAsia="Calibri"/>
                <w:color w:val="002060"/>
                <w:sz w:val="32"/>
                <w:szCs w:val="32"/>
                <w:lang w:val="uk-UA" w:eastAsia="en-US"/>
              </w:rPr>
            </w:pPr>
          </w:p>
          <w:p w:rsidR="00935341" w:rsidRPr="00DF60DC" w:rsidRDefault="00935341" w:rsidP="00935341">
            <w:pPr>
              <w:autoSpaceDE/>
              <w:autoSpaceDN/>
              <w:ind w:left="1590"/>
              <w:jc w:val="center"/>
              <w:rPr>
                <w:rFonts w:eastAsia="Calibri"/>
                <w:color w:val="002060"/>
                <w:sz w:val="32"/>
                <w:szCs w:val="32"/>
                <w:lang w:val="uk-UA" w:eastAsia="en-US"/>
              </w:rPr>
            </w:pPr>
          </w:p>
          <w:p w:rsidR="00935341" w:rsidRPr="00DF60DC" w:rsidRDefault="00935341" w:rsidP="00935341">
            <w:pPr>
              <w:autoSpaceDE/>
              <w:autoSpaceDN/>
              <w:spacing w:before="80"/>
              <w:ind w:left="1590"/>
              <w:jc w:val="center"/>
              <w:rPr>
                <w:rFonts w:eastAsia="Calibri"/>
                <w:color w:val="1829A8"/>
                <w:spacing w:val="20"/>
                <w:sz w:val="34"/>
                <w:szCs w:val="34"/>
                <w:lang w:val="uk-UA" w:eastAsia="en-US"/>
              </w:rPr>
            </w:pPr>
            <w:r w:rsidRPr="00DF60DC">
              <w:rPr>
                <w:rFonts w:eastAsia="Calibri"/>
                <w:color w:val="1829A8"/>
                <w:spacing w:val="20"/>
                <w:sz w:val="34"/>
                <w:szCs w:val="34"/>
                <w:lang w:val="uk-UA" w:eastAsia="en-US"/>
              </w:rPr>
              <w:t>ВЕРХОВНА РАДА УКРАЇНИ</w:t>
            </w:r>
          </w:p>
          <w:p w:rsidR="00935341" w:rsidRPr="00DF60DC" w:rsidRDefault="00935341" w:rsidP="00935341">
            <w:pPr>
              <w:autoSpaceDE/>
              <w:autoSpaceDN/>
              <w:spacing w:before="100"/>
              <w:ind w:left="1590"/>
              <w:jc w:val="center"/>
              <w:rPr>
                <w:rFonts w:eastAsia="Calibri"/>
                <w:b/>
                <w:color w:val="1829A8"/>
                <w:spacing w:val="20"/>
                <w:sz w:val="24"/>
                <w:szCs w:val="24"/>
                <w:lang w:val="uk-UA" w:eastAsia="en-US"/>
              </w:rPr>
            </w:pPr>
            <w:r w:rsidRPr="00DF60DC">
              <w:rPr>
                <w:rFonts w:eastAsia="Calibri"/>
                <w:b/>
                <w:color w:val="1829A8"/>
                <w:spacing w:val="20"/>
                <w:sz w:val="24"/>
                <w:szCs w:val="24"/>
                <w:lang w:val="uk-UA" w:eastAsia="en-US"/>
              </w:rPr>
              <w:t>Комітет з питань правоохоронної діяльності</w:t>
            </w:r>
          </w:p>
          <w:p w:rsidR="00935341" w:rsidRPr="00DF60DC" w:rsidRDefault="00935341" w:rsidP="00935341">
            <w:pPr>
              <w:autoSpaceDE/>
              <w:autoSpaceDN/>
              <w:spacing w:before="160" w:after="60"/>
              <w:ind w:left="1590"/>
              <w:jc w:val="center"/>
              <w:rPr>
                <w:rFonts w:ascii="Calibri" w:eastAsia="Calibri" w:hAnsi="Calibri"/>
                <w:color w:val="002060"/>
                <w:lang w:val="uk-UA" w:eastAsia="en-US"/>
              </w:rPr>
            </w:pPr>
            <w:r w:rsidRPr="00DF60DC">
              <w:rPr>
                <w:rFonts w:eastAsia="Calibri"/>
                <w:color w:val="1829A8"/>
                <w:lang w:val="uk-UA" w:eastAsia="en-US"/>
              </w:rPr>
              <w:t xml:space="preserve">01008, м.Київ-8, вул. М. Грушевського, 5, </w:t>
            </w:r>
            <w:proofErr w:type="spellStart"/>
            <w:r w:rsidRPr="00DF60DC">
              <w:rPr>
                <w:rFonts w:eastAsia="Calibri"/>
                <w:color w:val="1829A8"/>
                <w:lang w:val="uk-UA" w:eastAsia="en-US"/>
              </w:rPr>
              <w:t>тел</w:t>
            </w:r>
            <w:proofErr w:type="spellEnd"/>
            <w:r w:rsidRPr="00DF60DC">
              <w:rPr>
                <w:rFonts w:eastAsia="Calibri"/>
                <w:color w:val="1829A8"/>
                <w:lang w:val="uk-UA" w:eastAsia="en-US"/>
              </w:rPr>
              <w:t>.: 255-35-06</w:t>
            </w:r>
          </w:p>
        </w:tc>
      </w:tr>
    </w:tbl>
    <w:p w:rsidR="00935341" w:rsidRPr="00DF60DC" w:rsidRDefault="00935341" w:rsidP="00935341">
      <w:pPr>
        <w:autoSpaceDE/>
        <w:autoSpaceDN/>
        <w:jc w:val="center"/>
        <w:rPr>
          <w:vanish/>
          <w:sz w:val="28"/>
          <w:szCs w:val="28"/>
          <w:lang w:val="uk-UA"/>
        </w:rPr>
      </w:pPr>
    </w:p>
    <w:tbl>
      <w:tblPr>
        <w:tblW w:w="11887" w:type="dxa"/>
        <w:tblInd w:w="-1680" w:type="dxa"/>
        <w:tblBorders>
          <w:top w:val="thinThickMediumGap" w:sz="12" w:space="0" w:color="0033CC"/>
        </w:tblBorders>
        <w:tblLook w:val="04A0" w:firstRow="1" w:lastRow="0" w:firstColumn="1" w:lastColumn="0" w:noHBand="0" w:noVBand="1"/>
      </w:tblPr>
      <w:tblGrid>
        <w:gridCol w:w="1680"/>
        <w:gridCol w:w="9923"/>
        <w:gridCol w:w="284"/>
      </w:tblGrid>
      <w:tr w:rsidR="00935341" w:rsidRPr="00DF60DC" w:rsidTr="00E60B78">
        <w:tc>
          <w:tcPr>
            <w:tcW w:w="1680" w:type="dxa"/>
            <w:tcBorders>
              <w:top w:val="nil"/>
            </w:tcBorders>
            <w:shd w:val="clear" w:color="auto" w:fill="auto"/>
          </w:tcPr>
          <w:p w:rsidR="00935341" w:rsidRPr="00DF60DC" w:rsidRDefault="00935341" w:rsidP="00935341">
            <w:pPr>
              <w:autoSpaceDE/>
              <w:autoSpaceDN/>
              <w:jc w:val="center"/>
              <w:rPr>
                <w:rFonts w:eastAsia="Calibri"/>
                <w:color w:val="002060"/>
                <w:lang w:val="uk-UA" w:eastAsia="en-US"/>
              </w:rPr>
            </w:pPr>
          </w:p>
        </w:tc>
        <w:tc>
          <w:tcPr>
            <w:tcW w:w="9923" w:type="dxa"/>
            <w:shd w:val="clear" w:color="auto" w:fill="auto"/>
          </w:tcPr>
          <w:p w:rsidR="00935341" w:rsidRPr="00DF60DC" w:rsidRDefault="00935341" w:rsidP="00935341">
            <w:pPr>
              <w:autoSpaceDE/>
              <w:autoSpaceDN/>
              <w:jc w:val="center"/>
              <w:rPr>
                <w:rFonts w:eastAsia="Calibri"/>
                <w:color w:val="002060"/>
                <w:lang w:val="uk-UA" w:eastAsia="en-US"/>
              </w:rPr>
            </w:pPr>
          </w:p>
        </w:tc>
        <w:tc>
          <w:tcPr>
            <w:tcW w:w="284" w:type="dxa"/>
            <w:tcBorders>
              <w:top w:val="nil"/>
            </w:tcBorders>
            <w:shd w:val="clear" w:color="auto" w:fill="auto"/>
          </w:tcPr>
          <w:p w:rsidR="00935341" w:rsidRPr="00DF60DC" w:rsidRDefault="00935341" w:rsidP="00935341">
            <w:pPr>
              <w:autoSpaceDE/>
              <w:autoSpaceDN/>
              <w:jc w:val="center"/>
              <w:rPr>
                <w:rFonts w:eastAsia="Calibri"/>
                <w:color w:val="002060"/>
                <w:lang w:val="uk-UA" w:eastAsia="en-US"/>
              </w:rPr>
            </w:pPr>
          </w:p>
        </w:tc>
      </w:tr>
    </w:tbl>
    <w:p w:rsidR="00935341" w:rsidRPr="00DF60DC" w:rsidRDefault="00935341" w:rsidP="00935341">
      <w:pPr>
        <w:autoSpaceDE/>
        <w:autoSpaceDN/>
        <w:rPr>
          <w:rFonts w:eastAsia="Calibri"/>
          <w:color w:val="002060"/>
          <w:sz w:val="2"/>
          <w:szCs w:val="2"/>
          <w:lang w:val="uk-UA" w:eastAsia="en-US"/>
        </w:rPr>
      </w:pPr>
    </w:p>
    <w:p w:rsidR="008B1497" w:rsidRPr="00DF60DC" w:rsidRDefault="008B1497" w:rsidP="00C04964">
      <w:pPr>
        <w:ind w:firstLine="851"/>
        <w:jc w:val="right"/>
        <w:rPr>
          <w:b/>
          <w:bCs/>
          <w:iCs/>
          <w:spacing w:val="-4"/>
          <w:sz w:val="28"/>
          <w:szCs w:val="28"/>
          <w:lang w:val="uk-UA"/>
        </w:rPr>
      </w:pPr>
      <w:r w:rsidRPr="00DF60DC">
        <w:rPr>
          <w:b/>
          <w:bCs/>
          <w:iCs/>
          <w:spacing w:val="-4"/>
          <w:sz w:val="28"/>
          <w:szCs w:val="28"/>
          <w:lang w:val="uk-UA"/>
        </w:rPr>
        <w:t>ВЕРХОВНА РАДА УКРАЇНИ</w:t>
      </w:r>
    </w:p>
    <w:p w:rsidR="008B1497" w:rsidRPr="00DF60DC" w:rsidRDefault="008B1497" w:rsidP="00C04964">
      <w:pPr>
        <w:ind w:firstLine="851"/>
        <w:jc w:val="both"/>
        <w:rPr>
          <w:i/>
          <w:iCs/>
          <w:spacing w:val="-4"/>
          <w:lang w:val="uk-UA"/>
        </w:rPr>
      </w:pPr>
    </w:p>
    <w:p w:rsidR="00327CDD" w:rsidRPr="00DF60DC" w:rsidRDefault="00327CDD" w:rsidP="00FC6010">
      <w:pPr>
        <w:ind w:firstLine="851"/>
        <w:jc w:val="both"/>
        <w:rPr>
          <w:spacing w:val="-4"/>
          <w:sz w:val="28"/>
          <w:szCs w:val="28"/>
          <w:lang w:val="uk-UA"/>
        </w:rPr>
      </w:pPr>
      <w:r w:rsidRPr="00DF60DC">
        <w:rPr>
          <w:spacing w:val="-4"/>
          <w:sz w:val="28"/>
          <w:szCs w:val="28"/>
          <w:lang w:val="uk-UA"/>
        </w:rPr>
        <w:t xml:space="preserve">Комітет з питань правоохоронної діяльності на виконання доручення Голови Верховної Ради України Д. Разумкова та відповідно до статті 16 Закону України «Про комітети Верховної Ради України» розглянув на своєму засіданні </w:t>
      </w:r>
      <w:r w:rsidR="002C5E62">
        <w:rPr>
          <w:spacing w:val="-4"/>
          <w:sz w:val="28"/>
          <w:szCs w:val="28"/>
          <w:lang w:val="uk-UA"/>
        </w:rPr>
        <w:t>16 червня</w:t>
      </w:r>
      <w:r w:rsidRPr="00DF60DC">
        <w:rPr>
          <w:spacing w:val="-4"/>
          <w:sz w:val="28"/>
          <w:szCs w:val="28"/>
          <w:lang w:val="uk-UA"/>
        </w:rPr>
        <w:t xml:space="preserve"> 2021 року </w:t>
      </w:r>
      <w:r w:rsidRPr="00B70EC8">
        <w:rPr>
          <w:spacing w:val="-4"/>
          <w:sz w:val="28"/>
          <w:szCs w:val="28"/>
          <w:lang w:val="uk-UA"/>
        </w:rPr>
        <w:t xml:space="preserve">(протокол № </w:t>
      </w:r>
      <w:r w:rsidR="00E7329B" w:rsidRPr="00E7329B">
        <w:rPr>
          <w:spacing w:val="-4"/>
          <w:sz w:val="28"/>
          <w:szCs w:val="28"/>
          <w:lang w:val="uk-UA"/>
        </w:rPr>
        <w:t>77</w:t>
      </w:r>
      <w:r w:rsidRPr="00B70EC8">
        <w:rPr>
          <w:spacing w:val="-4"/>
          <w:sz w:val="28"/>
          <w:szCs w:val="28"/>
          <w:lang w:val="uk-UA"/>
        </w:rPr>
        <w:t xml:space="preserve">) </w:t>
      </w:r>
      <w:r w:rsidR="002C5E62" w:rsidRPr="00B70EC8">
        <w:rPr>
          <w:spacing w:val="-4"/>
          <w:sz w:val="28"/>
          <w:szCs w:val="28"/>
          <w:lang w:val="uk-UA"/>
        </w:rPr>
        <w:t xml:space="preserve">проект </w:t>
      </w:r>
      <w:r w:rsidR="00B70EC8" w:rsidRPr="00B70EC8">
        <w:rPr>
          <w:spacing w:val="-4"/>
          <w:sz w:val="28"/>
          <w:szCs w:val="28"/>
          <w:lang w:val="uk-UA"/>
        </w:rPr>
        <w:t xml:space="preserve">Закону </w:t>
      </w:r>
      <w:r w:rsidR="00281E88">
        <w:rPr>
          <w:spacing w:val="-4"/>
          <w:sz w:val="28"/>
          <w:szCs w:val="28"/>
          <w:lang w:val="uk-UA"/>
        </w:rPr>
        <w:t>«</w:t>
      </w:r>
      <w:r w:rsidR="00281E88" w:rsidRPr="00B70EC8">
        <w:rPr>
          <w:spacing w:val="-4"/>
          <w:sz w:val="28"/>
          <w:szCs w:val="28"/>
          <w:lang w:val="uk-UA"/>
        </w:rPr>
        <w:t xml:space="preserve">Про </w:t>
      </w:r>
      <w:r w:rsidR="00B70EC8" w:rsidRPr="00B70EC8">
        <w:rPr>
          <w:spacing w:val="-4"/>
          <w:sz w:val="28"/>
          <w:szCs w:val="28"/>
          <w:lang w:val="uk-UA"/>
        </w:rPr>
        <w:t>внесення змін до Кодексу України про адміністративні правопорушення щодо вдосконалення</w:t>
      </w:r>
      <w:r w:rsidR="00281E88">
        <w:rPr>
          <w:spacing w:val="-4"/>
          <w:sz w:val="28"/>
          <w:szCs w:val="28"/>
          <w:lang w:val="uk-UA"/>
        </w:rPr>
        <w:t xml:space="preserve"> законодавства у сфері міграції» </w:t>
      </w:r>
      <w:r w:rsidR="00B70EC8" w:rsidRPr="00B70EC8">
        <w:rPr>
          <w:spacing w:val="-4"/>
          <w:sz w:val="28"/>
          <w:szCs w:val="28"/>
          <w:lang w:val="uk-UA"/>
        </w:rPr>
        <w:t>(реєстр. № 4411</w:t>
      </w:r>
      <w:r w:rsidRPr="00B70EC8">
        <w:rPr>
          <w:spacing w:val="-4"/>
          <w:sz w:val="28"/>
          <w:szCs w:val="28"/>
          <w:lang w:val="uk-UA"/>
        </w:rPr>
        <w:t>), поданий</w:t>
      </w:r>
      <w:r w:rsidRPr="00DF60DC">
        <w:rPr>
          <w:spacing w:val="-4"/>
          <w:sz w:val="28"/>
          <w:szCs w:val="28"/>
          <w:lang w:val="uk-UA"/>
        </w:rPr>
        <w:t xml:space="preserve"> Кабінетом Міністрів України. </w:t>
      </w:r>
    </w:p>
    <w:p w:rsidR="00DF60DC" w:rsidRPr="00DF60DC" w:rsidRDefault="00721EB9" w:rsidP="00FC6010">
      <w:pPr>
        <w:ind w:firstLine="851"/>
        <w:jc w:val="both"/>
        <w:rPr>
          <w:spacing w:val="-4"/>
          <w:sz w:val="28"/>
          <w:szCs w:val="28"/>
          <w:lang w:val="uk-UA"/>
        </w:rPr>
      </w:pPr>
      <w:r w:rsidRPr="00DF60DC">
        <w:rPr>
          <w:spacing w:val="-4"/>
          <w:sz w:val="28"/>
          <w:szCs w:val="28"/>
          <w:lang w:val="uk-UA"/>
        </w:rPr>
        <w:t>Про</w:t>
      </w:r>
      <w:r w:rsidR="00DF60DC">
        <w:rPr>
          <w:spacing w:val="-4"/>
          <w:sz w:val="28"/>
          <w:szCs w:val="28"/>
          <w:lang w:val="uk-UA"/>
        </w:rPr>
        <w:t>е</w:t>
      </w:r>
      <w:r w:rsidRPr="00DF60DC">
        <w:rPr>
          <w:spacing w:val="-4"/>
          <w:sz w:val="28"/>
          <w:szCs w:val="28"/>
          <w:lang w:val="uk-UA"/>
        </w:rPr>
        <w:t>кт Закону розроблено Державною міграційною службою України відповідно до абзацу «б)» підпункту «1)» пункту 3 рішення Ради національної безпеки і оборони України  «Про невідкладні заходи з нейтралізації загроз національній безпеці у сфері міграційної політики», затвердженого Указом Президента України від 17 березня 2018 року № 72, яким, зокрема, визначено Кабінету Міністрів України в місячний строк забезпечити розроблення та внесення на розгляд Верховної Ради України проекту Закону України про внесення змін до Кодексу України про адміністративні правопорушення щодо посилення відповідальності за порушення порядку працевлаштування, прийняття на навчання, надання житла, реєстрації іноземців та осіб без громадянства та оформлення для них документів, сприяння в наданні інших послуг, а також за порушення іноземцями та особами без громадянства правил перебування в Україні.</w:t>
      </w:r>
    </w:p>
    <w:p w:rsidR="00DF60DC" w:rsidRDefault="001E2CC6" w:rsidP="00FC6010">
      <w:pPr>
        <w:ind w:firstLine="851"/>
        <w:jc w:val="both"/>
        <w:rPr>
          <w:spacing w:val="-4"/>
          <w:sz w:val="28"/>
          <w:szCs w:val="28"/>
          <w:lang w:val="uk-UA"/>
        </w:rPr>
      </w:pPr>
      <w:r w:rsidRPr="00DF60DC">
        <w:rPr>
          <w:spacing w:val="-4"/>
          <w:sz w:val="28"/>
          <w:szCs w:val="28"/>
          <w:lang w:val="uk-UA"/>
        </w:rPr>
        <w:t xml:space="preserve">Законопроект передбачає </w:t>
      </w:r>
      <w:r w:rsidR="00DF60DC">
        <w:rPr>
          <w:spacing w:val="-4"/>
          <w:sz w:val="28"/>
          <w:szCs w:val="28"/>
          <w:lang w:val="uk-UA"/>
        </w:rPr>
        <w:t xml:space="preserve">доповнення </w:t>
      </w:r>
      <w:r w:rsidR="00E7329B" w:rsidRPr="00E7329B">
        <w:rPr>
          <w:spacing w:val="-4"/>
          <w:sz w:val="28"/>
          <w:szCs w:val="28"/>
          <w:lang w:val="uk-UA"/>
        </w:rPr>
        <w:t xml:space="preserve">Кодексу України про адміністративні правопорушення (далі - КУпАП) </w:t>
      </w:r>
      <w:r w:rsidR="00DF60DC" w:rsidRPr="00DF60DC">
        <w:rPr>
          <w:spacing w:val="-4"/>
          <w:sz w:val="28"/>
          <w:szCs w:val="28"/>
          <w:lang w:val="uk-UA"/>
        </w:rPr>
        <w:t xml:space="preserve"> новою статтею 185</w:t>
      </w:r>
      <w:r w:rsidR="00DF60DC">
        <w:rPr>
          <w:spacing w:val="-4"/>
          <w:sz w:val="28"/>
          <w:szCs w:val="28"/>
          <w:lang w:val="uk-UA"/>
        </w:rPr>
        <w:t>-</w:t>
      </w:r>
      <w:r w:rsidR="00DF60DC" w:rsidRPr="00DF60DC">
        <w:rPr>
          <w:spacing w:val="-4"/>
          <w:sz w:val="28"/>
          <w:szCs w:val="28"/>
          <w:lang w:val="uk-UA"/>
        </w:rPr>
        <w:t xml:space="preserve">14, яка передбачатиме встановлення адміністративної відповідальності за вчинення злісної непокори законному розпорядженню чи </w:t>
      </w:r>
      <w:proofErr w:type="spellStart"/>
      <w:r w:rsidR="00DF60DC" w:rsidRPr="00DF60DC">
        <w:rPr>
          <w:spacing w:val="-4"/>
          <w:sz w:val="28"/>
          <w:szCs w:val="28"/>
          <w:lang w:val="uk-UA"/>
        </w:rPr>
        <w:t>вимозі</w:t>
      </w:r>
      <w:proofErr w:type="spellEnd"/>
      <w:r w:rsidR="00DF60DC" w:rsidRPr="00DF60DC">
        <w:rPr>
          <w:spacing w:val="-4"/>
          <w:sz w:val="28"/>
          <w:szCs w:val="28"/>
          <w:lang w:val="uk-UA"/>
        </w:rPr>
        <w:t xml:space="preserve"> працівника ДМС під час виконання ним службових обов'язків, пов’язаних із запобіганням та протидією нелегальній (незаконній) міграції, іншим поруше</w:t>
      </w:r>
      <w:r w:rsidR="00DF60DC">
        <w:rPr>
          <w:spacing w:val="-4"/>
          <w:sz w:val="28"/>
          <w:szCs w:val="28"/>
          <w:lang w:val="uk-UA"/>
        </w:rPr>
        <w:t>нням міграційного законодавства; удосконалення</w:t>
      </w:r>
      <w:r w:rsidR="00DF60DC" w:rsidRPr="00DF60DC">
        <w:rPr>
          <w:spacing w:val="-4"/>
          <w:sz w:val="28"/>
          <w:szCs w:val="28"/>
          <w:lang w:val="uk-UA"/>
        </w:rPr>
        <w:t xml:space="preserve"> диспозиції статей 203-206 КУпАП, якими встановлена адміністративна відповідальність іноземних громадян та українських громадян - фізичних і посадових осіб за порушення законодавства про правовий статус іноземців та осіб без громадянства та посилити штрафні санкції за ряд порушень міграційного законодавства;</w:t>
      </w:r>
      <w:r w:rsidR="00DF60DC">
        <w:rPr>
          <w:spacing w:val="-4"/>
          <w:sz w:val="28"/>
          <w:szCs w:val="28"/>
          <w:lang w:val="uk-UA"/>
        </w:rPr>
        <w:t xml:space="preserve"> внесення  змін</w:t>
      </w:r>
      <w:r w:rsidR="00DF60DC" w:rsidRPr="00DF60DC">
        <w:rPr>
          <w:spacing w:val="-4"/>
          <w:sz w:val="28"/>
          <w:szCs w:val="28"/>
          <w:lang w:val="uk-UA"/>
        </w:rPr>
        <w:t xml:space="preserve"> до статей 221, 255 КУпАП з метою врегулювання  питання притягнення до адміністративної відповідальності осіб, які, перетинаючи державний кордон, демонструють георгіївські (гвардійські </w:t>
      </w:r>
      <w:r w:rsidR="00DF60DC">
        <w:rPr>
          <w:spacing w:val="-4"/>
          <w:sz w:val="28"/>
          <w:szCs w:val="28"/>
          <w:lang w:val="uk-UA"/>
        </w:rPr>
        <w:t>стрічки), що заборонено законом.</w:t>
      </w:r>
    </w:p>
    <w:p w:rsidR="00D47BA4" w:rsidRPr="00DF60DC" w:rsidRDefault="00990CA0" w:rsidP="00FC6010">
      <w:pPr>
        <w:ind w:firstLine="851"/>
        <w:jc w:val="both"/>
        <w:rPr>
          <w:spacing w:val="-4"/>
          <w:sz w:val="28"/>
          <w:szCs w:val="28"/>
          <w:lang w:val="uk-UA"/>
        </w:rPr>
      </w:pPr>
      <w:r w:rsidRPr="00DF60DC">
        <w:rPr>
          <w:spacing w:val="-4"/>
          <w:sz w:val="28"/>
          <w:szCs w:val="28"/>
          <w:lang w:val="uk-UA"/>
        </w:rPr>
        <w:lastRenderedPageBreak/>
        <w:t xml:space="preserve">Під час обговорення члени Комітету звернули увагу на необхідність прийняття </w:t>
      </w:r>
      <w:r w:rsidR="0061722F" w:rsidRPr="00DF60DC">
        <w:rPr>
          <w:spacing w:val="-4"/>
          <w:sz w:val="28"/>
          <w:szCs w:val="28"/>
          <w:lang w:val="uk-UA"/>
        </w:rPr>
        <w:t>законопроекту</w:t>
      </w:r>
      <w:r w:rsidRPr="00DF60DC">
        <w:rPr>
          <w:spacing w:val="-4"/>
          <w:sz w:val="28"/>
          <w:szCs w:val="28"/>
          <w:lang w:val="uk-UA"/>
        </w:rPr>
        <w:t xml:space="preserve">, оскільки </w:t>
      </w:r>
      <w:r w:rsidR="00DF60DC" w:rsidRPr="00DF60DC">
        <w:rPr>
          <w:spacing w:val="-4"/>
          <w:sz w:val="28"/>
          <w:szCs w:val="28"/>
          <w:lang w:val="uk-UA"/>
        </w:rPr>
        <w:t>ситуація в міграційній сфері потребує невідкладного вдосконалення правових засад боротьби з нелегальною міграцією, поліпшення управління міграційними процесами, посилення юридичної відповідальності за правопорушення в цій сфері як іноземців, так і громадян України.</w:t>
      </w:r>
    </w:p>
    <w:p w:rsidR="00B70EC8" w:rsidRDefault="00B70EC8" w:rsidP="00FC6010">
      <w:pPr>
        <w:ind w:firstLine="851"/>
        <w:jc w:val="both"/>
        <w:rPr>
          <w:spacing w:val="-4"/>
          <w:sz w:val="28"/>
          <w:szCs w:val="28"/>
          <w:lang w:val="uk-UA"/>
        </w:rPr>
      </w:pPr>
      <w:r w:rsidRPr="00B70EC8">
        <w:rPr>
          <w:spacing w:val="-4"/>
          <w:sz w:val="28"/>
          <w:szCs w:val="28"/>
          <w:lang w:val="uk-UA"/>
        </w:rPr>
        <w:t xml:space="preserve">Зокрема, диспозиції статей 203-206 </w:t>
      </w:r>
      <w:r w:rsidR="00E7329B">
        <w:rPr>
          <w:spacing w:val="-4"/>
          <w:sz w:val="28"/>
          <w:szCs w:val="28"/>
          <w:lang w:val="uk-UA"/>
        </w:rPr>
        <w:t>КУпАП</w:t>
      </w:r>
      <w:r w:rsidRPr="00B70EC8">
        <w:rPr>
          <w:spacing w:val="-4"/>
          <w:sz w:val="28"/>
          <w:szCs w:val="28"/>
          <w:lang w:val="uk-UA"/>
        </w:rPr>
        <w:t xml:space="preserve"> містять застарілі положення та посилання на норми, що втратили чинність. </w:t>
      </w:r>
      <w:r w:rsidR="005A08D2">
        <w:rPr>
          <w:spacing w:val="-4"/>
          <w:sz w:val="28"/>
          <w:szCs w:val="28"/>
          <w:lang w:val="uk-UA"/>
        </w:rPr>
        <w:t xml:space="preserve"> </w:t>
      </w:r>
      <w:r w:rsidRPr="00B70EC8">
        <w:rPr>
          <w:spacing w:val="-4"/>
          <w:sz w:val="28"/>
          <w:szCs w:val="28"/>
          <w:lang w:val="uk-UA"/>
        </w:rPr>
        <w:t>З огляду на те, що адміністративні правопорушення, передбачені статтями 203 - 206 КУпАП, є порушеннями у сфері протидії нелегальній міграції – глобальної проблеми сьогодення, відповідальність за їх вчинення має бути більш суворою, а санкції - високими.</w:t>
      </w:r>
    </w:p>
    <w:p w:rsidR="005A08D2" w:rsidRPr="00B70EC8" w:rsidRDefault="005A08D2" w:rsidP="00FC6010">
      <w:pPr>
        <w:ind w:firstLine="851"/>
        <w:jc w:val="both"/>
        <w:rPr>
          <w:spacing w:val="-4"/>
          <w:sz w:val="28"/>
          <w:szCs w:val="28"/>
          <w:lang w:val="uk-UA"/>
        </w:rPr>
      </w:pPr>
      <w:r>
        <w:rPr>
          <w:spacing w:val="-4"/>
          <w:sz w:val="28"/>
          <w:szCs w:val="28"/>
          <w:lang w:val="uk-UA"/>
        </w:rPr>
        <w:t>Крім того, прое</w:t>
      </w:r>
      <w:r w:rsidRPr="00B70EC8">
        <w:rPr>
          <w:spacing w:val="-4"/>
          <w:sz w:val="28"/>
          <w:szCs w:val="28"/>
          <w:lang w:val="uk-UA"/>
        </w:rPr>
        <w:t xml:space="preserve">ктом Закону пропонується встановити адміністративну відповідальність за вчинення злісної непокори законному розпорядженню чи </w:t>
      </w:r>
      <w:proofErr w:type="spellStart"/>
      <w:r w:rsidRPr="00B70EC8">
        <w:rPr>
          <w:spacing w:val="-4"/>
          <w:sz w:val="28"/>
          <w:szCs w:val="28"/>
          <w:lang w:val="uk-UA"/>
        </w:rPr>
        <w:t>вимозі</w:t>
      </w:r>
      <w:proofErr w:type="spellEnd"/>
      <w:r w:rsidRPr="00B70EC8">
        <w:rPr>
          <w:spacing w:val="-4"/>
          <w:sz w:val="28"/>
          <w:szCs w:val="28"/>
          <w:lang w:val="uk-UA"/>
        </w:rPr>
        <w:t xml:space="preserve"> працівника ДМС при виконанні службових обов'язків, пов’язаних із запобіганням та протидією нелегальній (незаконній) міграції, що на сьогодн</w:t>
      </w:r>
      <w:r>
        <w:rPr>
          <w:spacing w:val="-4"/>
          <w:sz w:val="28"/>
          <w:szCs w:val="28"/>
          <w:lang w:val="uk-UA"/>
        </w:rPr>
        <w:t xml:space="preserve">і законодавством не передбачено та потребує врегулювання. </w:t>
      </w:r>
    </w:p>
    <w:p w:rsidR="005A08D2" w:rsidRPr="005F66CA" w:rsidRDefault="00B70EC8" w:rsidP="00FC6010">
      <w:pPr>
        <w:ind w:firstLine="851"/>
        <w:jc w:val="both"/>
        <w:rPr>
          <w:lang w:val="uk-UA"/>
        </w:rPr>
      </w:pPr>
      <w:r>
        <w:rPr>
          <w:spacing w:val="-4"/>
          <w:sz w:val="28"/>
          <w:szCs w:val="28"/>
          <w:lang w:val="uk-UA"/>
        </w:rPr>
        <w:t>При цьому</w:t>
      </w:r>
      <w:r w:rsidRPr="00B70EC8">
        <w:rPr>
          <w:spacing w:val="-4"/>
          <w:sz w:val="28"/>
          <w:szCs w:val="28"/>
          <w:lang w:val="uk-UA"/>
        </w:rPr>
        <w:t xml:space="preserve">, </w:t>
      </w:r>
      <w:r w:rsidR="005A08D2" w:rsidRPr="005A08D2">
        <w:rPr>
          <w:spacing w:val="-4"/>
          <w:sz w:val="28"/>
          <w:szCs w:val="28"/>
          <w:lang w:val="uk-UA"/>
        </w:rPr>
        <w:t>під час обговорення були висловлені зауваження та окреслені напрямки доопрацювання законопроекту</w:t>
      </w:r>
      <w:r w:rsidR="005A08D2">
        <w:rPr>
          <w:spacing w:val="-4"/>
          <w:sz w:val="28"/>
          <w:szCs w:val="28"/>
          <w:lang w:val="uk-UA"/>
        </w:rPr>
        <w:t>. Зокрема, вбачається доцільним доопрацювати</w:t>
      </w:r>
      <w:r>
        <w:rPr>
          <w:spacing w:val="-4"/>
          <w:sz w:val="28"/>
          <w:szCs w:val="28"/>
          <w:lang w:val="uk-UA"/>
        </w:rPr>
        <w:t xml:space="preserve"> </w:t>
      </w:r>
      <w:r w:rsidR="005A08D2">
        <w:rPr>
          <w:spacing w:val="-4"/>
          <w:sz w:val="28"/>
          <w:szCs w:val="28"/>
          <w:lang w:val="uk-UA"/>
        </w:rPr>
        <w:t xml:space="preserve">до другого читання </w:t>
      </w:r>
      <w:r w:rsidRPr="00B70EC8">
        <w:rPr>
          <w:spacing w:val="-4"/>
          <w:sz w:val="28"/>
          <w:szCs w:val="28"/>
          <w:lang w:val="uk-UA"/>
        </w:rPr>
        <w:t>положення ч. 1  ст. 203 КУпАП, в якій йдеться про відповідальність за працевлаштування без відповідного дозволу на це</w:t>
      </w:r>
      <w:r w:rsidR="005A08D2">
        <w:rPr>
          <w:spacing w:val="-4"/>
          <w:sz w:val="28"/>
          <w:szCs w:val="28"/>
          <w:lang w:val="uk-UA"/>
        </w:rPr>
        <w:t>,</w:t>
      </w:r>
      <w:r w:rsidR="00277A5E">
        <w:rPr>
          <w:spacing w:val="-4"/>
          <w:sz w:val="28"/>
          <w:szCs w:val="28"/>
          <w:lang w:val="uk-UA"/>
        </w:rPr>
        <w:t xml:space="preserve"> </w:t>
      </w:r>
      <w:r w:rsidR="005A08D2">
        <w:rPr>
          <w:spacing w:val="-4"/>
          <w:sz w:val="28"/>
          <w:szCs w:val="28"/>
          <w:lang w:val="uk-UA"/>
        </w:rPr>
        <w:t>т</w:t>
      </w:r>
      <w:r w:rsidR="00277A5E">
        <w:rPr>
          <w:spacing w:val="-4"/>
          <w:sz w:val="28"/>
          <w:szCs w:val="28"/>
          <w:lang w:val="uk-UA"/>
        </w:rPr>
        <w:t xml:space="preserve">ак як чинна редакція </w:t>
      </w:r>
      <w:r w:rsidRPr="00B70EC8">
        <w:rPr>
          <w:spacing w:val="-4"/>
          <w:sz w:val="28"/>
          <w:szCs w:val="28"/>
          <w:lang w:val="uk-UA"/>
        </w:rPr>
        <w:t>більш точно відповідає приписам регулятивного законодавства у сфері працевлаштування іноземців та осіб без громадянства, а тому не потребує змін.</w:t>
      </w:r>
      <w:r w:rsidR="00277A5E">
        <w:rPr>
          <w:spacing w:val="-4"/>
          <w:sz w:val="28"/>
          <w:szCs w:val="28"/>
          <w:lang w:val="uk-UA"/>
        </w:rPr>
        <w:t xml:space="preserve"> Також вбачається зайвим включення</w:t>
      </w:r>
      <w:r w:rsidR="00277A5E" w:rsidRPr="00277A5E">
        <w:t xml:space="preserve"> </w:t>
      </w:r>
      <w:r w:rsidR="00277A5E" w:rsidRPr="00277A5E">
        <w:rPr>
          <w:spacing w:val="-4"/>
          <w:sz w:val="28"/>
          <w:szCs w:val="28"/>
          <w:lang w:val="uk-UA"/>
        </w:rPr>
        <w:t>переліку документів, що дають</w:t>
      </w:r>
      <w:r w:rsidR="005A08D2">
        <w:rPr>
          <w:spacing w:val="-4"/>
          <w:sz w:val="28"/>
          <w:szCs w:val="28"/>
          <w:lang w:val="uk-UA"/>
        </w:rPr>
        <w:t xml:space="preserve"> право на проживання в Україні.</w:t>
      </w:r>
      <w:r w:rsidR="005F66CA">
        <w:rPr>
          <w:lang w:val="uk-UA"/>
        </w:rPr>
        <w:t xml:space="preserve"> </w:t>
      </w:r>
      <w:r w:rsidR="005F66CA">
        <w:rPr>
          <w:sz w:val="28"/>
          <w:szCs w:val="28"/>
          <w:lang w:val="uk-UA"/>
        </w:rPr>
        <w:t xml:space="preserve">Також, члени Комітету зауважили, що потребує доопрацювання </w:t>
      </w:r>
      <w:r w:rsidR="005F66CA" w:rsidRPr="005F66CA">
        <w:rPr>
          <w:spacing w:val="-4"/>
          <w:sz w:val="28"/>
          <w:szCs w:val="28"/>
          <w:lang w:val="uk-UA"/>
        </w:rPr>
        <w:t>порядок набрання чинності Законом, проект якого розглядається, – «з дня, наступного за днем його опублікування» (п. 1 розділу IІ «Прикінцеві положення» проекту)</w:t>
      </w:r>
      <w:r w:rsidR="005F66CA">
        <w:rPr>
          <w:spacing w:val="-4"/>
          <w:sz w:val="28"/>
          <w:szCs w:val="28"/>
          <w:lang w:val="uk-UA"/>
        </w:rPr>
        <w:t>,</w:t>
      </w:r>
      <w:r w:rsidR="005F66CA" w:rsidRPr="005F66CA">
        <w:rPr>
          <w:lang w:val="uk-UA"/>
        </w:rPr>
        <w:t xml:space="preserve"> </w:t>
      </w:r>
      <w:r w:rsidR="005F66CA" w:rsidRPr="005F66CA">
        <w:rPr>
          <w:spacing w:val="-4"/>
          <w:sz w:val="28"/>
          <w:szCs w:val="28"/>
          <w:lang w:val="uk-UA"/>
        </w:rPr>
        <w:t>адже реалізація положень проекту потребує комплексного оновлення підзаконної нормативно-правової бази, на яке Кабінету Міністрів України дається шість місяців (п. 2 розділу IІ проекту), та здійснення низки практичних заходів</w:t>
      </w:r>
      <w:r w:rsidR="005F66CA">
        <w:rPr>
          <w:spacing w:val="-4"/>
          <w:sz w:val="28"/>
          <w:szCs w:val="28"/>
          <w:lang w:val="uk-UA"/>
        </w:rPr>
        <w:t xml:space="preserve">. </w:t>
      </w:r>
    </w:p>
    <w:p w:rsidR="00D6732E" w:rsidRDefault="005A08D2" w:rsidP="00FC6010">
      <w:pPr>
        <w:ind w:firstLine="851"/>
        <w:jc w:val="both"/>
        <w:rPr>
          <w:spacing w:val="-4"/>
          <w:sz w:val="28"/>
          <w:szCs w:val="28"/>
          <w:lang w:val="uk-UA"/>
        </w:rPr>
      </w:pPr>
      <w:r w:rsidRPr="005A08D2">
        <w:rPr>
          <w:spacing w:val="-4"/>
          <w:sz w:val="28"/>
          <w:szCs w:val="28"/>
          <w:lang w:val="uk-UA"/>
        </w:rPr>
        <w:t xml:space="preserve">Комітетом, беручи до уваги те, що положення законопроекту </w:t>
      </w:r>
      <w:r w:rsidR="00D6732E" w:rsidRPr="00D6732E">
        <w:rPr>
          <w:spacing w:val="-4"/>
          <w:sz w:val="28"/>
          <w:szCs w:val="28"/>
          <w:lang w:val="uk-UA"/>
        </w:rPr>
        <w:t>спрямовані</w:t>
      </w:r>
      <w:r w:rsidR="00D6732E">
        <w:rPr>
          <w:spacing w:val="-4"/>
          <w:sz w:val="28"/>
          <w:szCs w:val="28"/>
          <w:lang w:val="uk-UA"/>
        </w:rPr>
        <w:t xml:space="preserve"> на </w:t>
      </w:r>
      <w:r w:rsidR="00D6732E" w:rsidRPr="00B70EC8">
        <w:rPr>
          <w:spacing w:val="-4"/>
          <w:sz w:val="28"/>
          <w:szCs w:val="28"/>
          <w:lang w:val="uk-UA"/>
        </w:rPr>
        <w:t>вдосконалення законодавства у сфері міграції</w:t>
      </w:r>
      <w:r w:rsidR="00D6732E">
        <w:rPr>
          <w:spacing w:val="-4"/>
          <w:sz w:val="28"/>
          <w:szCs w:val="28"/>
          <w:lang w:val="uk-UA"/>
        </w:rPr>
        <w:t xml:space="preserve">, а також сприяння </w:t>
      </w:r>
      <w:r w:rsidR="00D6732E" w:rsidRPr="00D6732E">
        <w:rPr>
          <w:spacing w:val="-4"/>
          <w:sz w:val="28"/>
          <w:szCs w:val="28"/>
          <w:lang w:val="uk-UA"/>
        </w:rPr>
        <w:t>реалізації довгострокового пріоритету «Права людини та доступ до правосуддя» (пункт 19.1)  Програми діяльності Кабінету Міністрів України, затвердженої постановою Кабінету Міністрів України</w:t>
      </w:r>
      <w:r w:rsidR="00D6732E">
        <w:rPr>
          <w:spacing w:val="-4"/>
          <w:sz w:val="28"/>
          <w:szCs w:val="28"/>
          <w:lang w:val="uk-UA"/>
        </w:rPr>
        <w:t xml:space="preserve"> від 12 червня 2020 року № 471, </w:t>
      </w:r>
      <w:r w:rsidR="00D6732E" w:rsidRPr="00D6732E">
        <w:rPr>
          <w:spacing w:val="-4"/>
          <w:sz w:val="28"/>
          <w:szCs w:val="28"/>
          <w:lang w:val="uk-UA"/>
        </w:rPr>
        <w:t>повністю підтримується мета п</w:t>
      </w:r>
      <w:r w:rsidR="00D6732E">
        <w:rPr>
          <w:spacing w:val="-4"/>
          <w:sz w:val="28"/>
          <w:szCs w:val="28"/>
          <w:lang w:val="uk-UA"/>
        </w:rPr>
        <w:t>роекту та спосіб її реалізації.</w:t>
      </w:r>
    </w:p>
    <w:p w:rsidR="00B70EC8" w:rsidRDefault="00D6732E" w:rsidP="00FC6010">
      <w:pPr>
        <w:ind w:firstLine="851"/>
        <w:jc w:val="both"/>
        <w:rPr>
          <w:spacing w:val="-4"/>
          <w:sz w:val="28"/>
          <w:szCs w:val="28"/>
          <w:lang w:val="uk-UA"/>
        </w:rPr>
      </w:pPr>
      <w:r w:rsidRPr="00D6732E">
        <w:rPr>
          <w:spacing w:val="-4"/>
          <w:sz w:val="28"/>
          <w:szCs w:val="28"/>
          <w:lang w:val="uk-UA"/>
        </w:rPr>
        <w:t xml:space="preserve">Загалом, законопроект отримав схвальні висновки та підтримку </w:t>
      </w:r>
      <w:r w:rsidR="00956BC6">
        <w:rPr>
          <w:spacing w:val="-4"/>
          <w:sz w:val="28"/>
          <w:szCs w:val="28"/>
          <w:lang w:val="uk-UA"/>
        </w:rPr>
        <w:t xml:space="preserve">Ради </w:t>
      </w:r>
      <w:r w:rsidR="00956BC6" w:rsidRPr="00956BC6">
        <w:rPr>
          <w:spacing w:val="-4"/>
          <w:sz w:val="28"/>
          <w:szCs w:val="28"/>
          <w:lang w:val="uk-UA"/>
        </w:rPr>
        <w:t>національної безпеки і оборони України</w:t>
      </w:r>
      <w:r w:rsidR="00956BC6">
        <w:rPr>
          <w:spacing w:val="-4"/>
          <w:sz w:val="28"/>
          <w:szCs w:val="28"/>
          <w:lang w:val="uk-UA"/>
        </w:rPr>
        <w:t>, Міністерства</w:t>
      </w:r>
      <w:r w:rsidR="00956BC6" w:rsidRPr="00956BC6">
        <w:rPr>
          <w:spacing w:val="-4"/>
          <w:sz w:val="28"/>
          <w:szCs w:val="28"/>
          <w:lang w:val="uk-UA"/>
        </w:rPr>
        <w:t xml:space="preserve"> оборони України</w:t>
      </w:r>
      <w:r w:rsidR="00956BC6">
        <w:rPr>
          <w:spacing w:val="-4"/>
          <w:sz w:val="28"/>
          <w:szCs w:val="28"/>
          <w:lang w:val="uk-UA"/>
        </w:rPr>
        <w:t>, Державної прикордонної</w:t>
      </w:r>
      <w:r w:rsidR="00956BC6" w:rsidRPr="00956BC6">
        <w:rPr>
          <w:spacing w:val="-4"/>
          <w:sz w:val="28"/>
          <w:szCs w:val="28"/>
          <w:lang w:val="uk-UA"/>
        </w:rPr>
        <w:t xml:space="preserve"> служб</w:t>
      </w:r>
      <w:r w:rsidR="00956BC6">
        <w:rPr>
          <w:spacing w:val="-4"/>
          <w:sz w:val="28"/>
          <w:szCs w:val="28"/>
          <w:lang w:val="uk-UA"/>
        </w:rPr>
        <w:t>и</w:t>
      </w:r>
      <w:r w:rsidR="00956BC6" w:rsidRPr="00956BC6">
        <w:rPr>
          <w:spacing w:val="-4"/>
          <w:sz w:val="28"/>
          <w:szCs w:val="28"/>
          <w:lang w:val="uk-UA"/>
        </w:rPr>
        <w:t xml:space="preserve"> України</w:t>
      </w:r>
      <w:r w:rsidR="00956BC6">
        <w:rPr>
          <w:spacing w:val="-4"/>
          <w:sz w:val="28"/>
          <w:szCs w:val="28"/>
          <w:lang w:val="uk-UA"/>
        </w:rPr>
        <w:t>, Державної міграційної служби</w:t>
      </w:r>
      <w:r w:rsidR="00956BC6" w:rsidRPr="00956BC6">
        <w:rPr>
          <w:spacing w:val="-4"/>
          <w:sz w:val="28"/>
          <w:szCs w:val="28"/>
          <w:lang w:val="uk-UA"/>
        </w:rPr>
        <w:t xml:space="preserve"> України</w:t>
      </w:r>
      <w:r w:rsidR="00956BC6">
        <w:rPr>
          <w:spacing w:val="-4"/>
          <w:sz w:val="28"/>
          <w:szCs w:val="28"/>
          <w:lang w:val="uk-UA"/>
        </w:rPr>
        <w:t xml:space="preserve">, </w:t>
      </w:r>
      <w:r w:rsidR="00956BC6" w:rsidRPr="00956BC6">
        <w:rPr>
          <w:spacing w:val="-4"/>
          <w:sz w:val="28"/>
          <w:szCs w:val="28"/>
          <w:lang w:val="uk-UA"/>
        </w:rPr>
        <w:t>Національн</w:t>
      </w:r>
      <w:r w:rsidR="00956BC6">
        <w:rPr>
          <w:spacing w:val="-4"/>
          <w:sz w:val="28"/>
          <w:szCs w:val="28"/>
          <w:lang w:val="uk-UA"/>
        </w:rPr>
        <w:t>ої</w:t>
      </w:r>
      <w:r w:rsidR="00956BC6" w:rsidRPr="00956BC6">
        <w:rPr>
          <w:spacing w:val="-4"/>
          <w:sz w:val="28"/>
          <w:szCs w:val="28"/>
          <w:lang w:val="uk-UA"/>
        </w:rPr>
        <w:t xml:space="preserve"> академі</w:t>
      </w:r>
      <w:r w:rsidR="00956BC6">
        <w:rPr>
          <w:spacing w:val="-4"/>
          <w:sz w:val="28"/>
          <w:szCs w:val="28"/>
          <w:lang w:val="uk-UA"/>
        </w:rPr>
        <w:t>ї</w:t>
      </w:r>
      <w:r w:rsidR="00956BC6" w:rsidRPr="00956BC6">
        <w:rPr>
          <w:spacing w:val="-4"/>
          <w:sz w:val="28"/>
          <w:szCs w:val="28"/>
          <w:lang w:val="uk-UA"/>
        </w:rPr>
        <w:t xml:space="preserve"> Державної прикордонної служби імені Б. Хмельницького</w:t>
      </w:r>
      <w:r w:rsidR="002C5E62">
        <w:rPr>
          <w:spacing w:val="-4"/>
          <w:sz w:val="28"/>
          <w:szCs w:val="28"/>
          <w:lang w:val="uk-UA"/>
        </w:rPr>
        <w:t xml:space="preserve"> та</w:t>
      </w:r>
      <w:r w:rsidR="00956BC6">
        <w:rPr>
          <w:spacing w:val="-4"/>
          <w:sz w:val="28"/>
          <w:szCs w:val="28"/>
          <w:lang w:val="uk-UA"/>
        </w:rPr>
        <w:t xml:space="preserve"> Національної академії</w:t>
      </w:r>
      <w:r w:rsidR="00956BC6" w:rsidRPr="00956BC6">
        <w:rPr>
          <w:spacing w:val="-4"/>
          <w:sz w:val="28"/>
          <w:szCs w:val="28"/>
          <w:lang w:val="uk-UA"/>
        </w:rPr>
        <w:t xml:space="preserve"> внутрішніх справ України</w:t>
      </w:r>
      <w:r w:rsidR="00956BC6">
        <w:rPr>
          <w:spacing w:val="-4"/>
          <w:sz w:val="28"/>
          <w:szCs w:val="28"/>
          <w:lang w:val="uk-UA"/>
        </w:rPr>
        <w:t>.</w:t>
      </w:r>
    </w:p>
    <w:p w:rsidR="005A08D2" w:rsidRDefault="005A08D2" w:rsidP="00FC6010">
      <w:pPr>
        <w:ind w:firstLine="851"/>
        <w:jc w:val="both"/>
        <w:rPr>
          <w:sz w:val="28"/>
          <w:szCs w:val="28"/>
          <w:lang w:val="uk-UA" w:eastAsia="zh-CN"/>
        </w:rPr>
      </w:pPr>
      <w:r w:rsidRPr="00DF60DC">
        <w:rPr>
          <w:spacing w:val="-4"/>
          <w:sz w:val="28"/>
          <w:szCs w:val="28"/>
          <w:lang w:val="uk-UA"/>
        </w:rPr>
        <w:t xml:space="preserve">Головне науково-експертне управління Апарату Верховної Ради України </w:t>
      </w:r>
      <w:r w:rsidRPr="00DF60DC">
        <w:rPr>
          <w:sz w:val="28"/>
          <w:szCs w:val="28"/>
          <w:lang w:val="uk-UA" w:eastAsia="zh-CN"/>
        </w:rPr>
        <w:t>висловило зауваження та пропозиції.</w:t>
      </w:r>
    </w:p>
    <w:p w:rsidR="00956BC6" w:rsidRPr="00956BC6" w:rsidRDefault="00956BC6" w:rsidP="00FC6010">
      <w:pPr>
        <w:ind w:firstLine="851"/>
        <w:jc w:val="both"/>
        <w:rPr>
          <w:sz w:val="28"/>
          <w:szCs w:val="28"/>
          <w:lang w:val="uk-UA"/>
        </w:rPr>
      </w:pPr>
      <w:r w:rsidRPr="00956BC6">
        <w:rPr>
          <w:sz w:val="28"/>
          <w:szCs w:val="28"/>
          <w:lang w:val="uk-UA"/>
        </w:rPr>
        <w:t>Враховуючи вищезазначене та результати обговорення законопроекту,</w:t>
      </w:r>
      <w:r w:rsidR="005F66CA">
        <w:rPr>
          <w:sz w:val="28"/>
          <w:szCs w:val="28"/>
          <w:lang w:val="uk-UA"/>
        </w:rPr>
        <w:t xml:space="preserve"> </w:t>
      </w:r>
      <w:r w:rsidRPr="00956BC6">
        <w:rPr>
          <w:sz w:val="28"/>
          <w:szCs w:val="28"/>
          <w:lang w:val="uk-UA"/>
        </w:rPr>
        <w:t>Комітет, керуючись положеннями пункту 1 частини першої статті 111, пункту 1</w:t>
      </w:r>
      <w:r w:rsidR="005F66CA">
        <w:rPr>
          <w:sz w:val="28"/>
          <w:szCs w:val="28"/>
          <w:lang w:val="uk-UA"/>
        </w:rPr>
        <w:t xml:space="preserve"> </w:t>
      </w:r>
      <w:r w:rsidRPr="00956BC6">
        <w:rPr>
          <w:sz w:val="28"/>
          <w:szCs w:val="28"/>
          <w:lang w:val="uk-UA"/>
        </w:rPr>
        <w:t xml:space="preserve">частини першої статті 114 Регламенту Верховної Ради України, </w:t>
      </w:r>
      <w:r w:rsidR="00D55FF8">
        <w:rPr>
          <w:sz w:val="28"/>
          <w:szCs w:val="28"/>
          <w:lang w:val="uk-UA"/>
        </w:rPr>
        <w:t xml:space="preserve">Комітет </w:t>
      </w:r>
      <w:r w:rsidRPr="00956BC6">
        <w:rPr>
          <w:sz w:val="28"/>
          <w:szCs w:val="28"/>
          <w:lang w:val="uk-UA"/>
        </w:rPr>
        <w:t>рекомендує</w:t>
      </w:r>
      <w:r w:rsidR="005F66CA">
        <w:rPr>
          <w:sz w:val="28"/>
          <w:szCs w:val="28"/>
          <w:lang w:val="uk-UA"/>
        </w:rPr>
        <w:t xml:space="preserve"> </w:t>
      </w:r>
      <w:r w:rsidRPr="00956BC6">
        <w:rPr>
          <w:sz w:val="28"/>
          <w:szCs w:val="28"/>
          <w:lang w:val="uk-UA"/>
        </w:rPr>
        <w:t xml:space="preserve">Верховній Раді України </w:t>
      </w:r>
      <w:r w:rsidR="00D55FF8" w:rsidRPr="005F66CA">
        <w:rPr>
          <w:sz w:val="28"/>
          <w:szCs w:val="28"/>
          <w:lang w:val="uk-UA"/>
        </w:rPr>
        <w:t xml:space="preserve">проект </w:t>
      </w:r>
      <w:r w:rsidR="005F66CA" w:rsidRPr="005F66CA">
        <w:rPr>
          <w:sz w:val="28"/>
          <w:szCs w:val="28"/>
          <w:lang w:val="uk-UA"/>
        </w:rPr>
        <w:t xml:space="preserve">Закону </w:t>
      </w:r>
      <w:r w:rsidR="00D55FF8">
        <w:rPr>
          <w:sz w:val="28"/>
          <w:szCs w:val="28"/>
          <w:lang w:val="uk-UA"/>
        </w:rPr>
        <w:t>«</w:t>
      </w:r>
      <w:r w:rsidR="00D55FF8" w:rsidRPr="005F66CA">
        <w:rPr>
          <w:sz w:val="28"/>
          <w:szCs w:val="28"/>
          <w:lang w:val="uk-UA"/>
        </w:rPr>
        <w:t xml:space="preserve">Про </w:t>
      </w:r>
      <w:r w:rsidR="005F66CA" w:rsidRPr="005F66CA">
        <w:rPr>
          <w:sz w:val="28"/>
          <w:szCs w:val="28"/>
          <w:lang w:val="uk-UA"/>
        </w:rPr>
        <w:t xml:space="preserve">внесення змін до Кодексу </w:t>
      </w:r>
      <w:r w:rsidR="005F66CA" w:rsidRPr="005F66CA">
        <w:rPr>
          <w:sz w:val="28"/>
          <w:szCs w:val="28"/>
          <w:lang w:val="uk-UA"/>
        </w:rPr>
        <w:lastRenderedPageBreak/>
        <w:t>України про адміністративні правопорушення щодо вдосконалення законодавства у сфері міграції</w:t>
      </w:r>
      <w:r w:rsidR="00D55FF8">
        <w:rPr>
          <w:sz w:val="28"/>
          <w:szCs w:val="28"/>
          <w:lang w:val="uk-UA"/>
        </w:rPr>
        <w:t>»</w:t>
      </w:r>
      <w:r w:rsidR="005F66CA" w:rsidRPr="005F66CA">
        <w:rPr>
          <w:sz w:val="28"/>
          <w:szCs w:val="28"/>
          <w:lang w:val="uk-UA"/>
        </w:rPr>
        <w:t xml:space="preserve"> (реєстр. № 4411), </w:t>
      </w:r>
      <w:r w:rsidRPr="00956BC6">
        <w:rPr>
          <w:sz w:val="28"/>
          <w:szCs w:val="28"/>
          <w:lang w:val="uk-UA"/>
        </w:rPr>
        <w:t>за наслідками</w:t>
      </w:r>
      <w:r w:rsidR="005F66CA">
        <w:rPr>
          <w:sz w:val="28"/>
          <w:szCs w:val="28"/>
          <w:lang w:val="uk-UA"/>
        </w:rPr>
        <w:t xml:space="preserve"> </w:t>
      </w:r>
      <w:r w:rsidRPr="00956BC6">
        <w:rPr>
          <w:sz w:val="28"/>
          <w:szCs w:val="28"/>
          <w:lang w:val="uk-UA"/>
        </w:rPr>
        <w:t>розгляду в першому читанні прийняти за основу.</w:t>
      </w:r>
    </w:p>
    <w:p w:rsidR="00956BC6" w:rsidRPr="009A64E2" w:rsidRDefault="00956BC6" w:rsidP="007C17CD">
      <w:pPr>
        <w:ind w:firstLine="851"/>
        <w:jc w:val="both"/>
        <w:rPr>
          <w:sz w:val="28"/>
          <w:szCs w:val="28"/>
          <w:lang w:val="uk-UA"/>
        </w:rPr>
      </w:pPr>
      <w:r w:rsidRPr="009A64E2">
        <w:rPr>
          <w:sz w:val="28"/>
          <w:szCs w:val="28"/>
          <w:lang w:val="uk-UA"/>
        </w:rPr>
        <w:t>Доповідачем від Комітету на пленарному засіданні Верховної Ради України</w:t>
      </w:r>
      <w:r w:rsidR="007C17CD" w:rsidRPr="009A64E2">
        <w:rPr>
          <w:sz w:val="28"/>
          <w:szCs w:val="28"/>
          <w:lang w:val="uk-UA"/>
        </w:rPr>
        <w:t xml:space="preserve"> </w:t>
      </w:r>
      <w:r w:rsidRPr="009A64E2">
        <w:rPr>
          <w:sz w:val="28"/>
          <w:szCs w:val="28"/>
          <w:lang w:val="uk-UA"/>
        </w:rPr>
        <w:t>визначено</w:t>
      </w:r>
      <w:r w:rsidR="009A64E2" w:rsidRPr="009A64E2">
        <w:rPr>
          <w:sz w:val="28"/>
          <w:szCs w:val="28"/>
          <w:lang w:val="uk-UA"/>
        </w:rPr>
        <w:t xml:space="preserve"> Голову </w:t>
      </w:r>
      <w:r w:rsidR="009A64E2" w:rsidRPr="009A64E2">
        <w:rPr>
          <w:bCs/>
          <w:sz w:val="28"/>
          <w:szCs w:val="28"/>
          <w:lang w:val="uk-UA"/>
        </w:rPr>
        <w:t>підкомітету з питань законодавства про адміністративні правопорушення та охоронної і детективної діяльності</w:t>
      </w:r>
      <w:r w:rsidR="004C4151">
        <w:rPr>
          <w:bCs/>
          <w:sz w:val="28"/>
          <w:szCs w:val="28"/>
          <w:lang w:val="uk-UA"/>
        </w:rPr>
        <w:t>,</w:t>
      </w:r>
      <w:r w:rsidRPr="009A64E2">
        <w:rPr>
          <w:sz w:val="28"/>
          <w:szCs w:val="28"/>
          <w:lang w:val="uk-UA"/>
        </w:rPr>
        <w:t xml:space="preserve"> народного депутата України </w:t>
      </w:r>
      <w:r w:rsidR="007C17CD" w:rsidRPr="009A64E2">
        <w:rPr>
          <w:sz w:val="28"/>
          <w:szCs w:val="28"/>
          <w:lang w:val="uk-UA"/>
        </w:rPr>
        <w:t>Медяника В’ячеслава Анатолійовича</w:t>
      </w:r>
      <w:r w:rsidR="009A64E2" w:rsidRPr="009A64E2">
        <w:rPr>
          <w:sz w:val="28"/>
          <w:szCs w:val="28"/>
          <w:lang w:val="uk-UA"/>
        </w:rPr>
        <w:t>.</w:t>
      </w:r>
    </w:p>
    <w:p w:rsidR="00F96597" w:rsidRPr="00956BC6" w:rsidRDefault="00F96597" w:rsidP="00FC6010">
      <w:pPr>
        <w:ind w:firstLine="851"/>
        <w:jc w:val="both"/>
        <w:rPr>
          <w:sz w:val="28"/>
          <w:szCs w:val="28"/>
        </w:rPr>
      </w:pPr>
      <w:r w:rsidRPr="005F66CA">
        <w:rPr>
          <w:sz w:val="28"/>
          <w:szCs w:val="28"/>
          <w:lang w:val="uk-UA"/>
        </w:rPr>
        <w:t>Висновок Головного науково-експертного управління Апарату Верховної Ради України та проект Постанови Верховної Ради України додаються.</w:t>
      </w:r>
    </w:p>
    <w:p w:rsidR="00F96597" w:rsidRPr="00DF60DC" w:rsidRDefault="00956BC6" w:rsidP="00FC6010">
      <w:pPr>
        <w:ind w:firstLine="851"/>
        <w:jc w:val="both"/>
        <w:rPr>
          <w:sz w:val="28"/>
          <w:szCs w:val="28"/>
          <w:lang w:val="uk-UA"/>
        </w:rPr>
      </w:pPr>
      <w:r w:rsidRPr="00956BC6">
        <w:rPr>
          <w:sz w:val="28"/>
          <w:szCs w:val="28"/>
          <w:lang w:val="uk-UA"/>
        </w:rPr>
        <w:t>Просимо розглянути.</w:t>
      </w:r>
    </w:p>
    <w:p w:rsidR="00F96597" w:rsidRPr="00DF60DC" w:rsidRDefault="00F96597" w:rsidP="00F96597">
      <w:pPr>
        <w:ind w:firstLine="709"/>
        <w:jc w:val="both"/>
        <w:rPr>
          <w:sz w:val="28"/>
          <w:szCs w:val="28"/>
          <w:lang w:val="uk-UA"/>
        </w:rPr>
      </w:pPr>
    </w:p>
    <w:p w:rsidR="00F96597" w:rsidRPr="00DF60DC" w:rsidRDefault="00F96597" w:rsidP="00F96597">
      <w:pPr>
        <w:jc w:val="both"/>
        <w:rPr>
          <w:b/>
          <w:sz w:val="28"/>
          <w:szCs w:val="28"/>
          <w:lang w:val="uk-UA"/>
        </w:rPr>
      </w:pPr>
      <w:r w:rsidRPr="00DF60DC">
        <w:rPr>
          <w:b/>
          <w:sz w:val="28"/>
          <w:szCs w:val="28"/>
          <w:lang w:val="uk-UA"/>
        </w:rPr>
        <w:t>Голова Комітету                                                                   Д. Монастирський</w:t>
      </w:r>
    </w:p>
    <w:sectPr w:rsidR="00F96597" w:rsidRPr="00DF60DC" w:rsidSect="004F51DC">
      <w:pgSz w:w="11906" w:h="16838"/>
      <w:pgMar w:top="1134" w:right="707" w:bottom="993"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ntiqua">
    <w:altName w:val="Century Gothic"/>
    <w:charset w:val="00"/>
    <w:family w:val="swiss"/>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521F0"/>
    <w:multiLevelType w:val="hybridMultilevel"/>
    <w:tmpl w:val="82B26D9C"/>
    <w:lvl w:ilvl="0" w:tplc="F9EC757C">
      <w:start w:val="1"/>
      <w:numFmt w:val="decimal"/>
      <w:lvlText w:val="%1)"/>
      <w:lvlJc w:val="left"/>
      <w:pPr>
        <w:ind w:left="1920" w:hanging="360"/>
      </w:pPr>
      <w:rPr>
        <w:rFonts w:cs="Times New Roman" w:hint="default"/>
      </w:rPr>
    </w:lvl>
    <w:lvl w:ilvl="1" w:tplc="04220019" w:tentative="1">
      <w:start w:val="1"/>
      <w:numFmt w:val="lowerLetter"/>
      <w:lvlText w:val="%2."/>
      <w:lvlJc w:val="left"/>
      <w:pPr>
        <w:ind w:left="2640" w:hanging="360"/>
      </w:pPr>
      <w:rPr>
        <w:rFonts w:cs="Times New Roman"/>
      </w:rPr>
    </w:lvl>
    <w:lvl w:ilvl="2" w:tplc="0422001B" w:tentative="1">
      <w:start w:val="1"/>
      <w:numFmt w:val="lowerRoman"/>
      <w:lvlText w:val="%3."/>
      <w:lvlJc w:val="right"/>
      <w:pPr>
        <w:ind w:left="3360" w:hanging="180"/>
      </w:pPr>
      <w:rPr>
        <w:rFonts w:cs="Times New Roman"/>
      </w:rPr>
    </w:lvl>
    <w:lvl w:ilvl="3" w:tplc="0422000F" w:tentative="1">
      <w:start w:val="1"/>
      <w:numFmt w:val="decimal"/>
      <w:lvlText w:val="%4."/>
      <w:lvlJc w:val="left"/>
      <w:pPr>
        <w:ind w:left="4080" w:hanging="360"/>
      </w:pPr>
      <w:rPr>
        <w:rFonts w:cs="Times New Roman"/>
      </w:rPr>
    </w:lvl>
    <w:lvl w:ilvl="4" w:tplc="04220019" w:tentative="1">
      <w:start w:val="1"/>
      <w:numFmt w:val="lowerLetter"/>
      <w:lvlText w:val="%5."/>
      <w:lvlJc w:val="left"/>
      <w:pPr>
        <w:ind w:left="4800" w:hanging="360"/>
      </w:pPr>
      <w:rPr>
        <w:rFonts w:cs="Times New Roman"/>
      </w:rPr>
    </w:lvl>
    <w:lvl w:ilvl="5" w:tplc="0422001B" w:tentative="1">
      <w:start w:val="1"/>
      <w:numFmt w:val="lowerRoman"/>
      <w:lvlText w:val="%6."/>
      <w:lvlJc w:val="right"/>
      <w:pPr>
        <w:ind w:left="5520" w:hanging="180"/>
      </w:pPr>
      <w:rPr>
        <w:rFonts w:cs="Times New Roman"/>
      </w:rPr>
    </w:lvl>
    <w:lvl w:ilvl="6" w:tplc="0422000F" w:tentative="1">
      <w:start w:val="1"/>
      <w:numFmt w:val="decimal"/>
      <w:lvlText w:val="%7."/>
      <w:lvlJc w:val="left"/>
      <w:pPr>
        <w:ind w:left="6240" w:hanging="360"/>
      </w:pPr>
      <w:rPr>
        <w:rFonts w:cs="Times New Roman"/>
      </w:rPr>
    </w:lvl>
    <w:lvl w:ilvl="7" w:tplc="04220019" w:tentative="1">
      <w:start w:val="1"/>
      <w:numFmt w:val="lowerLetter"/>
      <w:lvlText w:val="%8."/>
      <w:lvlJc w:val="left"/>
      <w:pPr>
        <w:ind w:left="6960" w:hanging="360"/>
      </w:pPr>
      <w:rPr>
        <w:rFonts w:cs="Times New Roman"/>
      </w:rPr>
    </w:lvl>
    <w:lvl w:ilvl="8" w:tplc="0422001B" w:tentative="1">
      <w:start w:val="1"/>
      <w:numFmt w:val="lowerRoman"/>
      <w:lvlText w:val="%9."/>
      <w:lvlJc w:val="right"/>
      <w:pPr>
        <w:ind w:left="7680" w:hanging="180"/>
      </w:pPr>
      <w:rPr>
        <w:rFonts w:cs="Times New Roman"/>
      </w:rPr>
    </w:lvl>
  </w:abstractNum>
  <w:abstractNum w:abstractNumId="1" w15:restartNumberingAfterBreak="0">
    <w:nsid w:val="47B6452C"/>
    <w:multiLevelType w:val="hybridMultilevel"/>
    <w:tmpl w:val="C0562624"/>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497"/>
    <w:rsid w:val="00044333"/>
    <w:rsid w:val="00072DF9"/>
    <w:rsid w:val="000970D3"/>
    <w:rsid w:val="000D3007"/>
    <w:rsid w:val="000F6688"/>
    <w:rsid w:val="00121AA8"/>
    <w:rsid w:val="00174FF3"/>
    <w:rsid w:val="001B483A"/>
    <w:rsid w:val="001C13D0"/>
    <w:rsid w:val="001E2CC6"/>
    <w:rsid w:val="00252224"/>
    <w:rsid w:val="00277A5E"/>
    <w:rsid w:val="00281E88"/>
    <w:rsid w:val="002C5E62"/>
    <w:rsid w:val="00311010"/>
    <w:rsid w:val="003275D2"/>
    <w:rsid w:val="00327CDD"/>
    <w:rsid w:val="003428F1"/>
    <w:rsid w:val="003542D3"/>
    <w:rsid w:val="00366418"/>
    <w:rsid w:val="003678EA"/>
    <w:rsid w:val="003D11E2"/>
    <w:rsid w:val="003E6F90"/>
    <w:rsid w:val="0042299D"/>
    <w:rsid w:val="0043578C"/>
    <w:rsid w:val="00447F6C"/>
    <w:rsid w:val="0045114D"/>
    <w:rsid w:val="00466DF9"/>
    <w:rsid w:val="00481BE0"/>
    <w:rsid w:val="00482490"/>
    <w:rsid w:val="00493328"/>
    <w:rsid w:val="004B212A"/>
    <w:rsid w:val="004C4151"/>
    <w:rsid w:val="004D3AE1"/>
    <w:rsid w:val="004F51DC"/>
    <w:rsid w:val="00514908"/>
    <w:rsid w:val="0051755C"/>
    <w:rsid w:val="00525732"/>
    <w:rsid w:val="00537103"/>
    <w:rsid w:val="005A08A1"/>
    <w:rsid w:val="005A08D2"/>
    <w:rsid w:val="005C3C8A"/>
    <w:rsid w:val="005E3EE2"/>
    <w:rsid w:val="005F66CA"/>
    <w:rsid w:val="00615885"/>
    <w:rsid w:val="0061722F"/>
    <w:rsid w:val="0065216F"/>
    <w:rsid w:val="00655A47"/>
    <w:rsid w:val="00660457"/>
    <w:rsid w:val="00663A55"/>
    <w:rsid w:val="00680AB4"/>
    <w:rsid w:val="00682752"/>
    <w:rsid w:val="006B22C9"/>
    <w:rsid w:val="006D54BF"/>
    <w:rsid w:val="006D5BC6"/>
    <w:rsid w:val="006D646C"/>
    <w:rsid w:val="006D6ECD"/>
    <w:rsid w:val="006F7FF7"/>
    <w:rsid w:val="00711644"/>
    <w:rsid w:val="00721EB9"/>
    <w:rsid w:val="00741F46"/>
    <w:rsid w:val="00742EDA"/>
    <w:rsid w:val="007B5186"/>
    <w:rsid w:val="007C17CD"/>
    <w:rsid w:val="007F2EBA"/>
    <w:rsid w:val="00801579"/>
    <w:rsid w:val="00826A92"/>
    <w:rsid w:val="008342F9"/>
    <w:rsid w:val="00844428"/>
    <w:rsid w:val="00872F7A"/>
    <w:rsid w:val="00897B22"/>
    <w:rsid w:val="008B1497"/>
    <w:rsid w:val="008D4DD9"/>
    <w:rsid w:val="00905F5D"/>
    <w:rsid w:val="00925941"/>
    <w:rsid w:val="00926542"/>
    <w:rsid w:val="00935341"/>
    <w:rsid w:val="0094671F"/>
    <w:rsid w:val="00956BC6"/>
    <w:rsid w:val="00961E9C"/>
    <w:rsid w:val="00990CA0"/>
    <w:rsid w:val="009A64E2"/>
    <w:rsid w:val="009C6BC6"/>
    <w:rsid w:val="009D084F"/>
    <w:rsid w:val="00A154D5"/>
    <w:rsid w:val="00A16F73"/>
    <w:rsid w:val="00A45A00"/>
    <w:rsid w:val="00A45BA9"/>
    <w:rsid w:val="00A67F1A"/>
    <w:rsid w:val="00AD466D"/>
    <w:rsid w:val="00AD6F3F"/>
    <w:rsid w:val="00AE733B"/>
    <w:rsid w:val="00B21D2D"/>
    <w:rsid w:val="00B41C38"/>
    <w:rsid w:val="00B62612"/>
    <w:rsid w:val="00B70EC8"/>
    <w:rsid w:val="00B71B5C"/>
    <w:rsid w:val="00B757EE"/>
    <w:rsid w:val="00B77AB2"/>
    <w:rsid w:val="00BE4BB0"/>
    <w:rsid w:val="00BF370F"/>
    <w:rsid w:val="00C04964"/>
    <w:rsid w:val="00C12B1B"/>
    <w:rsid w:val="00C2662E"/>
    <w:rsid w:val="00C31631"/>
    <w:rsid w:val="00CA0953"/>
    <w:rsid w:val="00D16F38"/>
    <w:rsid w:val="00D444EA"/>
    <w:rsid w:val="00D47BA4"/>
    <w:rsid w:val="00D55FF8"/>
    <w:rsid w:val="00D56B58"/>
    <w:rsid w:val="00D6732E"/>
    <w:rsid w:val="00D763AB"/>
    <w:rsid w:val="00DD356C"/>
    <w:rsid w:val="00DD6F80"/>
    <w:rsid w:val="00DE00C9"/>
    <w:rsid w:val="00DF60DC"/>
    <w:rsid w:val="00E27008"/>
    <w:rsid w:val="00E429BE"/>
    <w:rsid w:val="00E563ED"/>
    <w:rsid w:val="00E5742C"/>
    <w:rsid w:val="00E60B78"/>
    <w:rsid w:val="00E7329B"/>
    <w:rsid w:val="00EA2D30"/>
    <w:rsid w:val="00EF33F7"/>
    <w:rsid w:val="00F046A1"/>
    <w:rsid w:val="00F14491"/>
    <w:rsid w:val="00F2553B"/>
    <w:rsid w:val="00F83132"/>
    <w:rsid w:val="00F96597"/>
    <w:rsid w:val="00FA2171"/>
    <w:rsid w:val="00FC6010"/>
    <w:rsid w:val="00FE0A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7CADB75-65D2-435F-9736-88D35A60B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1497"/>
    <w:pPr>
      <w:autoSpaceDE w:val="0"/>
      <w:autoSpaceDN w:val="0"/>
    </w:pPr>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5C3C8A"/>
    <w:pPr>
      <w:autoSpaceDE/>
      <w:autoSpaceDN/>
      <w:spacing w:before="120"/>
      <w:ind w:firstLine="567"/>
    </w:pPr>
    <w:rPr>
      <w:rFonts w:ascii="Antiqua" w:hAnsi="Antiqua" w:cs="Antiqua"/>
      <w:sz w:val="26"/>
      <w:szCs w:val="26"/>
      <w:lang w:val="uk-UA"/>
    </w:rPr>
  </w:style>
  <w:style w:type="character" w:customStyle="1" w:styleId="rvts0">
    <w:name w:val="rvts0"/>
    <w:basedOn w:val="a0"/>
    <w:rsid w:val="005C3C8A"/>
  </w:style>
  <w:style w:type="paragraph" w:styleId="a4">
    <w:name w:val="List Paragraph"/>
    <w:basedOn w:val="a"/>
    <w:uiPriority w:val="34"/>
    <w:qFormat/>
    <w:rsid w:val="001E2CC6"/>
    <w:pPr>
      <w:autoSpaceDE/>
      <w:autoSpaceDN/>
      <w:ind w:left="720"/>
      <w:contextualSpacing/>
    </w:pPr>
    <w:rPr>
      <w:sz w:val="28"/>
      <w:szCs w:val="28"/>
      <w:lang w:val="uk-UA" w:eastAsia="uk-UA"/>
    </w:rPr>
  </w:style>
  <w:style w:type="character" w:styleId="a5">
    <w:name w:val="Hyperlink"/>
    <w:basedOn w:val="a0"/>
    <w:rsid w:val="00447F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E9328-D531-438E-92B9-84DBFB24B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4093</Words>
  <Characters>2334</Characters>
  <Application>Microsoft Office Word</Application>
  <DocSecurity>0</DocSecurity>
  <Lines>19</Lines>
  <Paragraphs>12</Paragraphs>
  <ScaleCrop>false</ScaleCrop>
  <HeadingPairs>
    <vt:vector size="2" baseType="variant">
      <vt:variant>
        <vt:lpstr>Назва</vt:lpstr>
      </vt:variant>
      <vt:variant>
        <vt:i4>1</vt:i4>
      </vt:variant>
    </vt:vector>
  </HeadingPairs>
  <TitlesOfParts>
    <vt:vector size="1" baseType="lpstr">
      <vt:lpstr>До реєстр</vt:lpstr>
    </vt:vector>
  </TitlesOfParts>
  <Company>Verkhovna Rada(Parliament of Ukraine)</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 реєстр</dc:title>
  <dc:subject/>
  <dc:creator>user</dc:creator>
  <cp:keywords/>
  <dc:description/>
  <cp:lastModifiedBy>Миколюк Олена Олександрівна</cp:lastModifiedBy>
  <cp:revision>2</cp:revision>
  <dcterms:created xsi:type="dcterms:W3CDTF">2021-09-02T09:00:00Z</dcterms:created>
  <dcterms:modified xsi:type="dcterms:W3CDTF">2021-09-02T09:00:00Z</dcterms:modified>
</cp:coreProperties>
</file>