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57" w:rsidRDefault="00951457" w:rsidP="0054449A">
      <w:pPr>
        <w:pStyle w:val="a3"/>
        <w:tabs>
          <w:tab w:val="clear" w:pos="4677"/>
          <w:tab w:val="clear" w:pos="9355"/>
          <w:tab w:val="left" w:pos="993"/>
        </w:tabs>
        <w:jc w:val="center"/>
        <w:rPr>
          <w:color w:val="002060"/>
          <w:sz w:val="32"/>
          <w:szCs w:val="32"/>
        </w:rPr>
      </w:pPr>
    </w:p>
    <w:p w:rsidR="00C86508" w:rsidRPr="00AD7F82" w:rsidRDefault="00C86508" w:rsidP="0054449A">
      <w:pPr>
        <w:pStyle w:val="a3"/>
        <w:tabs>
          <w:tab w:val="clear" w:pos="4677"/>
          <w:tab w:val="clear" w:pos="9355"/>
          <w:tab w:val="left" w:pos="993"/>
        </w:tabs>
        <w:jc w:val="center"/>
        <w:rPr>
          <w:color w:val="002060"/>
          <w:sz w:val="32"/>
          <w:szCs w:val="32"/>
        </w:rPr>
      </w:pPr>
      <w:r>
        <w:rPr>
          <w:noProof/>
          <w:lang w:val="uk-UA" w:eastAsia="uk-UA"/>
        </w:rPr>
        <w:drawing>
          <wp:anchor distT="360045" distB="0" distL="114300" distR="114300" simplePos="0" relativeHeight="251659264" behindDoc="0" locked="0" layoutInCell="1" allowOverlap="1" wp14:anchorId="3F1C49B7" wp14:editId="3B44D403">
            <wp:simplePos x="0" y="0"/>
            <wp:positionH relativeFrom="margin">
              <wp:posOffset>2758440</wp:posOffset>
            </wp:positionH>
            <wp:positionV relativeFrom="paragraph">
              <wp:posOffset>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508" w:rsidRPr="00AD7F82" w:rsidRDefault="00C86508" w:rsidP="0054449A">
      <w:pPr>
        <w:pStyle w:val="a3"/>
        <w:tabs>
          <w:tab w:val="clear" w:pos="4677"/>
          <w:tab w:val="clear" w:pos="9355"/>
          <w:tab w:val="left" w:pos="993"/>
        </w:tabs>
        <w:jc w:val="center"/>
        <w:rPr>
          <w:color w:val="002060"/>
          <w:sz w:val="32"/>
          <w:szCs w:val="32"/>
        </w:rPr>
      </w:pPr>
    </w:p>
    <w:p w:rsidR="00C86508" w:rsidRPr="00AD7F82" w:rsidRDefault="00C86508" w:rsidP="0054449A">
      <w:pPr>
        <w:pStyle w:val="a3"/>
        <w:tabs>
          <w:tab w:val="clear" w:pos="4677"/>
          <w:tab w:val="clear" w:pos="9355"/>
          <w:tab w:val="left" w:pos="993"/>
        </w:tabs>
        <w:jc w:val="center"/>
        <w:rPr>
          <w:color w:val="002060"/>
          <w:sz w:val="32"/>
          <w:szCs w:val="32"/>
        </w:rPr>
      </w:pPr>
    </w:p>
    <w:p w:rsidR="00C86508" w:rsidRPr="0083558E" w:rsidRDefault="00C86508" w:rsidP="0054449A">
      <w:pPr>
        <w:pStyle w:val="a3"/>
        <w:tabs>
          <w:tab w:val="clear" w:pos="4677"/>
          <w:tab w:val="clear" w:pos="9355"/>
          <w:tab w:val="left" w:pos="993"/>
        </w:tabs>
        <w:spacing w:before="80"/>
        <w:jc w:val="center"/>
        <w:rPr>
          <w:color w:val="1829A8"/>
          <w:spacing w:val="20"/>
          <w:sz w:val="34"/>
          <w:szCs w:val="34"/>
          <w:lang w:val="ru-RU"/>
        </w:rPr>
      </w:pPr>
      <w:r w:rsidRPr="00D90794">
        <w:rPr>
          <w:color w:val="1829A8"/>
          <w:spacing w:val="20"/>
          <w:sz w:val="34"/>
          <w:szCs w:val="34"/>
          <w:lang w:val="ru-RU"/>
        </w:rPr>
        <w:t>ВЕРХОВНА РАДА УКРАЇНИ</w:t>
      </w:r>
    </w:p>
    <w:p w:rsidR="00C86508" w:rsidRPr="0083558E" w:rsidRDefault="00C86508" w:rsidP="0054449A">
      <w:pPr>
        <w:pStyle w:val="a3"/>
        <w:tabs>
          <w:tab w:val="clear" w:pos="4677"/>
          <w:tab w:val="clear" w:pos="9355"/>
          <w:tab w:val="left" w:pos="993"/>
        </w:tabs>
        <w:spacing w:before="100"/>
        <w:jc w:val="center"/>
        <w:rPr>
          <w:b/>
          <w:color w:val="1829A8"/>
          <w:spacing w:val="20"/>
          <w:sz w:val="24"/>
          <w:szCs w:val="24"/>
          <w:lang w:val="ru-RU"/>
        </w:rPr>
      </w:pPr>
      <w:r w:rsidRPr="00D90794">
        <w:rPr>
          <w:b/>
          <w:color w:val="1829A8"/>
          <w:spacing w:val="20"/>
          <w:sz w:val="24"/>
          <w:szCs w:val="24"/>
          <w:lang w:val="ru-RU"/>
        </w:rPr>
        <w:t xml:space="preserve">Комітет з питань інтеграції </w:t>
      </w:r>
      <w:proofErr w:type="spellStart"/>
      <w:r w:rsidRPr="00D90794">
        <w:rPr>
          <w:b/>
          <w:color w:val="1829A8"/>
          <w:spacing w:val="20"/>
          <w:sz w:val="24"/>
          <w:szCs w:val="24"/>
          <w:lang w:val="ru-RU"/>
        </w:rPr>
        <w:t>України</w:t>
      </w:r>
      <w:proofErr w:type="spellEnd"/>
      <w:r w:rsidRPr="00D90794">
        <w:rPr>
          <w:b/>
          <w:color w:val="1829A8"/>
          <w:spacing w:val="20"/>
          <w:sz w:val="24"/>
          <w:szCs w:val="24"/>
          <w:lang w:val="ru-RU"/>
        </w:rPr>
        <w:t xml:space="preserve"> з </w:t>
      </w:r>
      <w:proofErr w:type="spellStart"/>
      <w:r w:rsidRPr="00D90794">
        <w:rPr>
          <w:b/>
          <w:color w:val="1829A8"/>
          <w:spacing w:val="20"/>
          <w:sz w:val="24"/>
          <w:szCs w:val="24"/>
          <w:lang w:val="ru-RU"/>
        </w:rPr>
        <w:t>Європейським</w:t>
      </w:r>
      <w:proofErr w:type="spellEnd"/>
      <w:r w:rsidRPr="00D90794">
        <w:rPr>
          <w:b/>
          <w:color w:val="1829A8"/>
          <w:spacing w:val="20"/>
          <w:sz w:val="24"/>
          <w:szCs w:val="24"/>
          <w:lang w:val="ru-RU"/>
        </w:rPr>
        <w:t xml:space="preserve"> Союзом</w:t>
      </w:r>
    </w:p>
    <w:p w:rsidR="00C86508" w:rsidRPr="00D90794" w:rsidRDefault="00C86508" w:rsidP="0054449A">
      <w:pPr>
        <w:tabs>
          <w:tab w:val="left" w:pos="993"/>
        </w:tabs>
        <w:jc w:val="center"/>
        <w:rPr>
          <w:lang w:val="ru-RU"/>
        </w:rPr>
      </w:pPr>
      <w:r w:rsidRPr="00D90794">
        <w:rPr>
          <w:color w:val="1829A8"/>
          <w:sz w:val="20"/>
          <w:szCs w:val="20"/>
          <w:lang w:val="ru-RU"/>
        </w:rPr>
        <w:t xml:space="preserve">01008, м.Київ-8, </w:t>
      </w:r>
      <w:proofErr w:type="spellStart"/>
      <w:r w:rsidRPr="00D90794">
        <w:rPr>
          <w:color w:val="1829A8"/>
          <w:sz w:val="20"/>
          <w:szCs w:val="20"/>
          <w:lang w:val="ru-RU"/>
        </w:rPr>
        <w:t>вул</w:t>
      </w:r>
      <w:proofErr w:type="spellEnd"/>
      <w:r w:rsidRPr="00D90794">
        <w:rPr>
          <w:color w:val="1829A8"/>
          <w:sz w:val="20"/>
          <w:szCs w:val="20"/>
          <w:lang w:val="ru-RU"/>
        </w:rPr>
        <w:t xml:space="preserve">. М. </w:t>
      </w:r>
      <w:proofErr w:type="spellStart"/>
      <w:r w:rsidRPr="00D90794">
        <w:rPr>
          <w:color w:val="1829A8"/>
          <w:sz w:val="20"/>
          <w:szCs w:val="20"/>
          <w:lang w:val="ru-RU"/>
        </w:rPr>
        <w:t>Грушевського</w:t>
      </w:r>
      <w:proofErr w:type="spellEnd"/>
      <w:r w:rsidRPr="00D90794">
        <w:rPr>
          <w:color w:val="1829A8"/>
          <w:sz w:val="20"/>
          <w:szCs w:val="20"/>
          <w:lang w:val="ru-RU"/>
        </w:rPr>
        <w:t>, 5, тел.: 255-34-42, факс</w:t>
      </w:r>
      <w:r w:rsidRPr="0083558E">
        <w:rPr>
          <w:color w:val="1829A8"/>
          <w:sz w:val="20"/>
          <w:szCs w:val="20"/>
          <w:lang w:val="ru-RU"/>
        </w:rPr>
        <w:t>:</w:t>
      </w:r>
      <w:r w:rsidRPr="00D90794">
        <w:rPr>
          <w:color w:val="1829A8"/>
          <w:sz w:val="20"/>
          <w:szCs w:val="20"/>
          <w:lang w:val="ru-RU"/>
        </w:rPr>
        <w:t xml:space="preserve"> 255-33-13, </w:t>
      </w:r>
      <w:r>
        <w:rPr>
          <w:color w:val="1829A8"/>
          <w:sz w:val="20"/>
          <w:szCs w:val="20"/>
        </w:rPr>
        <w:t>e</w:t>
      </w:r>
      <w:r w:rsidRPr="0083558E">
        <w:rPr>
          <w:color w:val="1829A8"/>
          <w:sz w:val="20"/>
          <w:szCs w:val="20"/>
          <w:lang w:val="ru-RU"/>
        </w:rPr>
        <w:t>-</w:t>
      </w:r>
      <w:r>
        <w:rPr>
          <w:color w:val="1829A8"/>
          <w:sz w:val="20"/>
          <w:szCs w:val="20"/>
        </w:rPr>
        <w:t>mail</w:t>
      </w:r>
      <w:r w:rsidRPr="0083558E">
        <w:rPr>
          <w:color w:val="1829A8"/>
          <w:sz w:val="20"/>
          <w:szCs w:val="20"/>
          <w:lang w:val="ru-RU"/>
        </w:rPr>
        <w:t xml:space="preserve">: </w:t>
      </w:r>
      <w:proofErr w:type="spellStart"/>
      <w:r>
        <w:rPr>
          <w:color w:val="1829A8"/>
          <w:sz w:val="20"/>
          <w:szCs w:val="20"/>
        </w:rPr>
        <w:t>comeuroint</w:t>
      </w:r>
      <w:proofErr w:type="spellEnd"/>
      <w:r w:rsidRPr="0083558E">
        <w:rPr>
          <w:color w:val="1829A8"/>
          <w:sz w:val="20"/>
          <w:szCs w:val="20"/>
          <w:lang w:val="ru-RU"/>
        </w:rPr>
        <w:t>@</w:t>
      </w:r>
      <w:r>
        <w:rPr>
          <w:color w:val="1829A8"/>
          <w:sz w:val="20"/>
          <w:szCs w:val="20"/>
        </w:rPr>
        <w:t>v</w:t>
      </w:r>
      <w:r w:rsidRPr="0083558E">
        <w:rPr>
          <w:color w:val="1829A8"/>
          <w:sz w:val="20"/>
          <w:szCs w:val="20"/>
          <w:lang w:val="ru-RU"/>
        </w:rPr>
        <w:t>.</w:t>
      </w:r>
      <w:proofErr w:type="spellStart"/>
      <w:r>
        <w:rPr>
          <w:color w:val="1829A8"/>
          <w:sz w:val="20"/>
          <w:szCs w:val="20"/>
        </w:rPr>
        <w:t>rada</w:t>
      </w:r>
      <w:proofErr w:type="spellEnd"/>
      <w:r w:rsidRPr="0083558E">
        <w:rPr>
          <w:color w:val="1829A8"/>
          <w:sz w:val="20"/>
          <w:szCs w:val="20"/>
          <w:lang w:val="ru-RU"/>
        </w:rPr>
        <w:t>.</w:t>
      </w:r>
      <w:proofErr w:type="spellStart"/>
      <w:r>
        <w:rPr>
          <w:color w:val="1829A8"/>
          <w:sz w:val="20"/>
          <w:szCs w:val="20"/>
        </w:rPr>
        <w:t>gov</w:t>
      </w:r>
      <w:proofErr w:type="spellEnd"/>
      <w:r w:rsidRPr="0083558E">
        <w:rPr>
          <w:color w:val="1829A8"/>
          <w:sz w:val="20"/>
          <w:szCs w:val="20"/>
          <w:lang w:val="ru-RU"/>
        </w:rPr>
        <w:t>.</w:t>
      </w:r>
      <w:proofErr w:type="spellStart"/>
      <w:r>
        <w:rPr>
          <w:color w:val="1829A8"/>
          <w:sz w:val="20"/>
          <w:szCs w:val="20"/>
        </w:rPr>
        <w:t>ua</w:t>
      </w:r>
      <w:proofErr w:type="spellEnd"/>
    </w:p>
    <w:p w:rsidR="00C86508" w:rsidRDefault="00C86508" w:rsidP="0054449A">
      <w:pPr>
        <w:tabs>
          <w:tab w:val="left" w:pos="993"/>
        </w:tabs>
        <w:jc w:val="center"/>
        <w:rPr>
          <w:b/>
          <w:lang w:val="ru-RU"/>
        </w:rPr>
      </w:pPr>
    </w:p>
    <w:p w:rsidR="00224CCD" w:rsidRPr="00117817" w:rsidRDefault="00CA3A43" w:rsidP="0054449A">
      <w:pPr>
        <w:tabs>
          <w:tab w:val="left" w:pos="993"/>
        </w:tabs>
        <w:jc w:val="center"/>
        <w:rPr>
          <w:b/>
          <w:lang w:val="uk-UA"/>
        </w:rPr>
      </w:pPr>
      <w:r w:rsidRPr="00117817">
        <w:rPr>
          <w:b/>
          <w:lang w:val="uk-UA"/>
        </w:rPr>
        <w:t>ВИСНОВОК</w:t>
      </w:r>
    </w:p>
    <w:p w:rsidR="00AF312C" w:rsidRDefault="00AF312C" w:rsidP="0054449A">
      <w:pPr>
        <w:tabs>
          <w:tab w:val="left" w:pos="993"/>
        </w:tabs>
        <w:jc w:val="center"/>
        <w:rPr>
          <w:b/>
          <w:lang w:val="uk-UA"/>
        </w:rPr>
      </w:pPr>
      <w:r w:rsidRPr="00AF312C">
        <w:rPr>
          <w:b/>
          <w:lang w:val="uk-UA"/>
        </w:rPr>
        <w:t xml:space="preserve">щодо </w:t>
      </w:r>
      <w:proofErr w:type="spellStart"/>
      <w:r w:rsidRPr="00AF312C">
        <w:rPr>
          <w:b/>
          <w:lang w:val="uk-UA"/>
        </w:rPr>
        <w:t>проєкту</w:t>
      </w:r>
      <w:proofErr w:type="spellEnd"/>
      <w:r w:rsidRPr="00AF312C">
        <w:rPr>
          <w:b/>
          <w:lang w:val="uk-UA"/>
        </w:rPr>
        <w:t xml:space="preserve"> Закону України </w:t>
      </w:r>
    </w:p>
    <w:p w:rsidR="00CA3A43" w:rsidRPr="00117817" w:rsidRDefault="007F54BD" w:rsidP="0054449A">
      <w:pPr>
        <w:tabs>
          <w:tab w:val="left" w:pos="993"/>
        </w:tabs>
        <w:jc w:val="center"/>
        <w:rPr>
          <w:lang w:val="uk-UA"/>
        </w:rPr>
      </w:pPr>
      <w:r w:rsidRPr="00117817">
        <w:rPr>
          <w:lang w:val="uk-UA"/>
        </w:rPr>
        <w:t>«</w:t>
      </w:r>
      <w:r w:rsidR="004C55DC" w:rsidRPr="00117817">
        <w:rPr>
          <w:lang w:val="uk-UA"/>
        </w:rPr>
        <w:t>Про</w:t>
      </w:r>
      <w:r w:rsidR="00CF02BF" w:rsidRPr="00CF02BF">
        <w:rPr>
          <w:lang w:val="uk-UA"/>
        </w:rPr>
        <w:t xml:space="preserve"> поштовий зв’язок</w:t>
      </w:r>
      <w:r w:rsidR="00C2777B" w:rsidRPr="00117817">
        <w:rPr>
          <w:bCs/>
          <w:lang w:val="uk-UA"/>
        </w:rPr>
        <w:t>»</w:t>
      </w:r>
    </w:p>
    <w:p w:rsidR="00CA3A43" w:rsidRPr="00117817" w:rsidRDefault="00CA3A43" w:rsidP="0054449A">
      <w:pPr>
        <w:tabs>
          <w:tab w:val="left" w:pos="993"/>
        </w:tabs>
        <w:jc w:val="center"/>
        <w:rPr>
          <w:lang w:val="uk-UA"/>
        </w:rPr>
      </w:pPr>
      <w:r w:rsidRPr="00117817">
        <w:rPr>
          <w:lang w:val="uk-UA"/>
        </w:rPr>
        <w:t xml:space="preserve">(р. </w:t>
      </w:r>
      <w:r w:rsidR="00A028A1">
        <w:rPr>
          <w:lang w:val="uk-UA"/>
        </w:rPr>
        <w:t>№</w:t>
      </w:r>
      <w:r w:rsidR="00A028A1" w:rsidRPr="00A028A1">
        <w:rPr>
          <w:lang w:val="uk-UA"/>
        </w:rPr>
        <w:t xml:space="preserve"> </w:t>
      </w:r>
      <w:r w:rsidR="00566196" w:rsidRPr="00566196">
        <w:rPr>
          <w:lang w:val="uk-UA"/>
        </w:rPr>
        <w:t>4353-1 від 25.11.2020</w:t>
      </w:r>
      <w:r w:rsidR="00024839" w:rsidRPr="00117817">
        <w:rPr>
          <w:lang w:val="uk-UA"/>
        </w:rPr>
        <w:t>,</w:t>
      </w:r>
      <w:r w:rsidRPr="00117817">
        <w:rPr>
          <w:lang w:val="uk-UA"/>
        </w:rPr>
        <w:t xml:space="preserve"> </w:t>
      </w:r>
      <w:proofErr w:type="spellStart"/>
      <w:r w:rsidR="00E5368C">
        <w:rPr>
          <w:lang w:val="uk-UA"/>
        </w:rPr>
        <w:t>н.д</w:t>
      </w:r>
      <w:proofErr w:type="spellEnd"/>
      <w:r w:rsidR="00E5368C">
        <w:rPr>
          <w:lang w:val="uk-UA"/>
        </w:rPr>
        <w:t xml:space="preserve">. </w:t>
      </w:r>
      <w:r w:rsidR="00CF02BF">
        <w:rPr>
          <w:lang w:val="uk-UA"/>
        </w:rPr>
        <w:t>М</w:t>
      </w:r>
      <w:r w:rsidR="00E5368C">
        <w:rPr>
          <w:lang w:val="uk-UA"/>
        </w:rPr>
        <w:t>.</w:t>
      </w:r>
      <w:r w:rsidR="001B4D12" w:rsidRPr="001B4D12">
        <w:rPr>
          <w:lang w:val="uk-UA"/>
        </w:rPr>
        <w:t xml:space="preserve"> </w:t>
      </w:r>
      <w:proofErr w:type="spellStart"/>
      <w:r w:rsidR="00566196" w:rsidRPr="00566196">
        <w:rPr>
          <w:lang w:val="uk-UA"/>
        </w:rPr>
        <w:t>Величкович</w:t>
      </w:r>
      <w:proofErr w:type="spellEnd"/>
      <w:r w:rsidR="001B4D12" w:rsidRPr="001B4D12">
        <w:rPr>
          <w:lang w:val="uk-UA"/>
        </w:rPr>
        <w:t xml:space="preserve"> </w:t>
      </w:r>
      <w:r w:rsidR="00E5368C">
        <w:rPr>
          <w:lang w:val="uk-UA"/>
        </w:rPr>
        <w:t xml:space="preserve">та </w:t>
      </w:r>
      <w:proofErr w:type="spellStart"/>
      <w:r w:rsidR="00E5368C">
        <w:rPr>
          <w:lang w:val="uk-UA"/>
        </w:rPr>
        <w:t>інш</w:t>
      </w:r>
      <w:proofErr w:type="spellEnd"/>
      <w:r w:rsidR="00E5368C">
        <w:rPr>
          <w:lang w:val="uk-UA"/>
        </w:rPr>
        <w:t>.</w:t>
      </w:r>
      <w:r w:rsidRPr="00117817">
        <w:rPr>
          <w:lang w:val="uk-UA"/>
        </w:rPr>
        <w:t>)</w:t>
      </w:r>
    </w:p>
    <w:p w:rsidR="0063772A" w:rsidRPr="00117817" w:rsidRDefault="0063772A" w:rsidP="0054449A">
      <w:pPr>
        <w:tabs>
          <w:tab w:val="left" w:pos="993"/>
        </w:tabs>
        <w:jc w:val="center"/>
        <w:rPr>
          <w:lang w:val="uk-UA"/>
        </w:rPr>
      </w:pPr>
    </w:p>
    <w:p w:rsidR="00CA3A43" w:rsidRPr="00117817" w:rsidRDefault="00CA3A43" w:rsidP="0054449A">
      <w:pPr>
        <w:numPr>
          <w:ilvl w:val="0"/>
          <w:numId w:val="6"/>
        </w:numPr>
        <w:tabs>
          <w:tab w:val="left" w:pos="993"/>
        </w:tabs>
        <w:jc w:val="both"/>
        <w:rPr>
          <w:b/>
          <w:i/>
          <w:lang w:val="uk-UA"/>
        </w:rPr>
      </w:pPr>
      <w:r w:rsidRPr="00117817">
        <w:rPr>
          <w:b/>
          <w:i/>
          <w:lang w:val="uk-UA"/>
        </w:rPr>
        <w:t xml:space="preserve">Загальна характеристика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w:t>
      </w:r>
    </w:p>
    <w:p w:rsidR="00C023BF" w:rsidRPr="00580485" w:rsidRDefault="0054449A" w:rsidP="0054449A">
      <w:pPr>
        <w:tabs>
          <w:tab w:val="left" w:pos="993"/>
        </w:tabs>
        <w:autoSpaceDE w:val="0"/>
        <w:autoSpaceDN w:val="0"/>
        <w:adjustRightInd w:val="0"/>
        <w:ind w:firstLine="737"/>
        <w:jc w:val="both"/>
        <w:rPr>
          <w:lang w:val="uk-UA"/>
        </w:rPr>
      </w:pPr>
      <w:r>
        <w:rPr>
          <w:bCs/>
          <w:color w:val="000000"/>
          <w:lang w:val="uk-UA"/>
        </w:rPr>
        <w:t xml:space="preserve">   </w:t>
      </w:r>
      <w:proofErr w:type="spellStart"/>
      <w:r w:rsidR="009E4289" w:rsidRPr="00117817">
        <w:rPr>
          <w:bCs/>
          <w:color w:val="000000"/>
          <w:lang w:val="uk-UA"/>
        </w:rPr>
        <w:t>Проєкт</w:t>
      </w:r>
      <w:proofErr w:type="spellEnd"/>
      <w:r w:rsidR="009E4289" w:rsidRPr="00117817">
        <w:rPr>
          <w:bCs/>
          <w:color w:val="000000"/>
          <w:lang w:val="uk-UA"/>
        </w:rPr>
        <w:t xml:space="preserve"> закону </w:t>
      </w:r>
      <w:r w:rsidR="00CF02BF">
        <w:rPr>
          <w:bCs/>
          <w:color w:val="000000"/>
          <w:lang w:val="uk-UA"/>
        </w:rPr>
        <w:t xml:space="preserve">розроблено з метою </w:t>
      </w:r>
      <w:r w:rsidR="00CF02BF" w:rsidRPr="00CF02BF">
        <w:rPr>
          <w:bCs/>
          <w:color w:val="000000"/>
          <w:lang w:val="uk-UA"/>
        </w:rPr>
        <w:t>гармонізації національного законодавства із законодавством ЄС у сфері надання послуг поштового зв’язку шляхом імплементації положень Директиви 97/67/ЄС</w:t>
      </w:r>
      <w:r w:rsidR="00B40667">
        <w:rPr>
          <w:lang w:val="uk-UA"/>
        </w:rPr>
        <w:t>.</w:t>
      </w:r>
    </w:p>
    <w:p w:rsidR="00CA3A43" w:rsidRPr="00117817" w:rsidRDefault="00CA3A43" w:rsidP="0054449A">
      <w:pPr>
        <w:numPr>
          <w:ilvl w:val="0"/>
          <w:numId w:val="6"/>
        </w:numPr>
        <w:tabs>
          <w:tab w:val="left" w:pos="993"/>
        </w:tabs>
        <w:spacing w:before="120"/>
        <w:jc w:val="both"/>
        <w:rPr>
          <w:i/>
          <w:lang w:val="uk-UA"/>
        </w:rPr>
      </w:pPr>
      <w:r w:rsidRPr="00117817">
        <w:rPr>
          <w:b/>
          <w:i/>
          <w:lang w:val="uk-UA"/>
        </w:rPr>
        <w:t xml:space="preserve">Належність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 xml:space="preserve"> за предметом правового регулювання до сфери дії законодавства ЄС, зобов’язань України в рамках Ради Європи</w:t>
      </w:r>
      <w:r w:rsidR="008F2985" w:rsidRPr="00117817">
        <w:rPr>
          <w:b/>
          <w:i/>
          <w:lang w:val="uk-UA"/>
        </w:rPr>
        <w:t>, норм та принципів</w:t>
      </w:r>
      <w:r w:rsidR="00C86E17" w:rsidRPr="00117817">
        <w:rPr>
          <w:b/>
          <w:i/>
          <w:lang w:val="uk-UA"/>
        </w:rPr>
        <w:t xml:space="preserve"> системи</w:t>
      </w:r>
      <w:r w:rsidR="008F2985" w:rsidRPr="00117817">
        <w:rPr>
          <w:b/>
          <w:i/>
          <w:lang w:val="uk-UA"/>
        </w:rPr>
        <w:t xml:space="preserve"> ГАТТ/СОТ</w:t>
      </w:r>
      <w:r w:rsidRPr="00117817">
        <w:rPr>
          <w:b/>
          <w:i/>
          <w:lang w:val="uk-UA"/>
        </w:rPr>
        <w:t>.</w:t>
      </w:r>
    </w:p>
    <w:p w:rsidR="00E33508" w:rsidRPr="00117817" w:rsidRDefault="0054449A" w:rsidP="0054449A">
      <w:pPr>
        <w:tabs>
          <w:tab w:val="left" w:pos="360"/>
          <w:tab w:val="left" w:pos="993"/>
        </w:tabs>
        <w:spacing w:before="120"/>
        <w:jc w:val="both"/>
        <w:rPr>
          <w:lang w:val="uk-UA"/>
        </w:rPr>
      </w:pPr>
      <w:r>
        <w:rPr>
          <w:lang w:val="uk-UA"/>
        </w:rPr>
        <w:tab/>
      </w:r>
      <w:r w:rsidR="00FA51A8" w:rsidRPr="00117817">
        <w:rPr>
          <w:lang w:val="uk-UA"/>
        </w:rPr>
        <w:tab/>
      </w:r>
      <w:r w:rsidR="005A37AC" w:rsidRPr="00117817">
        <w:rPr>
          <w:lang w:val="uk-UA"/>
        </w:rPr>
        <w:t xml:space="preserve">Положення </w:t>
      </w:r>
      <w:proofErr w:type="spellStart"/>
      <w:r w:rsidR="000F4084">
        <w:rPr>
          <w:lang w:val="uk-UA"/>
        </w:rPr>
        <w:t>проєкт</w:t>
      </w:r>
      <w:r w:rsidR="005A37AC" w:rsidRPr="00117817">
        <w:rPr>
          <w:lang w:val="uk-UA"/>
        </w:rPr>
        <w:t>у</w:t>
      </w:r>
      <w:proofErr w:type="spellEnd"/>
      <w:r w:rsidR="005A37AC" w:rsidRPr="00117817">
        <w:rPr>
          <w:lang w:val="uk-UA"/>
        </w:rPr>
        <w:t xml:space="preserve"> закону охоплюється міжнародно-правовими зобов’язаннями України у сфері європейської інтеграції, передбаченими </w:t>
      </w:r>
      <w:r w:rsidR="00CB5B42">
        <w:rPr>
          <w:lang w:val="uk-UA"/>
        </w:rPr>
        <w:t xml:space="preserve">положеннями </w:t>
      </w:r>
      <w:r w:rsidR="00CB5B42" w:rsidRPr="00CB5B42">
        <w:rPr>
          <w:lang w:val="uk-UA"/>
        </w:rPr>
        <w:t>Підрозділ</w:t>
      </w:r>
      <w:r w:rsidR="00CB5B42">
        <w:rPr>
          <w:lang w:val="uk-UA"/>
        </w:rPr>
        <w:t>у</w:t>
      </w:r>
      <w:r w:rsidR="00CB5B42" w:rsidRPr="00CB5B42">
        <w:rPr>
          <w:lang w:val="uk-UA"/>
        </w:rPr>
        <w:t xml:space="preserve"> 4</w:t>
      </w:r>
      <w:r w:rsidR="00CB5B42">
        <w:rPr>
          <w:lang w:val="uk-UA"/>
        </w:rPr>
        <w:t xml:space="preserve"> «</w:t>
      </w:r>
      <w:r w:rsidR="00CB5B42" w:rsidRPr="00CB5B42">
        <w:rPr>
          <w:lang w:val="uk-UA"/>
        </w:rPr>
        <w:t>Поштові та кур’єрські послуги</w:t>
      </w:r>
      <w:r w:rsidR="00CB5B42">
        <w:rPr>
          <w:lang w:val="uk-UA"/>
        </w:rPr>
        <w:t>»</w:t>
      </w:r>
      <w:r w:rsidR="005A37AC" w:rsidRPr="00117817">
        <w:rPr>
          <w:lang w:val="uk-UA"/>
        </w:rPr>
        <w:t xml:space="preserve"> Розділу ІV «Торгівля та питання пов’язані з торгівлею» </w:t>
      </w:r>
      <w:r w:rsidR="00CB5B42">
        <w:rPr>
          <w:lang w:val="uk-UA"/>
        </w:rPr>
        <w:t xml:space="preserve">та </w:t>
      </w:r>
      <w:r w:rsidR="00CB5B42" w:rsidRPr="00CB5B42">
        <w:rPr>
          <w:lang w:val="uk-UA"/>
        </w:rPr>
        <w:t>Додатк</w:t>
      </w:r>
      <w:r w:rsidR="00CB5B42">
        <w:rPr>
          <w:lang w:val="uk-UA"/>
        </w:rPr>
        <w:t>ом</w:t>
      </w:r>
      <w:r w:rsidR="00CB5B42" w:rsidRPr="00CB5B42">
        <w:rPr>
          <w:lang w:val="uk-UA"/>
        </w:rPr>
        <w:t xml:space="preserve"> XVІІ</w:t>
      </w:r>
      <w:r w:rsidR="00CB5B42">
        <w:rPr>
          <w:lang w:val="uk-UA"/>
        </w:rPr>
        <w:t xml:space="preserve"> </w:t>
      </w:r>
      <w:r>
        <w:rPr>
          <w:lang w:val="uk-UA"/>
        </w:rPr>
        <w:t xml:space="preserve">до </w:t>
      </w:r>
      <w:r w:rsidR="005A37AC" w:rsidRPr="00117817">
        <w:rPr>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7537FA" w:rsidRPr="00117817" w:rsidRDefault="007537FA" w:rsidP="0054449A">
      <w:pPr>
        <w:numPr>
          <w:ilvl w:val="0"/>
          <w:numId w:val="6"/>
        </w:numPr>
        <w:tabs>
          <w:tab w:val="left" w:pos="993"/>
        </w:tabs>
        <w:spacing w:before="120"/>
        <w:jc w:val="both"/>
        <w:rPr>
          <w:b/>
          <w:i/>
          <w:lang w:val="uk-UA"/>
        </w:rPr>
      </w:pPr>
      <w:r w:rsidRPr="00117817">
        <w:rPr>
          <w:b/>
          <w:i/>
          <w:lang w:val="uk-UA"/>
        </w:rPr>
        <w:t xml:space="preserve">Відповідність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 xml:space="preserve"> праву ЄС, зобов’язанням України в рамках Ради Європи, нормам та принципам системи ГАТТ/СОТ.</w:t>
      </w:r>
      <w:r w:rsidRPr="00117817">
        <w:rPr>
          <w:b/>
          <w:i/>
          <w:lang w:val="uk-UA"/>
        </w:rPr>
        <w:tab/>
      </w:r>
    </w:p>
    <w:p w:rsidR="007E1EA0" w:rsidRDefault="0054449A" w:rsidP="0054449A">
      <w:pPr>
        <w:tabs>
          <w:tab w:val="left" w:pos="360"/>
          <w:tab w:val="left" w:pos="993"/>
        </w:tabs>
        <w:jc w:val="both"/>
        <w:rPr>
          <w:lang w:val="uk-UA"/>
        </w:rPr>
      </w:pPr>
      <w:r>
        <w:rPr>
          <w:lang w:val="uk-UA"/>
        </w:rPr>
        <w:tab/>
      </w:r>
      <w:r w:rsidR="00352DF7">
        <w:rPr>
          <w:lang w:val="uk-UA"/>
        </w:rPr>
        <w:tab/>
      </w:r>
      <w:r w:rsidR="00CB5B42">
        <w:rPr>
          <w:lang w:val="uk-UA"/>
        </w:rPr>
        <w:t xml:space="preserve">Статтями 109-115 Угоди про асоціацію передбачено </w:t>
      </w:r>
      <w:r w:rsidR="00352DF7" w:rsidRPr="00352DF7">
        <w:rPr>
          <w:lang w:val="uk-UA"/>
        </w:rPr>
        <w:t>викладені принципи нормативно-правової бази для всіх поштових та кур’єрських послуг</w:t>
      </w:r>
      <w:r w:rsidR="00352DF7">
        <w:rPr>
          <w:lang w:val="uk-UA"/>
        </w:rPr>
        <w:t xml:space="preserve">, в тому числі щодо надання універсальної послуги, а також визначено, що </w:t>
      </w:r>
      <w:r w:rsidR="00352DF7" w:rsidRPr="00352DF7">
        <w:rPr>
          <w:lang w:val="uk-UA"/>
        </w:rPr>
        <w:t xml:space="preserve">адаптація </w:t>
      </w:r>
      <w:r w:rsidR="00352DF7">
        <w:rPr>
          <w:lang w:val="uk-UA"/>
        </w:rPr>
        <w:t xml:space="preserve">національного законодавства </w:t>
      </w:r>
      <w:r w:rsidR="00352DF7" w:rsidRPr="00352DF7">
        <w:rPr>
          <w:lang w:val="uk-UA"/>
        </w:rPr>
        <w:t xml:space="preserve">розпочнеться з дати підписання цієї Угоди, і поступово пошириться на всі елементи </w:t>
      </w:r>
      <w:proofErr w:type="spellStart"/>
      <w:r w:rsidR="00352DF7" w:rsidRPr="00352DF7">
        <w:rPr>
          <w:lang w:val="uk-UA"/>
        </w:rPr>
        <w:t>acquis</w:t>
      </w:r>
      <w:proofErr w:type="spellEnd"/>
      <w:r w:rsidR="00352DF7" w:rsidRPr="00352DF7">
        <w:rPr>
          <w:lang w:val="uk-UA"/>
        </w:rPr>
        <w:t xml:space="preserve"> ЄС, зазначені у Додатку XVІІ до цієї Угоди</w:t>
      </w:r>
      <w:r w:rsidR="00352DF7">
        <w:rPr>
          <w:lang w:val="uk-UA"/>
        </w:rPr>
        <w:t>.</w:t>
      </w:r>
    </w:p>
    <w:p w:rsidR="00CB5B42" w:rsidRPr="00CB5B42" w:rsidRDefault="0054449A" w:rsidP="0054449A">
      <w:pPr>
        <w:tabs>
          <w:tab w:val="left" w:pos="360"/>
          <w:tab w:val="left" w:pos="993"/>
        </w:tabs>
        <w:jc w:val="both"/>
        <w:rPr>
          <w:lang w:val="uk-UA"/>
        </w:rPr>
      </w:pPr>
      <w:r>
        <w:rPr>
          <w:lang w:val="uk-UA"/>
        </w:rPr>
        <w:tab/>
      </w:r>
      <w:r w:rsidR="00352DF7">
        <w:rPr>
          <w:lang w:val="uk-UA"/>
        </w:rPr>
        <w:tab/>
      </w:r>
      <w:r w:rsidR="00CB5B42" w:rsidRPr="00CB5B42">
        <w:rPr>
          <w:lang w:val="uk-UA"/>
        </w:rPr>
        <w:t>Додатком XVІІ Угоди про асоціацію</w:t>
      </w:r>
      <w:r w:rsidR="000E3BE2" w:rsidRPr="000E3BE2">
        <w:rPr>
          <w:lang w:val="uk-UA"/>
        </w:rPr>
        <w:t xml:space="preserve"> </w:t>
      </w:r>
      <w:r w:rsidR="00CB5B42">
        <w:rPr>
          <w:lang w:val="uk-UA"/>
        </w:rPr>
        <w:t xml:space="preserve">передбачається, що </w:t>
      </w:r>
      <w:r w:rsidR="00CB5B42" w:rsidRPr="00CB5B42">
        <w:rPr>
          <w:lang w:val="uk-UA"/>
        </w:rPr>
        <w:t>протягом 2 років з дати набрання чинності Угодою</w:t>
      </w:r>
      <w:r w:rsidR="00CB5B42">
        <w:rPr>
          <w:lang w:val="uk-UA"/>
        </w:rPr>
        <w:t xml:space="preserve"> повинні бути впроваджені</w:t>
      </w:r>
      <w:r w:rsidR="00352DF7">
        <w:rPr>
          <w:lang w:val="uk-UA"/>
        </w:rPr>
        <w:t xml:space="preserve"> наступні директиви:</w:t>
      </w:r>
      <w:r w:rsidR="00CB5B42">
        <w:rPr>
          <w:lang w:val="uk-UA"/>
        </w:rPr>
        <w:t xml:space="preserve"> </w:t>
      </w:r>
      <w:r w:rsidR="00CB5B42" w:rsidRPr="00CB5B42">
        <w:rPr>
          <w:lang w:val="uk-UA"/>
        </w:rPr>
        <w:t>Директива № 97/67/ЄС Європейського Парламенту та Ради від 15 грудня 1997 року про спільні правила розвитку внутрішнього ринку поштових послуг Співтовариства та  вдосконалення  якості  послуг</w:t>
      </w:r>
      <w:r w:rsidR="00CB5B42">
        <w:rPr>
          <w:lang w:val="uk-UA"/>
        </w:rPr>
        <w:t xml:space="preserve">, </w:t>
      </w:r>
      <w:r w:rsidR="00CB5B42" w:rsidRPr="00CB5B42">
        <w:rPr>
          <w:lang w:val="uk-UA"/>
        </w:rPr>
        <w:t xml:space="preserve">Директива № 2002/39/ЄС Європейського Парламенту та Ради від 10 червня 2002 року, якою вносяться зміни до Директиви № 97/67/ЄС щодо подальшої відкритої конкуренції поштових послуг </w:t>
      </w:r>
      <w:r w:rsidR="00CB5B42" w:rsidRPr="00CB5B42">
        <w:rPr>
          <w:lang w:val="uk-UA"/>
        </w:rPr>
        <w:lastRenderedPageBreak/>
        <w:t>Співтовариства</w:t>
      </w:r>
      <w:r w:rsidR="00CB5B42">
        <w:rPr>
          <w:lang w:val="uk-UA"/>
        </w:rPr>
        <w:t xml:space="preserve"> та  </w:t>
      </w:r>
      <w:r w:rsidR="00CB5B42" w:rsidRPr="00CB5B42">
        <w:rPr>
          <w:lang w:val="uk-UA"/>
        </w:rPr>
        <w:t>Директива № 2008/6/ЄС Європейського Парламенту та Ради від 20 лютого 2008 року, якою вносяться зміни до Директиви № 97/67/ЄС про повне завершення формування  внутрішнього ринку поштових послуг Співтовариства</w:t>
      </w:r>
      <w:r w:rsidR="00CB5B42">
        <w:rPr>
          <w:lang w:val="uk-UA"/>
        </w:rPr>
        <w:t>.</w:t>
      </w:r>
    </w:p>
    <w:p w:rsidR="007E1EA0" w:rsidRDefault="0054449A" w:rsidP="0054449A">
      <w:pPr>
        <w:tabs>
          <w:tab w:val="left" w:pos="360"/>
          <w:tab w:val="left" w:pos="993"/>
        </w:tabs>
        <w:jc w:val="both"/>
        <w:rPr>
          <w:lang w:val="uk-UA"/>
        </w:rPr>
      </w:pPr>
      <w:r>
        <w:rPr>
          <w:lang w:val="uk-UA"/>
        </w:rPr>
        <w:tab/>
      </w:r>
      <w:r w:rsidR="00292BD9">
        <w:rPr>
          <w:lang w:val="uk-UA"/>
        </w:rPr>
        <w:tab/>
      </w:r>
      <w:proofErr w:type="spellStart"/>
      <w:r w:rsidR="00A46322">
        <w:rPr>
          <w:lang w:val="uk-UA"/>
        </w:rPr>
        <w:t>Проєкт</w:t>
      </w:r>
      <w:r w:rsidR="007E1EA0" w:rsidRPr="007E1EA0">
        <w:rPr>
          <w:lang w:val="uk-UA"/>
        </w:rPr>
        <w:t>ом</w:t>
      </w:r>
      <w:proofErr w:type="spellEnd"/>
      <w:r w:rsidR="007E1EA0" w:rsidRPr="007E1EA0">
        <w:rPr>
          <w:lang w:val="uk-UA"/>
        </w:rPr>
        <w:t xml:space="preserve"> Закону пропонується визначити правову основу діяльності у сфері надання послуг поштового зв’язку, зокрема повноваження центральних органів виконавчої влади та національного регулятора; права та обов’язки операторів поштового зв’язку та користувачів зазначених  послуг; врегулювати засади відповідальності операторів поштового зв’язку та користувачів послуг у цій сфері</w:t>
      </w:r>
      <w:r w:rsidR="007E1EA0">
        <w:rPr>
          <w:lang w:val="uk-UA"/>
        </w:rPr>
        <w:t xml:space="preserve">; </w:t>
      </w:r>
      <w:r w:rsidR="007E1EA0" w:rsidRPr="007E1EA0">
        <w:rPr>
          <w:lang w:val="uk-UA"/>
        </w:rPr>
        <w:t>визначає повноваження національного регулятора встановлювати граничні ціни (тарифи) на пересилання простих та рекомендованих листів масою до 50 грамів та поштових карток</w:t>
      </w:r>
      <w:r w:rsidR="007E1EA0">
        <w:rPr>
          <w:lang w:val="uk-UA"/>
        </w:rPr>
        <w:t xml:space="preserve">, а також </w:t>
      </w:r>
      <w:r w:rsidR="007E1EA0" w:rsidRPr="007E1EA0">
        <w:rPr>
          <w:lang w:val="uk-UA"/>
        </w:rPr>
        <w:t>передбачає, що універсальні послуги поштового зв’язку надаються призначеним оператором поштового зв’язку, який визначається  Кабінетом Міністрів України.</w:t>
      </w:r>
      <w:r>
        <w:rPr>
          <w:lang w:val="uk-UA"/>
        </w:rPr>
        <w:t xml:space="preserve"> </w:t>
      </w:r>
      <w:proofErr w:type="spellStart"/>
      <w:r w:rsidR="00A46322">
        <w:rPr>
          <w:lang w:val="uk-UA"/>
        </w:rPr>
        <w:t>Проєкт</w:t>
      </w:r>
      <w:proofErr w:type="spellEnd"/>
      <w:r w:rsidR="007E1EA0" w:rsidRPr="007E1EA0">
        <w:rPr>
          <w:lang w:val="uk-UA"/>
        </w:rPr>
        <w:t xml:space="preserve"> </w:t>
      </w:r>
      <w:r>
        <w:rPr>
          <w:lang w:val="uk-UA"/>
        </w:rPr>
        <w:t xml:space="preserve">також </w:t>
      </w:r>
      <w:r w:rsidR="007E1EA0" w:rsidRPr="007E1EA0">
        <w:rPr>
          <w:lang w:val="uk-UA"/>
        </w:rPr>
        <w:t>Закону містить положення щодо відповідальності користувачів, зокрема, за збитки, завдані операторам поштового зв’язку або третім особам внаслідок вкладення до поштових відправлень предметів, заборонених до пересилання, або неналежного упакування вкладення, що пересилається, та відповідальності операторів поштового зв’язку перед користувачами за невиконання чи неналежне виконання своїх обов’язків.</w:t>
      </w:r>
    </w:p>
    <w:p w:rsidR="005F6F83" w:rsidRDefault="0054449A" w:rsidP="0054449A">
      <w:pPr>
        <w:tabs>
          <w:tab w:val="left" w:pos="360"/>
          <w:tab w:val="left" w:pos="993"/>
        </w:tabs>
        <w:jc w:val="both"/>
        <w:rPr>
          <w:lang w:val="uk-UA"/>
        </w:rPr>
      </w:pPr>
      <w:r>
        <w:rPr>
          <w:lang w:val="uk-UA"/>
        </w:rPr>
        <w:tab/>
      </w:r>
      <w:r w:rsidR="007E1EA0">
        <w:rPr>
          <w:lang w:val="uk-UA"/>
        </w:rPr>
        <w:tab/>
        <w:t xml:space="preserve">Водночас, </w:t>
      </w:r>
      <w:proofErr w:type="spellStart"/>
      <w:r w:rsidR="007E1EA0">
        <w:rPr>
          <w:lang w:val="uk-UA"/>
        </w:rPr>
        <w:t>проєкт</w:t>
      </w:r>
      <w:proofErr w:type="spellEnd"/>
      <w:r w:rsidR="007E1EA0">
        <w:rPr>
          <w:lang w:val="uk-UA"/>
        </w:rPr>
        <w:t xml:space="preserve"> закону не повною мірою враховує вимоги </w:t>
      </w:r>
      <w:r w:rsidR="007E1EA0" w:rsidRPr="007E1EA0">
        <w:rPr>
          <w:lang w:val="uk-UA"/>
        </w:rPr>
        <w:t>Директиви 97/67/ЄС</w:t>
      </w:r>
      <w:r w:rsidR="007E1EA0">
        <w:rPr>
          <w:lang w:val="uk-UA"/>
        </w:rPr>
        <w:t xml:space="preserve"> та зобов’язання України в рамках Угоди про асоціацію. </w:t>
      </w:r>
    </w:p>
    <w:p w:rsidR="005F6F83" w:rsidRDefault="0054449A" w:rsidP="0054449A">
      <w:pPr>
        <w:tabs>
          <w:tab w:val="left" w:pos="360"/>
          <w:tab w:val="left" w:pos="993"/>
        </w:tabs>
        <w:jc w:val="both"/>
        <w:rPr>
          <w:lang w:val="uk-UA"/>
        </w:rPr>
      </w:pPr>
      <w:r>
        <w:rPr>
          <w:lang w:val="uk-UA"/>
        </w:rPr>
        <w:tab/>
      </w:r>
      <w:r w:rsidR="005F6F83">
        <w:rPr>
          <w:lang w:val="uk-UA"/>
        </w:rPr>
        <w:tab/>
      </w:r>
      <w:r>
        <w:rPr>
          <w:lang w:val="uk-UA"/>
        </w:rPr>
        <w:t>Так</w:t>
      </w:r>
      <w:r w:rsidR="007E1EA0">
        <w:rPr>
          <w:lang w:val="uk-UA"/>
        </w:rPr>
        <w:t xml:space="preserve">, </w:t>
      </w:r>
      <w:r w:rsidR="005F6F83" w:rsidRPr="005F6F83">
        <w:rPr>
          <w:lang w:val="uk-UA"/>
        </w:rPr>
        <w:t xml:space="preserve">Статтею 112 Угоди про асоціацію встановлено, що для послуг, що підпадають під сферу дії універсальної послуги </w:t>
      </w:r>
      <w:r w:rsidR="005F6F83">
        <w:rPr>
          <w:lang w:val="uk-UA"/>
        </w:rPr>
        <w:t>надається</w:t>
      </w:r>
      <w:r w:rsidR="005F6F83" w:rsidRPr="005F6F83">
        <w:rPr>
          <w:lang w:val="uk-UA"/>
        </w:rPr>
        <w:t xml:space="preserve"> ліцензія</w:t>
      </w:r>
      <w:r w:rsidR="005F6F83">
        <w:rPr>
          <w:lang w:val="uk-UA"/>
        </w:rPr>
        <w:t xml:space="preserve"> та встановлені умови щодо</w:t>
      </w:r>
      <w:r w:rsidR="00E038F7">
        <w:rPr>
          <w:lang w:val="uk-UA"/>
        </w:rPr>
        <w:t xml:space="preserve"> її надання, </w:t>
      </w:r>
      <w:r w:rsidR="005F6F83" w:rsidRPr="005F6F83">
        <w:rPr>
          <w:lang w:val="uk-UA"/>
        </w:rPr>
        <w:t xml:space="preserve">відмови у видачі ліцензії </w:t>
      </w:r>
      <w:r w:rsidR="00E038F7">
        <w:rPr>
          <w:lang w:val="uk-UA"/>
        </w:rPr>
        <w:t>та</w:t>
      </w:r>
      <w:r w:rsidR="005F6F83" w:rsidRPr="005F6F83">
        <w:rPr>
          <w:lang w:val="uk-UA"/>
        </w:rPr>
        <w:t xml:space="preserve"> процедура оскарження через незалежний орган</w:t>
      </w:r>
      <w:r w:rsidR="00E038F7">
        <w:rPr>
          <w:lang w:val="uk-UA"/>
        </w:rPr>
        <w:t xml:space="preserve">. </w:t>
      </w:r>
      <w:r w:rsidR="005F6F83" w:rsidRPr="005F6F83">
        <w:rPr>
          <w:lang w:val="uk-UA"/>
        </w:rPr>
        <w:t xml:space="preserve">Водночас, положеннями </w:t>
      </w:r>
      <w:proofErr w:type="spellStart"/>
      <w:r w:rsidR="005F6F83" w:rsidRPr="005F6F83">
        <w:rPr>
          <w:lang w:val="uk-UA"/>
        </w:rPr>
        <w:t>законо</w:t>
      </w:r>
      <w:r w:rsidR="00A46322">
        <w:rPr>
          <w:lang w:val="uk-UA"/>
        </w:rPr>
        <w:t>проєкт</w:t>
      </w:r>
      <w:r w:rsidR="005F6F83" w:rsidRPr="005F6F83">
        <w:rPr>
          <w:lang w:val="uk-UA"/>
        </w:rPr>
        <w:t>у</w:t>
      </w:r>
      <w:proofErr w:type="spellEnd"/>
      <w:r w:rsidR="005F6F83" w:rsidRPr="005F6F83">
        <w:rPr>
          <w:lang w:val="uk-UA"/>
        </w:rPr>
        <w:t xml:space="preserve"> (статті 14-17) не врегульована процедура видачі такої ліцензії для надавачів універсальних послуг та порядок оскарження у випадку ненадання такої ліцензії. </w:t>
      </w:r>
    </w:p>
    <w:p w:rsidR="007E1EA0" w:rsidRDefault="005F6F83" w:rsidP="0054449A">
      <w:pPr>
        <w:tabs>
          <w:tab w:val="left" w:pos="360"/>
          <w:tab w:val="left" w:pos="993"/>
        </w:tabs>
        <w:jc w:val="both"/>
        <w:rPr>
          <w:lang w:val="uk-UA"/>
        </w:rPr>
      </w:pPr>
      <w:r>
        <w:rPr>
          <w:lang w:val="uk-UA"/>
        </w:rPr>
        <w:tab/>
      </w:r>
      <w:r w:rsidR="0054449A">
        <w:rPr>
          <w:lang w:val="uk-UA"/>
        </w:rPr>
        <w:tab/>
      </w:r>
      <w:r w:rsidR="00B10B64">
        <w:rPr>
          <w:lang w:val="uk-UA"/>
        </w:rPr>
        <w:t xml:space="preserve">З метою </w:t>
      </w:r>
      <w:r w:rsidR="00B10B64" w:rsidRPr="00B10B64">
        <w:rPr>
          <w:lang w:val="uk-UA"/>
        </w:rPr>
        <w:t xml:space="preserve">забезпечення </w:t>
      </w:r>
      <w:r w:rsidR="00B10B64">
        <w:rPr>
          <w:lang w:val="uk-UA"/>
        </w:rPr>
        <w:t xml:space="preserve">застосування </w:t>
      </w:r>
      <w:r w:rsidR="00B10B64" w:rsidRPr="00B10B64">
        <w:rPr>
          <w:lang w:val="uk-UA"/>
        </w:rPr>
        <w:t>всіх елементів універсальних послуг поштового зв’язку</w:t>
      </w:r>
      <w:r w:rsidR="00B10B64">
        <w:rPr>
          <w:lang w:val="uk-UA"/>
        </w:rPr>
        <w:t xml:space="preserve"> відповідно до</w:t>
      </w:r>
      <w:r w:rsidR="00B10B64" w:rsidRPr="00B10B64">
        <w:rPr>
          <w:lang w:val="uk-UA"/>
        </w:rPr>
        <w:t xml:space="preserve"> Директиви 97/67/ЄС</w:t>
      </w:r>
      <w:r w:rsidR="00B10B64">
        <w:rPr>
          <w:lang w:val="uk-UA"/>
        </w:rPr>
        <w:t xml:space="preserve">, </w:t>
      </w:r>
      <w:proofErr w:type="spellStart"/>
      <w:r w:rsidR="00B10B64">
        <w:rPr>
          <w:lang w:val="uk-UA"/>
        </w:rPr>
        <w:t>з</w:t>
      </w:r>
      <w:r>
        <w:rPr>
          <w:lang w:val="uk-UA"/>
        </w:rPr>
        <w:t>аконо</w:t>
      </w:r>
      <w:r w:rsidR="00A46322">
        <w:rPr>
          <w:lang w:val="uk-UA"/>
        </w:rPr>
        <w:t>проєкт</w:t>
      </w:r>
      <w:proofErr w:type="spellEnd"/>
      <w:r>
        <w:rPr>
          <w:lang w:val="uk-UA"/>
        </w:rPr>
        <w:t xml:space="preserve"> потребує подальшого уточнення </w:t>
      </w:r>
      <w:r w:rsidR="00260A61">
        <w:rPr>
          <w:lang w:val="uk-UA"/>
        </w:rPr>
        <w:t>таких термінів як «</w:t>
      </w:r>
      <w:r w:rsidR="00260A61" w:rsidRPr="00260A61">
        <w:rPr>
          <w:lang w:val="uk-UA"/>
        </w:rPr>
        <w:t>провайдер поштових послуг</w:t>
      </w:r>
      <w:r w:rsidR="00260A61">
        <w:rPr>
          <w:lang w:val="uk-UA"/>
        </w:rPr>
        <w:t>», «</w:t>
      </w:r>
      <w:r w:rsidR="00260A61" w:rsidRPr="00260A61">
        <w:rPr>
          <w:lang w:val="uk-UA"/>
        </w:rPr>
        <w:t>одиниця кореспонденції</w:t>
      </w:r>
      <w:r w:rsidR="00260A61">
        <w:rPr>
          <w:lang w:val="uk-UA"/>
        </w:rPr>
        <w:t>», «</w:t>
      </w:r>
      <w:r w:rsidR="00260A61" w:rsidRPr="00260A61">
        <w:rPr>
          <w:lang w:val="uk-UA"/>
        </w:rPr>
        <w:t>рекомендоване відправлення</w:t>
      </w:r>
      <w:r w:rsidR="00260A61">
        <w:rPr>
          <w:lang w:val="uk-UA"/>
        </w:rPr>
        <w:t>», «</w:t>
      </w:r>
      <w:r w:rsidR="00260A61" w:rsidRPr="00260A61">
        <w:rPr>
          <w:lang w:val="uk-UA"/>
        </w:rPr>
        <w:t>виймання</w:t>
      </w:r>
      <w:r w:rsidR="00260A61">
        <w:rPr>
          <w:lang w:val="uk-UA"/>
        </w:rPr>
        <w:t>», «</w:t>
      </w:r>
      <w:r w:rsidR="00260A61" w:rsidRPr="00260A61">
        <w:rPr>
          <w:lang w:val="uk-UA"/>
        </w:rPr>
        <w:t>видача</w:t>
      </w:r>
      <w:r w:rsidR="00260A61">
        <w:rPr>
          <w:lang w:val="uk-UA"/>
        </w:rPr>
        <w:t>», «</w:t>
      </w:r>
      <w:r w:rsidR="00260A61" w:rsidRPr="00260A61">
        <w:rPr>
          <w:lang w:val="uk-UA"/>
        </w:rPr>
        <w:t>відправлення з оголошеною вартістю</w:t>
      </w:r>
      <w:r w:rsidR="00260A61">
        <w:rPr>
          <w:lang w:val="uk-UA"/>
        </w:rPr>
        <w:t>», «</w:t>
      </w:r>
      <w:r w:rsidR="00260A61" w:rsidRPr="00260A61">
        <w:rPr>
          <w:lang w:val="uk-UA"/>
        </w:rPr>
        <w:t>провайдер загального обслуговування</w:t>
      </w:r>
      <w:r w:rsidR="00260A61">
        <w:rPr>
          <w:lang w:val="uk-UA"/>
        </w:rPr>
        <w:t>», «</w:t>
      </w:r>
      <w:r w:rsidR="00260A61" w:rsidRPr="00260A61">
        <w:rPr>
          <w:lang w:val="uk-UA"/>
        </w:rPr>
        <w:t>дозволи</w:t>
      </w:r>
      <w:r w:rsidR="00260A61">
        <w:rPr>
          <w:lang w:val="uk-UA"/>
        </w:rPr>
        <w:t xml:space="preserve">», </w:t>
      </w:r>
      <w:r w:rsidR="00260A61" w:rsidRPr="00260A61">
        <w:rPr>
          <w:lang w:val="uk-UA"/>
        </w:rPr>
        <w:t>«загальний дозвіл»</w:t>
      </w:r>
      <w:r w:rsidR="00260A61">
        <w:rPr>
          <w:lang w:val="uk-UA"/>
        </w:rPr>
        <w:t xml:space="preserve">, </w:t>
      </w:r>
      <w:r w:rsidR="00260A61" w:rsidRPr="00260A61">
        <w:rPr>
          <w:lang w:val="uk-UA"/>
        </w:rPr>
        <w:t>«індивідуальна ліцензія»</w:t>
      </w:r>
      <w:r w:rsidR="00260A61">
        <w:rPr>
          <w:lang w:val="uk-UA"/>
        </w:rPr>
        <w:t>, «</w:t>
      </w:r>
      <w:r w:rsidR="00260A61" w:rsidRPr="00260A61">
        <w:rPr>
          <w:lang w:val="uk-UA"/>
        </w:rPr>
        <w:t>кінцеві витрати</w:t>
      </w:r>
      <w:r w:rsidR="00260A61">
        <w:rPr>
          <w:lang w:val="uk-UA"/>
        </w:rPr>
        <w:t>»</w:t>
      </w:r>
      <w:r>
        <w:rPr>
          <w:lang w:val="uk-UA"/>
        </w:rPr>
        <w:t>.</w:t>
      </w:r>
    </w:p>
    <w:p w:rsidR="005F6F83" w:rsidRDefault="005F6F83" w:rsidP="0054449A">
      <w:pPr>
        <w:tabs>
          <w:tab w:val="left" w:pos="360"/>
          <w:tab w:val="left" w:pos="993"/>
        </w:tabs>
        <w:jc w:val="both"/>
        <w:rPr>
          <w:lang w:val="uk-UA"/>
        </w:rPr>
      </w:pPr>
      <w:r>
        <w:rPr>
          <w:lang w:val="uk-UA"/>
        </w:rPr>
        <w:tab/>
      </w:r>
      <w:r w:rsidR="0054449A">
        <w:rPr>
          <w:lang w:val="uk-UA"/>
        </w:rPr>
        <w:tab/>
      </w:r>
      <w:r w:rsidR="00B10B64">
        <w:rPr>
          <w:lang w:val="uk-UA"/>
        </w:rPr>
        <w:t xml:space="preserve">Положення </w:t>
      </w:r>
      <w:proofErr w:type="spellStart"/>
      <w:r w:rsidR="00A46322">
        <w:rPr>
          <w:lang w:val="uk-UA"/>
        </w:rPr>
        <w:t>проєкт</w:t>
      </w:r>
      <w:r w:rsidR="00E038F7" w:rsidRPr="00E038F7">
        <w:rPr>
          <w:lang w:val="uk-UA"/>
        </w:rPr>
        <w:t>у</w:t>
      </w:r>
      <w:proofErr w:type="spellEnd"/>
      <w:r w:rsidR="00E038F7" w:rsidRPr="00E038F7">
        <w:rPr>
          <w:lang w:val="uk-UA"/>
        </w:rPr>
        <w:t xml:space="preserve"> </w:t>
      </w:r>
      <w:r w:rsidR="00451343">
        <w:rPr>
          <w:lang w:val="uk-UA"/>
        </w:rPr>
        <w:t>з</w:t>
      </w:r>
      <w:r w:rsidR="00E038F7" w:rsidRPr="00E038F7">
        <w:rPr>
          <w:lang w:val="uk-UA"/>
        </w:rPr>
        <w:t>акону, як</w:t>
      </w:r>
      <w:r w:rsidR="00B10B64">
        <w:rPr>
          <w:lang w:val="uk-UA"/>
        </w:rPr>
        <w:t>і</w:t>
      </w:r>
      <w:r w:rsidR="00E038F7" w:rsidRPr="00E038F7">
        <w:rPr>
          <w:lang w:val="uk-UA"/>
        </w:rPr>
        <w:t xml:space="preserve"> визнача</w:t>
      </w:r>
      <w:r w:rsidR="00B10B64">
        <w:rPr>
          <w:lang w:val="uk-UA"/>
        </w:rPr>
        <w:t>ють</w:t>
      </w:r>
      <w:r w:rsidR="00E038F7" w:rsidRPr="00E038F7">
        <w:rPr>
          <w:lang w:val="uk-UA"/>
        </w:rPr>
        <w:t xml:space="preserve"> засади надання універсальних послуг</w:t>
      </w:r>
      <w:r w:rsidR="0054449A">
        <w:rPr>
          <w:lang w:val="uk-UA"/>
        </w:rPr>
        <w:t xml:space="preserve"> </w:t>
      </w:r>
      <w:r w:rsidR="00E038F7" w:rsidRPr="00E038F7">
        <w:rPr>
          <w:lang w:val="uk-UA"/>
        </w:rPr>
        <w:t>поштового зв’язку і опису</w:t>
      </w:r>
      <w:r w:rsidR="00B10B64">
        <w:rPr>
          <w:lang w:val="uk-UA"/>
        </w:rPr>
        <w:t>ють</w:t>
      </w:r>
      <w:r w:rsidR="00E038F7" w:rsidRPr="00E038F7">
        <w:rPr>
          <w:lang w:val="uk-UA"/>
        </w:rPr>
        <w:t xml:space="preserve"> сферу </w:t>
      </w:r>
      <w:r w:rsidR="008C7A30">
        <w:rPr>
          <w:lang w:val="uk-UA"/>
        </w:rPr>
        <w:t>застосування</w:t>
      </w:r>
      <w:r w:rsidR="00E038F7" w:rsidRPr="00E038F7">
        <w:rPr>
          <w:lang w:val="uk-UA"/>
        </w:rPr>
        <w:t xml:space="preserve"> універсальних послуг поштового зв’язку</w:t>
      </w:r>
      <w:r w:rsidR="00E038F7">
        <w:rPr>
          <w:lang w:val="uk-UA"/>
        </w:rPr>
        <w:t xml:space="preserve"> </w:t>
      </w:r>
      <w:r w:rsidR="00E038F7" w:rsidRPr="00E038F7">
        <w:rPr>
          <w:lang w:val="uk-UA"/>
        </w:rPr>
        <w:t>в Україні, повинн</w:t>
      </w:r>
      <w:r w:rsidR="00B10B64">
        <w:rPr>
          <w:lang w:val="uk-UA"/>
        </w:rPr>
        <w:t>і</w:t>
      </w:r>
      <w:r w:rsidR="00E038F7" w:rsidRPr="00E038F7">
        <w:rPr>
          <w:lang w:val="uk-UA"/>
        </w:rPr>
        <w:t xml:space="preserve"> бути доповнен</w:t>
      </w:r>
      <w:r w:rsidR="00B10B64">
        <w:rPr>
          <w:lang w:val="uk-UA"/>
        </w:rPr>
        <w:t>і</w:t>
      </w:r>
      <w:r w:rsidR="00E038F7" w:rsidRPr="00E038F7">
        <w:rPr>
          <w:lang w:val="uk-UA"/>
        </w:rPr>
        <w:t xml:space="preserve"> додатковими положеннями для забезпечення</w:t>
      </w:r>
      <w:r w:rsidR="00E038F7">
        <w:rPr>
          <w:lang w:val="uk-UA"/>
        </w:rPr>
        <w:t xml:space="preserve"> </w:t>
      </w:r>
      <w:r w:rsidR="00E038F7" w:rsidRPr="00E038F7">
        <w:rPr>
          <w:lang w:val="uk-UA"/>
        </w:rPr>
        <w:t>повного охоплення нею всіх відсутніх елементів універсальних послуг поштового</w:t>
      </w:r>
      <w:r w:rsidR="00E038F7">
        <w:rPr>
          <w:lang w:val="uk-UA"/>
        </w:rPr>
        <w:t xml:space="preserve"> </w:t>
      </w:r>
      <w:r w:rsidR="00E038F7" w:rsidRPr="00E038F7">
        <w:rPr>
          <w:lang w:val="uk-UA"/>
        </w:rPr>
        <w:t>зв’язку, які повинні обов’язково надаватися згідно зі статтею 3 Директиви</w:t>
      </w:r>
      <w:r w:rsidR="00B10B64">
        <w:rPr>
          <w:lang w:val="uk-UA"/>
        </w:rPr>
        <w:t xml:space="preserve">, а також виконання норм щодо </w:t>
      </w:r>
      <w:r w:rsidR="00B10B64" w:rsidRPr="00B10B64">
        <w:rPr>
          <w:lang w:val="uk-UA"/>
        </w:rPr>
        <w:t>обчислення собівартості загального обслуговування</w:t>
      </w:r>
      <w:r w:rsidR="00B10B64">
        <w:rPr>
          <w:lang w:val="uk-UA"/>
        </w:rPr>
        <w:t xml:space="preserve"> та с</w:t>
      </w:r>
      <w:r w:rsidR="00B10B64" w:rsidRPr="00B10B64">
        <w:rPr>
          <w:lang w:val="uk-UA"/>
        </w:rPr>
        <w:t>тандарт</w:t>
      </w:r>
      <w:r w:rsidR="00B10B64">
        <w:rPr>
          <w:lang w:val="uk-UA"/>
        </w:rPr>
        <w:t>ів</w:t>
      </w:r>
      <w:r w:rsidR="00B10B64" w:rsidRPr="00B10B64">
        <w:rPr>
          <w:lang w:val="uk-UA"/>
        </w:rPr>
        <w:t xml:space="preserve"> якості для міжнародної кореспонденції</w:t>
      </w:r>
      <w:r w:rsidR="00B10B64">
        <w:rPr>
          <w:lang w:val="uk-UA"/>
        </w:rPr>
        <w:t xml:space="preserve"> відповідно до додатків І та ІІ до Директиви</w:t>
      </w:r>
      <w:r w:rsidR="00E038F7">
        <w:rPr>
          <w:lang w:val="uk-UA"/>
        </w:rPr>
        <w:t>.</w:t>
      </w:r>
    </w:p>
    <w:p w:rsidR="00E038F7" w:rsidRDefault="00E038F7" w:rsidP="0054449A">
      <w:pPr>
        <w:tabs>
          <w:tab w:val="left" w:pos="360"/>
          <w:tab w:val="left" w:pos="993"/>
        </w:tabs>
        <w:jc w:val="both"/>
        <w:rPr>
          <w:lang w:val="uk-UA"/>
        </w:rPr>
      </w:pPr>
      <w:r>
        <w:rPr>
          <w:lang w:val="uk-UA"/>
        </w:rPr>
        <w:tab/>
      </w:r>
      <w:r w:rsidR="0054449A">
        <w:rPr>
          <w:lang w:val="uk-UA"/>
        </w:rPr>
        <w:tab/>
      </w:r>
      <w:r w:rsidR="00451343">
        <w:rPr>
          <w:lang w:val="uk-UA"/>
        </w:rPr>
        <w:t xml:space="preserve">В </w:t>
      </w:r>
      <w:proofErr w:type="spellStart"/>
      <w:r w:rsidR="00A46322">
        <w:rPr>
          <w:lang w:val="uk-UA"/>
        </w:rPr>
        <w:t>проєкт</w:t>
      </w:r>
      <w:r w:rsidR="00451343">
        <w:rPr>
          <w:lang w:val="uk-UA"/>
        </w:rPr>
        <w:t>і</w:t>
      </w:r>
      <w:proofErr w:type="spellEnd"/>
      <w:r w:rsidRPr="00E038F7">
        <w:rPr>
          <w:lang w:val="uk-UA"/>
        </w:rPr>
        <w:t xml:space="preserve"> </w:t>
      </w:r>
      <w:r w:rsidR="00451343">
        <w:rPr>
          <w:lang w:val="uk-UA"/>
        </w:rPr>
        <w:t>з</w:t>
      </w:r>
      <w:r w:rsidRPr="00E038F7">
        <w:rPr>
          <w:lang w:val="uk-UA"/>
        </w:rPr>
        <w:t xml:space="preserve">акону </w:t>
      </w:r>
      <w:r w:rsidR="00451343">
        <w:rPr>
          <w:lang w:val="uk-UA"/>
        </w:rPr>
        <w:t xml:space="preserve">відсутні </w:t>
      </w:r>
      <w:r w:rsidRPr="00E038F7">
        <w:rPr>
          <w:lang w:val="uk-UA"/>
        </w:rPr>
        <w:t>положення</w:t>
      </w:r>
      <w:r>
        <w:rPr>
          <w:lang w:val="uk-UA"/>
        </w:rPr>
        <w:t xml:space="preserve"> </w:t>
      </w:r>
      <w:r w:rsidRPr="00E038F7">
        <w:rPr>
          <w:lang w:val="uk-UA"/>
        </w:rPr>
        <w:t>про</w:t>
      </w:r>
      <w:r>
        <w:rPr>
          <w:lang w:val="uk-UA"/>
        </w:rPr>
        <w:t xml:space="preserve"> </w:t>
      </w:r>
      <w:r w:rsidRPr="00E038F7">
        <w:rPr>
          <w:lang w:val="uk-UA"/>
        </w:rPr>
        <w:t xml:space="preserve">умови доступу до поштової мережі </w:t>
      </w:r>
      <w:r w:rsidR="00451343">
        <w:rPr>
          <w:lang w:val="uk-UA"/>
        </w:rPr>
        <w:t>передбачені статтею</w:t>
      </w:r>
      <w:r w:rsidRPr="00E038F7">
        <w:rPr>
          <w:lang w:val="uk-UA"/>
        </w:rPr>
        <w:t xml:space="preserve"> 11а Директиви</w:t>
      </w:r>
      <w:r w:rsidR="0054449A">
        <w:rPr>
          <w:lang w:val="uk-UA"/>
        </w:rPr>
        <w:t xml:space="preserve"> </w:t>
      </w:r>
      <w:r w:rsidR="00451343">
        <w:rPr>
          <w:lang w:val="uk-UA"/>
        </w:rPr>
        <w:t>зокрема,</w:t>
      </w:r>
      <w:r w:rsidRPr="00E038F7">
        <w:rPr>
          <w:lang w:val="uk-UA"/>
        </w:rPr>
        <w:t xml:space="preserve"> зазначення того, що доступ до мережі охоплює щонайменше доступ до</w:t>
      </w:r>
      <w:r>
        <w:rPr>
          <w:lang w:val="uk-UA"/>
        </w:rPr>
        <w:t xml:space="preserve"> </w:t>
      </w:r>
      <w:r w:rsidRPr="00E038F7">
        <w:rPr>
          <w:lang w:val="uk-UA"/>
        </w:rPr>
        <w:t>елементів поштової інфраструктури чи послуг, які надають у рамках універсальних</w:t>
      </w:r>
      <w:r w:rsidR="0054449A">
        <w:rPr>
          <w:lang w:val="uk-UA"/>
        </w:rPr>
        <w:t xml:space="preserve"> </w:t>
      </w:r>
      <w:r w:rsidRPr="00E038F7">
        <w:rPr>
          <w:lang w:val="uk-UA"/>
        </w:rPr>
        <w:t>послуг поштового зв’язку, таких як система поштових кодів, база даних адрес,</w:t>
      </w:r>
      <w:r>
        <w:rPr>
          <w:lang w:val="uk-UA"/>
        </w:rPr>
        <w:t xml:space="preserve"> </w:t>
      </w:r>
      <w:r w:rsidRPr="00E038F7">
        <w:rPr>
          <w:lang w:val="uk-UA"/>
        </w:rPr>
        <w:t xml:space="preserve">абонементні скриньки, поштові </w:t>
      </w:r>
      <w:r w:rsidRPr="00E038F7">
        <w:rPr>
          <w:lang w:val="uk-UA"/>
        </w:rPr>
        <w:lastRenderedPageBreak/>
        <w:t>скриньки, інформація про зміну адреси, послуга</w:t>
      </w:r>
      <w:r w:rsidR="00CA1D72">
        <w:rPr>
          <w:lang w:val="uk-UA"/>
        </w:rPr>
        <w:t xml:space="preserve"> </w:t>
      </w:r>
      <w:proofErr w:type="spellStart"/>
      <w:r w:rsidRPr="00E038F7">
        <w:rPr>
          <w:lang w:val="uk-UA"/>
        </w:rPr>
        <w:t>перенаправлення</w:t>
      </w:r>
      <w:proofErr w:type="spellEnd"/>
      <w:r w:rsidRPr="00E038F7">
        <w:rPr>
          <w:lang w:val="uk-UA"/>
        </w:rPr>
        <w:t xml:space="preserve"> та послуга повернення відправнику.</w:t>
      </w:r>
    </w:p>
    <w:p w:rsidR="00CA1D72" w:rsidRPr="00CA1D72" w:rsidRDefault="00CA1D72" w:rsidP="0054449A">
      <w:pPr>
        <w:tabs>
          <w:tab w:val="left" w:pos="360"/>
          <w:tab w:val="left" w:pos="993"/>
        </w:tabs>
        <w:jc w:val="both"/>
        <w:rPr>
          <w:lang w:val="uk-UA"/>
        </w:rPr>
      </w:pPr>
      <w:r>
        <w:rPr>
          <w:lang w:val="uk-UA"/>
        </w:rPr>
        <w:tab/>
      </w:r>
      <w:r w:rsidR="0054449A">
        <w:rPr>
          <w:lang w:val="uk-UA"/>
        </w:rPr>
        <w:tab/>
      </w:r>
      <w:r w:rsidRPr="00CA1D72">
        <w:rPr>
          <w:lang w:val="uk-UA"/>
        </w:rPr>
        <w:t xml:space="preserve">Положення щодо принципів встановлення тарифів та прозорості у </w:t>
      </w:r>
      <w:proofErr w:type="spellStart"/>
      <w:r w:rsidR="00A46322">
        <w:rPr>
          <w:lang w:val="uk-UA"/>
        </w:rPr>
        <w:t>проєкт</w:t>
      </w:r>
      <w:r w:rsidRPr="00CA1D72">
        <w:rPr>
          <w:lang w:val="uk-UA"/>
        </w:rPr>
        <w:t>і</w:t>
      </w:r>
      <w:proofErr w:type="spellEnd"/>
      <w:r w:rsidRPr="00CA1D72">
        <w:rPr>
          <w:lang w:val="uk-UA"/>
        </w:rPr>
        <w:t xml:space="preserve"> Закону</w:t>
      </w:r>
      <w:r>
        <w:rPr>
          <w:lang w:val="uk-UA"/>
        </w:rPr>
        <w:t xml:space="preserve"> </w:t>
      </w:r>
      <w:r w:rsidRPr="00CA1D72">
        <w:rPr>
          <w:lang w:val="uk-UA"/>
        </w:rPr>
        <w:t>повинні бути узгоджені з главою 5 Директиви шляхом доповнення переліку</w:t>
      </w:r>
      <w:r>
        <w:rPr>
          <w:lang w:val="uk-UA"/>
        </w:rPr>
        <w:t xml:space="preserve"> </w:t>
      </w:r>
      <w:r w:rsidRPr="00CA1D72">
        <w:rPr>
          <w:lang w:val="uk-UA"/>
        </w:rPr>
        <w:t>принципів встановлення цін (тарифів) на універсальні послуги поштового зв’язку додатковими положеннями, роз’яснення положень про</w:t>
      </w:r>
      <w:r>
        <w:rPr>
          <w:lang w:val="uk-UA"/>
        </w:rPr>
        <w:t xml:space="preserve"> </w:t>
      </w:r>
      <w:r w:rsidRPr="00CA1D72">
        <w:rPr>
          <w:lang w:val="uk-UA"/>
        </w:rPr>
        <w:t>збори у кінцевих пунктах, а також включення вимог щодо розділення обліку та</w:t>
      </w:r>
      <w:r>
        <w:rPr>
          <w:lang w:val="uk-UA"/>
        </w:rPr>
        <w:t xml:space="preserve"> </w:t>
      </w:r>
      <w:r w:rsidRPr="00CA1D72">
        <w:rPr>
          <w:lang w:val="uk-UA"/>
        </w:rPr>
        <w:t>щорічний аудит обліку витрат призначеного оператора послуг поштового зв’язку.</w:t>
      </w:r>
    </w:p>
    <w:p w:rsidR="00CA1D72" w:rsidRDefault="00CA1D72" w:rsidP="0054449A">
      <w:pPr>
        <w:tabs>
          <w:tab w:val="left" w:pos="360"/>
          <w:tab w:val="left" w:pos="993"/>
        </w:tabs>
        <w:jc w:val="both"/>
        <w:rPr>
          <w:lang w:val="uk-UA"/>
        </w:rPr>
      </w:pPr>
      <w:r>
        <w:rPr>
          <w:lang w:val="uk-UA"/>
        </w:rPr>
        <w:tab/>
      </w:r>
      <w:r w:rsidR="0054449A">
        <w:rPr>
          <w:lang w:val="uk-UA"/>
        </w:rPr>
        <w:tab/>
      </w:r>
      <w:r w:rsidRPr="00CA1D72">
        <w:rPr>
          <w:lang w:val="uk-UA"/>
        </w:rPr>
        <w:t>Також необхідно доопрацювати положення про прозорість згідно зі статтею 19(2)</w:t>
      </w:r>
      <w:r>
        <w:rPr>
          <w:lang w:val="uk-UA"/>
        </w:rPr>
        <w:t xml:space="preserve"> </w:t>
      </w:r>
      <w:r w:rsidRPr="00CA1D72">
        <w:rPr>
          <w:lang w:val="uk-UA"/>
        </w:rPr>
        <w:t xml:space="preserve">Директиви, доповнивши </w:t>
      </w:r>
      <w:proofErr w:type="spellStart"/>
      <w:r w:rsidR="00A46322">
        <w:rPr>
          <w:lang w:val="uk-UA"/>
        </w:rPr>
        <w:t>проєкт</w:t>
      </w:r>
      <w:proofErr w:type="spellEnd"/>
      <w:r w:rsidRPr="00CA1D72">
        <w:rPr>
          <w:lang w:val="uk-UA"/>
        </w:rPr>
        <w:t xml:space="preserve"> Закону положеннями, що зобов’язують призначеного оператора, який надає</w:t>
      </w:r>
      <w:r>
        <w:rPr>
          <w:lang w:val="uk-UA"/>
        </w:rPr>
        <w:t xml:space="preserve"> </w:t>
      </w:r>
      <w:r w:rsidRPr="00CA1D72">
        <w:rPr>
          <w:lang w:val="uk-UA"/>
        </w:rPr>
        <w:t>послуги в межах універсальної послуги, оприлюднювати, разом зі щорічним звітом</w:t>
      </w:r>
      <w:r>
        <w:rPr>
          <w:lang w:val="uk-UA"/>
        </w:rPr>
        <w:t xml:space="preserve"> </w:t>
      </w:r>
      <w:r w:rsidRPr="00CA1D72">
        <w:rPr>
          <w:lang w:val="uk-UA"/>
        </w:rPr>
        <w:t>про моніторинг його діяльності, інформацію щодо кількості скарг та способу, у який</w:t>
      </w:r>
      <w:r>
        <w:rPr>
          <w:lang w:val="uk-UA"/>
        </w:rPr>
        <w:t xml:space="preserve"> </w:t>
      </w:r>
      <w:r w:rsidRPr="00CA1D72">
        <w:rPr>
          <w:lang w:val="uk-UA"/>
        </w:rPr>
        <w:t>їх було врегульовано.</w:t>
      </w:r>
    </w:p>
    <w:p w:rsidR="00CA1D72" w:rsidRDefault="007E1EA0" w:rsidP="0054449A">
      <w:pPr>
        <w:tabs>
          <w:tab w:val="left" w:pos="360"/>
          <w:tab w:val="left" w:pos="993"/>
        </w:tabs>
        <w:jc w:val="both"/>
        <w:rPr>
          <w:lang w:val="uk-UA"/>
        </w:rPr>
      </w:pPr>
      <w:r>
        <w:rPr>
          <w:lang w:val="uk-UA"/>
        </w:rPr>
        <w:t xml:space="preserve"> </w:t>
      </w:r>
      <w:r w:rsidR="00CA1D72">
        <w:rPr>
          <w:lang w:val="uk-UA"/>
        </w:rPr>
        <w:tab/>
      </w:r>
      <w:r w:rsidR="0054449A">
        <w:rPr>
          <w:lang w:val="uk-UA"/>
        </w:rPr>
        <w:tab/>
      </w:r>
      <w:r w:rsidR="00CA1D72" w:rsidRPr="00CA1D72">
        <w:rPr>
          <w:lang w:val="uk-UA"/>
        </w:rPr>
        <w:t>Положення про діяльність національного регулятора повинні бути доповнені</w:t>
      </w:r>
      <w:r w:rsidR="00CA1D72">
        <w:rPr>
          <w:lang w:val="uk-UA"/>
        </w:rPr>
        <w:t xml:space="preserve"> нормами щодо </w:t>
      </w:r>
      <w:r w:rsidR="00CA1D72" w:rsidRPr="00CA1D72">
        <w:rPr>
          <w:lang w:val="uk-UA"/>
        </w:rPr>
        <w:t>встановлення права національного регулятора збирати інформацію для</w:t>
      </w:r>
      <w:r w:rsidR="00CA1D72">
        <w:rPr>
          <w:lang w:val="uk-UA"/>
        </w:rPr>
        <w:t xml:space="preserve"> </w:t>
      </w:r>
      <w:r w:rsidR="00CA1D72" w:rsidRPr="00CA1D72">
        <w:rPr>
          <w:lang w:val="uk-UA"/>
        </w:rPr>
        <w:t xml:space="preserve">статистичних цілей згідно зі статтею 22a Директиви. Також до </w:t>
      </w:r>
      <w:proofErr w:type="spellStart"/>
      <w:r w:rsidR="00D77F73">
        <w:rPr>
          <w:lang w:val="uk-UA"/>
        </w:rPr>
        <w:t>законопрєкту</w:t>
      </w:r>
      <w:proofErr w:type="spellEnd"/>
      <w:r w:rsidR="00CA1D72" w:rsidRPr="00CA1D72">
        <w:rPr>
          <w:lang w:val="uk-UA"/>
        </w:rPr>
        <w:t xml:space="preserve"> має бути включене чітке положення про захист прав,</w:t>
      </w:r>
      <w:r w:rsidR="00CA1D72">
        <w:rPr>
          <w:lang w:val="uk-UA"/>
        </w:rPr>
        <w:t xml:space="preserve"> </w:t>
      </w:r>
      <w:r w:rsidR="00CA1D72" w:rsidRPr="00CA1D72">
        <w:rPr>
          <w:lang w:val="uk-UA"/>
        </w:rPr>
        <w:t>згідно з яким до завершення процедури оскарження оскаржене рішення</w:t>
      </w:r>
      <w:r w:rsidR="00CA1D72">
        <w:rPr>
          <w:lang w:val="uk-UA"/>
        </w:rPr>
        <w:t xml:space="preserve"> </w:t>
      </w:r>
      <w:r w:rsidR="00CA1D72" w:rsidRPr="00CA1D72">
        <w:rPr>
          <w:lang w:val="uk-UA"/>
        </w:rPr>
        <w:t>національного регулятора залишається чинним, окрім випадків, коли орган</w:t>
      </w:r>
      <w:r w:rsidR="00CA1D72">
        <w:rPr>
          <w:lang w:val="uk-UA"/>
        </w:rPr>
        <w:t xml:space="preserve"> </w:t>
      </w:r>
      <w:r w:rsidR="00CA1D72" w:rsidRPr="00CA1D72">
        <w:rPr>
          <w:lang w:val="uk-UA"/>
        </w:rPr>
        <w:t>оскарження вирішує інакше.</w:t>
      </w:r>
    </w:p>
    <w:p w:rsidR="00EE07D6" w:rsidRDefault="00EE07D6" w:rsidP="0054449A">
      <w:pPr>
        <w:tabs>
          <w:tab w:val="left" w:pos="360"/>
          <w:tab w:val="left" w:pos="993"/>
        </w:tabs>
        <w:jc w:val="both"/>
        <w:rPr>
          <w:lang w:val="uk-UA"/>
        </w:rPr>
      </w:pPr>
      <w:r>
        <w:rPr>
          <w:lang w:val="uk-UA"/>
        </w:rPr>
        <w:tab/>
      </w:r>
      <w:r w:rsidR="0054449A">
        <w:rPr>
          <w:lang w:val="uk-UA"/>
        </w:rPr>
        <w:tab/>
      </w:r>
      <w:proofErr w:type="spellStart"/>
      <w:r>
        <w:rPr>
          <w:lang w:val="uk-UA"/>
        </w:rPr>
        <w:t>Законо</w:t>
      </w:r>
      <w:r w:rsidR="00A46322">
        <w:rPr>
          <w:lang w:val="uk-UA"/>
        </w:rPr>
        <w:t>проєкт</w:t>
      </w:r>
      <w:proofErr w:type="spellEnd"/>
      <w:r>
        <w:rPr>
          <w:lang w:val="uk-UA"/>
        </w:rPr>
        <w:t xml:space="preserve"> також не враховує положення </w:t>
      </w:r>
      <w:r w:rsidR="0054449A" w:rsidRPr="0054449A">
        <w:rPr>
          <w:lang w:val="uk-UA"/>
        </w:rPr>
        <w:t xml:space="preserve">Статті 7 </w:t>
      </w:r>
      <w:r>
        <w:rPr>
          <w:lang w:val="uk-UA"/>
        </w:rPr>
        <w:t xml:space="preserve">Директиви щодо </w:t>
      </w:r>
      <w:r w:rsidRPr="00EE07D6">
        <w:rPr>
          <w:lang w:val="uk-UA"/>
        </w:rPr>
        <w:t>механізм</w:t>
      </w:r>
      <w:r>
        <w:rPr>
          <w:lang w:val="uk-UA"/>
        </w:rPr>
        <w:t>у</w:t>
      </w:r>
      <w:r w:rsidRPr="00EE07D6">
        <w:rPr>
          <w:lang w:val="uk-UA"/>
        </w:rPr>
        <w:t xml:space="preserve"> відшкодування </w:t>
      </w:r>
      <w:r>
        <w:rPr>
          <w:lang w:val="uk-UA"/>
        </w:rPr>
        <w:t xml:space="preserve">у випадку надмірного </w:t>
      </w:r>
      <w:r w:rsidRPr="00EE07D6">
        <w:rPr>
          <w:lang w:val="uk-UA"/>
        </w:rPr>
        <w:t>фінансов</w:t>
      </w:r>
      <w:r>
        <w:rPr>
          <w:lang w:val="uk-UA"/>
        </w:rPr>
        <w:t>ого</w:t>
      </w:r>
      <w:r w:rsidRPr="00EE07D6">
        <w:rPr>
          <w:lang w:val="uk-UA"/>
        </w:rPr>
        <w:t xml:space="preserve"> навантаження</w:t>
      </w:r>
      <w:r>
        <w:rPr>
          <w:lang w:val="uk-UA"/>
        </w:rPr>
        <w:t xml:space="preserve"> на </w:t>
      </w:r>
      <w:r w:rsidRPr="00EE07D6">
        <w:rPr>
          <w:lang w:val="uk-UA"/>
        </w:rPr>
        <w:t xml:space="preserve">провайдера або провайдерів </w:t>
      </w:r>
      <w:r>
        <w:rPr>
          <w:lang w:val="uk-UA"/>
        </w:rPr>
        <w:t>універсальних послуг</w:t>
      </w:r>
      <w:r w:rsidRPr="00EE07D6">
        <w:rPr>
          <w:lang w:val="uk-UA"/>
        </w:rPr>
        <w:t>.</w:t>
      </w:r>
    </w:p>
    <w:p w:rsidR="004F7087" w:rsidRDefault="00951457" w:rsidP="0054449A">
      <w:pPr>
        <w:tabs>
          <w:tab w:val="left" w:pos="360"/>
          <w:tab w:val="left" w:pos="993"/>
        </w:tabs>
        <w:jc w:val="both"/>
        <w:rPr>
          <w:lang w:val="uk-UA"/>
        </w:rPr>
      </w:pPr>
      <w:r>
        <w:rPr>
          <w:lang w:val="uk-UA"/>
        </w:rPr>
        <w:tab/>
      </w:r>
      <w:r>
        <w:rPr>
          <w:lang w:val="uk-UA"/>
        </w:rPr>
        <w:tab/>
      </w:r>
      <w:r w:rsidR="00CA1D72" w:rsidRPr="00CA1D72">
        <w:rPr>
          <w:lang w:val="uk-UA"/>
        </w:rPr>
        <w:t xml:space="preserve">Додатково необхідно звернути увагу на невідповідність положень </w:t>
      </w:r>
      <w:proofErr w:type="spellStart"/>
      <w:r w:rsidR="00CA1D72" w:rsidRPr="00CA1D72">
        <w:rPr>
          <w:lang w:val="uk-UA"/>
        </w:rPr>
        <w:t>законо</w:t>
      </w:r>
      <w:r w:rsidR="00A46322">
        <w:rPr>
          <w:lang w:val="uk-UA"/>
        </w:rPr>
        <w:t>проєкт</w:t>
      </w:r>
      <w:r w:rsidR="00CA1D72" w:rsidRPr="00CA1D72">
        <w:rPr>
          <w:lang w:val="uk-UA"/>
        </w:rPr>
        <w:t>у</w:t>
      </w:r>
      <w:proofErr w:type="spellEnd"/>
      <w:r w:rsidR="00CA1D72" w:rsidRPr="00CA1D72">
        <w:rPr>
          <w:lang w:val="uk-UA"/>
        </w:rPr>
        <w:t xml:space="preserve"> </w:t>
      </w:r>
      <w:r w:rsidR="004F7087" w:rsidRPr="004F7087">
        <w:rPr>
          <w:lang w:val="uk-UA"/>
        </w:rPr>
        <w:t xml:space="preserve">статті 282 Угоди про асоціацію, відповідно до якої сторони зобов’язались підтримувати ефективне та передбачуване законодавче середовище для суб’єктів господарської діяльності, що займаються бізнесом на своїй території, належним чином враховуючи вимоги правової визначеності та пропорційності.  </w:t>
      </w:r>
    </w:p>
    <w:p w:rsidR="005F6F83" w:rsidRDefault="004F7087" w:rsidP="0054449A">
      <w:pPr>
        <w:tabs>
          <w:tab w:val="left" w:pos="360"/>
          <w:tab w:val="left" w:pos="993"/>
        </w:tabs>
        <w:jc w:val="both"/>
        <w:rPr>
          <w:lang w:val="uk-UA"/>
        </w:rPr>
      </w:pPr>
      <w:r>
        <w:rPr>
          <w:lang w:val="uk-UA"/>
        </w:rPr>
        <w:tab/>
      </w:r>
      <w:r>
        <w:rPr>
          <w:lang w:val="uk-UA"/>
        </w:rPr>
        <w:tab/>
        <w:t xml:space="preserve">Так, </w:t>
      </w:r>
      <w:r w:rsidR="005F6F83">
        <w:rPr>
          <w:lang w:val="uk-UA"/>
        </w:rPr>
        <w:t>С</w:t>
      </w:r>
      <w:r w:rsidR="005F6F83" w:rsidRPr="005F6F83">
        <w:rPr>
          <w:lang w:val="uk-UA"/>
        </w:rPr>
        <w:t>таттею</w:t>
      </w:r>
      <w:r w:rsidR="00CA1D72">
        <w:rPr>
          <w:lang w:val="uk-UA"/>
        </w:rPr>
        <w:t xml:space="preserve"> </w:t>
      </w:r>
      <w:r w:rsidR="005F6F83" w:rsidRPr="005F6F83">
        <w:rPr>
          <w:lang w:val="uk-UA"/>
        </w:rPr>
        <w:t xml:space="preserve">10 </w:t>
      </w:r>
      <w:proofErr w:type="spellStart"/>
      <w:r w:rsidR="005F6F83" w:rsidRPr="005F6F83">
        <w:rPr>
          <w:lang w:val="uk-UA"/>
        </w:rPr>
        <w:t>законо</w:t>
      </w:r>
      <w:r w:rsidR="00A46322">
        <w:rPr>
          <w:lang w:val="uk-UA"/>
        </w:rPr>
        <w:t>проєкт</w:t>
      </w:r>
      <w:r w:rsidR="005F6F83" w:rsidRPr="005F6F83">
        <w:rPr>
          <w:lang w:val="uk-UA"/>
        </w:rPr>
        <w:t>у</w:t>
      </w:r>
      <w:proofErr w:type="spellEnd"/>
      <w:r w:rsidR="00CA1D72">
        <w:rPr>
          <w:lang w:val="uk-UA"/>
        </w:rPr>
        <w:t xml:space="preserve"> </w:t>
      </w:r>
      <w:r w:rsidR="005F6F83" w:rsidRPr="005F6F83">
        <w:rPr>
          <w:lang w:val="uk-UA"/>
        </w:rPr>
        <w:t xml:space="preserve">передбачається, що ціноутворення у сфері надання послуг поштового зв’язку є вільним, а формування граничних цін (тарифів) на універсальні послуги здійснює Національний регулятор. В частині четвертій статті 15 </w:t>
      </w:r>
      <w:proofErr w:type="spellStart"/>
      <w:r w:rsidR="005F6F83" w:rsidRPr="005F6F83">
        <w:rPr>
          <w:lang w:val="uk-UA"/>
        </w:rPr>
        <w:t>законо</w:t>
      </w:r>
      <w:r w:rsidR="00A46322">
        <w:rPr>
          <w:lang w:val="uk-UA"/>
        </w:rPr>
        <w:t>проєкт</w:t>
      </w:r>
      <w:r w:rsidR="005F6F83" w:rsidRPr="005F6F83">
        <w:rPr>
          <w:lang w:val="uk-UA"/>
        </w:rPr>
        <w:t>у</w:t>
      </w:r>
      <w:proofErr w:type="spellEnd"/>
      <w:r w:rsidR="005F6F83" w:rsidRPr="005F6F83">
        <w:rPr>
          <w:lang w:val="uk-UA"/>
        </w:rPr>
        <w:t xml:space="preserve"> встановлено, що для задоволення державних потреб призначений оператор поштового зв’язку на договірних засадах має право здійснювати діяльність, пов’язану з доставкою пенсій, державної допомоги, компенсацій, субсидій та інших видів соціальних виплат у грошовій формі тощо. Проте, положеннями частини другої статті 5 Закону України “Про загальнообов’язкове державне пенсійне страхування”, встановлено, що виключно цим Законом визначається порядок здійснення пенсійних виплат за загальнообов’язковим державним пенсійним страхуванням. У зв’язку з цим, положення </w:t>
      </w:r>
      <w:proofErr w:type="spellStart"/>
      <w:r w:rsidR="005F6F83" w:rsidRPr="005F6F83">
        <w:rPr>
          <w:lang w:val="uk-UA"/>
        </w:rPr>
        <w:t>законо</w:t>
      </w:r>
      <w:r w:rsidR="00A46322">
        <w:rPr>
          <w:lang w:val="uk-UA"/>
        </w:rPr>
        <w:t>проєкт</w:t>
      </w:r>
      <w:r w:rsidR="005F6F83" w:rsidRPr="005F6F83">
        <w:rPr>
          <w:lang w:val="uk-UA"/>
        </w:rPr>
        <w:t>у</w:t>
      </w:r>
      <w:proofErr w:type="spellEnd"/>
      <w:r w:rsidR="005F6F83" w:rsidRPr="005F6F83">
        <w:rPr>
          <w:lang w:val="uk-UA"/>
        </w:rPr>
        <w:t xml:space="preserve"> слід узгодити із зазначеними вимогами Закону щодо порядку виплати та доставки пенсій, а також визначити уповноважений орган, який буде встановлювати тарифи на оплату послуг із доставки соціальних виплат в готівковій формі або затверджувати методику щодо їх встановлення у період до запровадження відбору організацій, які здійснюватимуть виплату і доставку пенсій, на ринкових засадах</w:t>
      </w:r>
      <w:r w:rsidR="005F6F83">
        <w:rPr>
          <w:lang w:val="uk-UA"/>
        </w:rPr>
        <w:t>.</w:t>
      </w:r>
      <w:r w:rsidR="005F6F83" w:rsidRPr="005F6F83">
        <w:rPr>
          <w:lang w:val="uk-UA"/>
        </w:rPr>
        <w:t xml:space="preserve"> </w:t>
      </w:r>
    </w:p>
    <w:p w:rsidR="00D77F73" w:rsidRDefault="005F6F83" w:rsidP="0054449A">
      <w:pPr>
        <w:tabs>
          <w:tab w:val="left" w:pos="360"/>
          <w:tab w:val="left" w:pos="993"/>
        </w:tabs>
        <w:jc w:val="both"/>
        <w:rPr>
          <w:lang w:val="uk-UA"/>
        </w:rPr>
      </w:pPr>
      <w:r>
        <w:rPr>
          <w:lang w:val="uk-UA"/>
        </w:rPr>
        <w:lastRenderedPageBreak/>
        <w:tab/>
      </w:r>
      <w:r w:rsidR="0054449A">
        <w:rPr>
          <w:lang w:val="uk-UA"/>
        </w:rPr>
        <w:tab/>
      </w:r>
      <w:r>
        <w:rPr>
          <w:lang w:val="uk-UA"/>
        </w:rPr>
        <w:t>П</w:t>
      </w:r>
      <w:r w:rsidRPr="005F6F83">
        <w:rPr>
          <w:lang w:val="uk-UA"/>
        </w:rPr>
        <w:t xml:space="preserve">унктом 7 частини другої статті 8 </w:t>
      </w:r>
      <w:proofErr w:type="spellStart"/>
      <w:r w:rsidRPr="005F6F83">
        <w:rPr>
          <w:lang w:val="uk-UA"/>
        </w:rPr>
        <w:t>законо</w:t>
      </w:r>
      <w:r w:rsidR="00A46322">
        <w:rPr>
          <w:lang w:val="uk-UA"/>
        </w:rPr>
        <w:t>проєкт</w:t>
      </w:r>
      <w:r w:rsidRPr="005F6F83">
        <w:rPr>
          <w:lang w:val="uk-UA"/>
        </w:rPr>
        <w:t>у</w:t>
      </w:r>
      <w:proofErr w:type="spellEnd"/>
      <w:r w:rsidRPr="005F6F83">
        <w:rPr>
          <w:lang w:val="uk-UA"/>
        </w:rPr>
        <w:t xml:space="preserve"> до компетенції центрального органу виконавчої влади,  що забезпечує формування та реалізацію державної політики у сфері надання послуг поштового зв’язку віднесено, зокрема, здійснення державного регулювання і нагляду (контролю)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операторів поштового зв’язку (в частині здійснення ними поштового переказу). В той же час, відповідно до пункту 1 частини першої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державне регулювання і нагляд у сфері запобігання та протидії щодо операторів поштового зв’язку здійснюється Національним банком України. </w:t>
      </w:r>
    </w:p>
    <w:p w:rsidR="00D341E0" w:rsidRPr="00C15CAA" w:rsidRDefault="00D341E0" w:rsidP="00D341E0">
      <w:pPr>
        <w:ind w:firstLine="700"/>
        <w:jc w:val="both"/>
        <w:rPr>
          <w:b/>
          <w:lang w:val="uk-UA"/>
        </w:rPr>
      </w:pPr>
      <w:r w:rsidRPr="00C15CAA">
        <w:rPr>
          <w:b/>
          <w:lang w:val="uk-UA"/>
        </w:rPr>
        <w:t xml:space="preserve">Виходячи з вищезазначеного, </w:t>
      </w:r>
      <w:r>
        <w:rPr>
          <w:b/>
          <w:lang w:val="uk-UA"/>
        </w:rPr>
        <w:t xml:space="preserve">можна дійти до висновку, що за своєю метою </w:t>
      </w:r>
      <w:proofErr w:type="spellStart"/>
      <w:r>
        <w:rPr>
          <w:b/>
          <w:lang w:val="uk-UA"/>
        </w:rPr>
        <w:t>законопроєкт</w:t>
      </w:r>
      <w:proofErr w:type="spellEnd"/>
      <w:r>
        <w:rPr>
          <w:b/>
          <w:lang w:val="uk-UA"/>
        </w:rPr>
        <w:t xml:space="preserve"> спрямований на виконання Директиви </w:t>
      </w:r>
      <w:r w:rsidRPr="00CF2802">
        <w:rPr>
          <w:b/>
          <w:lang w:val="uk-UA"/>
        </w:rPr>
        <w:t>№ 97/67/ЄС Європейського Парламенту та Ради від 15 грудня 1997 року про спільні правила розвитку внутрішнього ринку поштових послуг Співтовариства та  вдосконалення  якості  послуг</w:t>
      </w:r>
      <w:r>
        <w:rPr>
          <w:b/>
          <w:lang w:val="uk-UA"/>
        </w:rPr>
        <w:t xml:space="preserve"> із змінами, внесеними директивами </w:t>
      </w:r>
      <w:r w:rsidRPr="00CF2802">
        <w:rPr>
          <w:b/>
          <w:lang w:val="uk-UA"/>
        </w:rPr>
        <w:t>№2002/39/ЄС</w:t>
      </w:r>
      <w:r>
        <w:rPr>
          <w:b/>
          <w:lang w:val="uk-UA"/>
        </w:rPr>
        <w:t xml:space="preserve"> та </w:t>
      </w:r>
      <w:r w:rsidRPr="00CF2802">
        <w:rPr>
          <w:b/>
          <w:lang w:val="uk-UA"/>
        </w:rPr>
        <w:t>№ 2008/6/ЄС</w:t>
      </w:r>
      <w:r>
        <w:rPr>
          <w:b/>
          <w:lang w:val="uk-UA"/>
        </w:rPr>
        <w:t>, проте</w:t>
      </w:r>
      <w:r w:rsidRPr="00CF2802">
        <w:rPr>
          <w:b/>
          <w:lang w:val="uk-UA"/>
        </w:rPr>
        <w:t xml:space="preserve"> </w:t>
      </w:r>
      <w:r w:rsidRPr="00C15CAA">
        <w:rPr>
          <w:b/>
          <w:lang w:val="uk-UA"/>
        </w:rPr>
        <w:t xml:space="preserve">окремі положення </w:t>
      </w:r>
      <w:proofErr w:type="spellStart"/>
      <w:r w:rsidRPr="00C15CAA">
        <w:rPr>
          <w:b/>
          <w:lang w:val="uk-UA"/>
        </w:rPr>
        <w:t>законопроєкту</w:t>
      </w:r>
      <w:proofErr w:type="spellEnd"/>
      <w:r w:rsidRPr="00C15CAA">
        <w:rPr>
          <w:b/>
          <w:lang w:val="uk-UA"/>
        </w:rPr>
        <w:t xml:space="preserve"> не відповідають </w:t>
      </w:r>
      <w:r>
        <w:rPr>
          <w:b/>
          <w:lang w:val="uk-UA"/>
        </w:rPr>
        <w:t xml:space="preserve">міжнародно-правовим зобов’язанням України в сфері європейської інтеграції та потребують доопрацювання з урахуванням </w:t>
      </w:r>
      <w:r w:rsidRPr="00C15CAA">
        <w:rPr>
          <w:b/>
          <w:lang w:val="uk-UA"/>
        </w:rPr>
        <w:t>висновку Антимонопольного комітету України щодо впливу його положень на конкурентне середовище.</w:t>
      </w:r>
    </w:p>
    <w:p w:rsidR="00117817" w:rsidRPr="00FD6E71" w:rsidRDefault="00117817" w:rsidP="00846A87">
      <w:pPr>
        <w:tabs>
          <w:tab w:val="left" w:pos="360"/>
          <w:tab w:val="left" w:pos="993"/>
        </w:tabs>
        <w:jc w:val="both"/>
        <w:rPr>
          <w:b/>
          <w:sz w:val="16"/>
          <w:szCs w:val="16"/>
          <w:lang w:val="uk-UA"/>
        </w:rPr>
      </w:pPr>
      <w:bookmarkStart w:id="0" w:name="_GoBack"/>
      <w:bookmarkEnd w:id="0"/>
    </w:p>
    <w:sectPr w:rsidR="00117817" w:rsidRPr="00FD6E71" w:rsidSect="002214AA">
      <w:footerReference w:type="first" r:id="rId8"/>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E2" w:rsidRDefault="00CD6FE2">
      <w:r>
        <w:separator/>
      </w:r>
    </w:p>
  </w:endnote>
  <w:endnote w:type="continuationSeparator" w:id="0">
    <w:p w:rsidR="00CD6FE2" w:rsidRDefault="00CD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AA" w:rsidRDefault="002214AA">
    <w:pPr>
      <w:pStyle w:val="a5"/>
      <w:rPr>
        <w:sz w:val="22"/>
        <w:szCs w:val="22"/>
        <w:lang w:val="ru-RU"/>
      </w:rPr>
    </w:pPr>
  </w:p>
  <w:p w:rsidR="002214AA" w:rsidRPr="002214AA" w:rsidRDefault="002214AA">
    <w:pPr>
      <w:pStyle w:val="a5"/>
      <w:rPr>
        <w:lang w:val="ru-RU"/>
      </w:rPr>
    </w:pPr>
    <w:r w:rsidRPr="00B86B8A">
      <w:rPr>
        <w:sz w:val="22"/>
        <w:szCs w:val="22"/>
        <w:lang w:val="ru-RU"/>
      </w:rPr>
      <w:t xml:space="preserve">Комітет </w:t>
    </w:r>
    <w:proofErr w:type="spellStart"/>
    <w:r w:rsidRPr="00B86B8A">
      <w:rPr>
        <w:sz w:val="22"/>
        <w:szCs w:val="22"/>
        <w:lang w:val="ru-RU"/>
      </w:rPr>
      <w:t>розглянув</w:t>
    </w:r>
    <w:proofErr w:type="spellEnd"/>
    <w:r w:rsidRPr="00B86B8A">
      <w:rPr>
        <w:sz w:val="22"/>
        <w:szCs w:val="22"/>
        <w:lang w:val="ru-RU"/>
      </w:rPr>
      <w:t xml:space="preserve"> </w:t>
    </w:r>
    <w:proofErr w:type="spellStart"/>
    <w:r w:rsidRPr="00B86B8A">
      <w:rPr>
        <w:sz w:val="22"/>
        <w:szCs w:val="22"/>
        <w:lang w:val="ru-RU"/>
      </w:rPr>
      <w:t>проєкт</w:t>
    </w:r>
    <w:proofErr w:type="spellEnd"/>
    <w:r w:rsidRPr="00B86B8A">
      <w:rPr>
        <w:sz w:val="22"/>
        <w:szCs w:val="22"/>
        <w:lang w:val="ru-RU"/>
      </w:rPr>
      <w:t xml:space="preserve"> Закону на </w:t>
    </w:r>
    <w:proofErr w:type="spellStart"/>
    <w:r w:rsidRPr="00B86B8A">
      <w:rPr>
        <w:sz w:val="22"/>
        <w:szCs w:val="22"/>
        <w:lang w:val="ru-RU"/>
      </w:rPr>
      <w:t>своєму</w:t>
    </w:r>
    <w:proofErr w:type="spellEnd"/>
    <w:r w:rsidRPr="00B86B8A">
      <w:rPr>
        <w:sz w:val="22"/>
        <w:szCs w:val="22"/>
        <w:lang w:val="ru-RU"/>
      </w:rPr>
      <w:t xml:space="preserve"> </w:t>
    </w:r>
    <w:proofErr w:type="spellStart"/>
    <w:r w:rsidRPr="00B86B8A">
      <w:rPr>
        <w:sz w:val="22"/>
        <w:szCs w:val="22"/>
        <w:lang w:val="ru-RU"/>
      </w:rPr>
      <w:t>засіданні</w:t>
    </w:r>
    <w:proofErr w:type="spellEnd"/>
    <w:r w:rsidRPr="00B86B8A">
      <w:rPr>
        <w:sz w:val="22"/>
        <w:szCs w:val="22"/>
        <w:lang w:val="ru-RU"/>
      </w:rPr>
      <w:t xml:space="preserve"> </w:t>
    </w:r>
    <w:r w:rsidR="0054449A" w:rsidRPr="0054449A">
      <w:rPr>
        <w:sz w:val="22"/>
        <w:szCs w:val="22"/>
        <w:lang w:val="ru-RU"/>
      </w:rPr>
      <w:t>9</w:t>
    </w:r>
    <w:r w:rsidRPr="00267FFA">
      <w:rPr>
        <w:sz w:val="22"/>
        <w:szCs w:val="22"/>
        <w:lang w:val="ru-RU"/>
      </w:rPr>
      <w:t xml:space="preserve"> </w:t>
    </w:r>
    <w:r w:rsidR="0054449A">
      <w:rPr>
        <w:sz w:val="22"/>
        <w:szCs w:val="22"/>
        <w:lang w:val="uk-UA"/>
      </w:rPr>
      <w:t>грудня</w:t>
    </w:r>
    <w:r w:rsidRPr="00267FFA">
      <w:rPr>
        <w:sz w:val="22"/>
        <w:szCs w:val="22"/>
        <w:lang w:val="ru-RU"/>
      </w:rPr>
      <w:t xml:space="preserve"> 2020 року (протокол №</w:t>
    </w:r>
    <w:r w:rsidR="00DE7697">
      <w:rPr>
        <w:sz w:val="22"/>
        <w:szCs w:val="22"/>
        <w:lang w:val="ru-RU"/>
      </w:rPr>
      <w:t>5</w:t>
    </w:r>
    <w:r w:rsidR="0054449A">
      <w:rPr>
        <w:sz w:val="22"/>
        <w:szCs w:val="22"/>
        <w:lang w:val="ru-RU"/>
      </w:rPr>
      <w:t>2</w:t>
    </w:r>
    <w:r w:rsidRPr="00267FFA">
      <w:rPr>
        <w:sz w:val="22"/>
        <w:szCs w:val="22"/>
        <w:lang w:val="ru-RU"/>
      </w:rPr>
      <w:t>)</w:t>
    </w:r>
    <w:r w:rsidRPr="00B86B8A">
      <w:rPr>
        <w:sz w:val="22"/>
        <w:szCs w:val="22"/>
        <w:lang w:val="ru-RU"/>
      </w:rPr>
      <w:t xml:space="preserve"> </w:t>
    </w:r>
    <w:proofErr w:type="spellStart"/>
    <w:r w:rsidRPr="00B86B8A">
      <w:rPr>
        <w:sz w:val="22"/>
        <w:szCs w:val="22"/>
        <w:lang w:val="ru-RU"/>
      </w:rPr>
      <w:t>відповідно</w:t>
    </w:r>
    <w:proofErr w:type="spellEnd"/>
    <w:r w:rsidRPr="00B86B8A">
      <w:rPr>
        <w:sz w:val="22"/>
        <w:szCs w:val="22"/>
        <w:lang w:val="ru-RU"/>
      </w:rPr>
      <w:t xml:space="preserve"> до </w:t>
    </w:r>
    <w:proofErr w:type="spellStart"/>
    <w:r w:rsidRPr="00B86B8A">
      <w:rPr>
        <w:sz w:val="22"/>
        <w:szCs w:val="22"/>
        <w:lang w:val="ru-RU"/>
      </w:rPr>
      <w:t>статті</w:t>
    </w:r>
    <w:proofErr w:type="spellEnd"/>
    <w:r w:rsidRPr="00B86B8A">
      <w:rPr>
        <w:sz w:val="22"/>
        <w:szCs w:val="22"/>
        <w:lang w:val="ru-RU"/>
      </w:rPr>
      <w:t xml:space="preserve"> 93 Регламенту </w:t>
    </w:r>
    <w:proofErr w:type="spellStart"/>
    <w:r w:rsidRPr="00B86B8A">
      <w:rPr>
        <w:sz w:val="22"/>
        <w:szCs w:val="22"/>
        <w:lang w:val="ru-RU"/>
      </w:rPr>
      <w:t>Верховної</w:t>
    </w:r>
    <w:proofErr w:type="spellEnd"/>
    <w:r w:rsidRPr="00B86B8A">
      <w:rPr>
        <w:sz w:val="22"/>
        <w:szCs w:val="22"/>
        <w:lang w:val="ru-RU"/>
      </w:rPr>
      <w:t xml:space="preserve"> Ради </w:t>
    </w:r>
    <w:proofErr w:type="spellStart"/>
    <w:r w:rsidRPr="00B86B8A">
      <w:rPr>
        <w:sz w:val="22"/>
        <w:szCs w:val="22"/>
        <w:lang w:val="ru-RU"/>
      </w:rPr>
      <w:t>України</w:t>
    </w:r>
    <w:proofErr w:type="spellEnd"/>
    <w:r w:rsidRPr="00B86B8A">
      <w:rPr>
        <w:sz w:val="22"/>
        <w:szCs w:val="22"/>
        <w:lang w:val="ru-RU"/>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E2" w:rsidRDefault="00CD6FE2">
      <w:r>
        <w:separator/>
      </w:r>
    </w:p>
  </w:footnote>
  <w:footnote w:type="continuationSeparator" w:id="0">
    <w:p w:rsidR="00CD6FE2" w:rsidRDefault="00CD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1743"/>
    <w:rsid w:val="000021F0"/>
    <w:rsid w:val="00003738"/>
    <w:rsid w:val="000042B5"/>
    <w:rsid w:val="0001797C"/>
    <w:rsid w:val="00024839"/>
    <w:rsid w:val="000250B7"/>
    <w:rsid w:val="000262DA"/>
    <w:rsid w:val="00027010"/>
    <w:rsid w:val="0003402A"/>
    <w:rsid w:val="000374F8"/>
    <w:rsid w:val="00042E92"/>
    <w:rsid w:val="00050960"/>
    <w:rsid w:val="00053824"/>
    <w:rsid w:val="00060C6B"/>
    <w:rsid w:val="000631BF"/>
    <w:rsid w:val="00071F60"/>
    <w:rsid w:val="00090031"/>
    <w:rsid w:val="00090403"/>
    <w:rsid w:val="00090D31"/>
    <w:rsid w:val="000A04D4"/>
    <w:rsid w:val="000A3FBE"/>
    <w:rsid w:val="000A4040"/>
    <w:rsid w:val="000A725F"/>
    <w:rsid w:val="000B111F"/>
    <w:rsid w:val="000B5944"/>
    <w:rsid w:val="000B59C2"/>
    <w:rsid w:val="000C7EFC"/>
    <w:rsid w:val="000D3D88"/>
    <w:rsid w:val="000E2EC7"/>
    <w:rsid w:val="000E3BE2"/>
    <w:rsid w:val="000E4B56"/>
    <w:rsid w:val="000F1DB2"/>
    <w:rsid w:val="000F3F99"/>
    <w:rsid w:val="000F4084"/>
    <w:rsid w:val="0010119B"/>
    <w:rsid w:val="0011046A"/>
    <w:rsid w:val="00112E75"/>
    <w:rsid w:val="0011633D"/>
    <w:rsid w:val="001169E6"/>
    <w:rsid w:val="00117817"/>
    <w:rsid w:val="00132F0C"/>
    <w:rsid w:val="00133EE7"/>
    <w:rsid w:val="001504C1"/>
    <w:rsid w:val="001556B7"/>
    <w:rsid w:val="00170B14"/>
    <w:rsid w:val="001730DA"/>
    <w:rsid w:val="0018016B"/>
    <w:rsid w:val="00182449"/>
    <w:rsid w:val="00182AB6"/>
    <w:rsid w:val="00185F2D"/>
    <w:rsid w:val="0018608A"/>
    <w:rsid w:val="001861C7"/>
    <w:rsid w:val="00187DA5"/>
    <w:rsid w:val="001A4F8E"/>
    <w:rsid w:val="001B2F43"/>
    <w:rsid w:val="001B4D12"/>
    <w:rsid w:val="001C13D4"/>
    <w:rsid w:val="001C61DF"/>
    <w:rsid w:val="001D5D98"/>
    <w:rsid w:val="001D78C6"/>
    <w:rsid w:val="001D7F5C"/>
    <w:rsid w:val="001E14BB"/>
    <w:rsid w:val="001E3EFE"/>
    <w:rsid w:val="001E5BEF"/>
    <w:rsid w:val="001F2084"/>
    <w:rsid w:val="00204686"/>
    <w:rsid w:val="00206A0B"/>
    <w:rsid w:val="00207A27"/>
    <w:rsid w:val="00211149"/>
    <w:rsid w:val="00212532"/>
    <w:rsid w:val="00213D2D"/>
    <w:rsid w:val="00214938"/>
    <w:rsid w:val="00216C46"/>
    <w:rsid w:val="002214AA"/>
    <w:rsid w:val="00223A43"/>
    <w:rsid w:val="00224CCD"/>
    <w:rsid w:val="00231C1D"/>
    <w:rsid w:val="002325C0"/>
    <w:rsid w:val="002449BA"/>
    <w:rsid w:val="002462A6"/>
    <w:rsid w:val="0025788A"/>
    <w:rsid w:val="00260A61"/>
    <w:rsid w:val="00265B6C"/>
    <w:rsid w:val="0026766B"/>
    <w:rsid w:val="00270CC8"/>
    <w:rsid w:val="002807CE"/>
    <w:rsid w:val="002842B4"/>
    <w:rsid w:val="0029077E"/>
    <w:rsid w:val="00292BD9"/>
    <w:rsid w:val="00293E83"/>
    <w:rsid w:val="00295446"/>
    <w:rsid w:val="002A3F6E"/>
    <w:rsid w:val="002B492A"/>
    <w:rsid w:val="002C4268"/>
    <w:rsid w:val="002D4F67"/>
    <w:rsid w:val="002D5BF1"/>
    <w:rsid w:val="002D6980"/>
    <w:rsid w:val="002E0062"/>
    <w:rsid w:val="002E32B9"/>
    <w:rsid w:val="002E3EE1"/>
    <w:rsid w:val="002F39F2"/>
    <w:rsid w:val="002F633B"/>
    <w:rsid w:val="0030151A"/>
    <w:rsid w:val="00307CBD"/>
    <w:rsid w:val="00322BF0"/>
    <w:rsid w:val="003274D2"/>
    <w:rsid w:val="00341803"/>
    <w:rsid w:val="00342422"/>
    <w:rsid w:val="003426B7"/>
    <w:rsid w:val="00342F1D"/>
    <w:rsid w:val="00346B92"/>
    <w:rsid w:val="00347313"/>
    <w:rsid w:val="00352821"/>
    <w:rsid w:val="00352DF7"/>
    <w:rsid w:val="003626F7"/>
    <w:rsid w:val="00375242"/>
    <w:rsid w:val="003815A9"/>
    <w:rsid w:val="003815DE"/>
    <w:rsid w:val="00383EFA"/>
    <w:rsid w:val="00390CCD"/>
    <w:rsid w:val="00393D0B"/>
    <w:rsid w:val="003948CE"/>
    <w:rsid w:val="003977A1"/>
    <w:rsid w:val="003A2271"/>
    <w:rsid w:val="003B486D"/>
    <w:rsid w:val="003E174C"/>
    <w:rsid w:val="003E66AB"/>
    <w:rsid w:val="004022EC"/>
    <w:rsid w:val="004023EE"/>
    <w:rsid w:val="00405393"/>
    <w:rsid w:val="0041051E"/>
    <w:rsid w:val="00411DBD"/>
    <w:rsid w:val="00413A22"/>
    <w:rsid w:val="0041564A"/>
    <w:rsid w:val="00415E31"/>
    <w:rsid w:val="00424A3B"/>
    <w:rsid w:val="004269B7"/>
    <w:rsid w:val="004274F7"/>
    <w:rsid w:val="00427BEE"/>
    <w:rsid w:val="00430405"/>
    <w:rsid w:val="00442453"/>
    <w:rsid w:val="004454AC"/>
    <w:rsid w:val="004464B6"/>
    <w:rsid w:val="0045072C"/>
    <w:rsid w:val="00451343"/>
    <w:rsid w:val="00453955"/>
    <w:rsid w:val="00454B4C"/>
    <w:rsid w:val="004565DE"/>
    <w:rsid w:val="00462953"/>
    <w:rsid w:val="0046356D"/>
    <w:rsid w:val="00476B8E"/>
    <w:rsid w:val="00477BCF"/>
    <w:rsid w:val="0048192A"/>
    <w:rsid w:val="00485321"/>
    <w:rsid w:val="004855BB"/>
    <w:rsid w:val="00490795"/>
    <w:rsid w:val="00493A3D"/>
    <w:rsid w:val="004968AB"/>
    <w:rsid w:val="004A743D"/>
    <w:rsid w:val="004B6A8E"/>
    <w:rsid w:val="004C55DC"/>
    <w:rsid w:val="004D0E05"/>
    <w:rsid w:val="004F7087"/>
    <w:rsid w:val="00502478"/>
    <w:rsid w:val="00507FB8"/>
    <w:rsid w:val="00523C61"/>
    <w:rsid w:val="0052490C"/>
    <w:rsid w:val="00526565"/>
    <w:rsid w:val="00531F28"/>
    <w:rsid w:val="005320C3"/>
    <w:rsid w:val="00532A71"/>
    <w:rsid w:val="00532AA9"/>
    <w:rsid w:val="00534E1C"/>
    <w:rsid w:val="00536E37"/>
    <w:rsid w:val="0054449A"/>
    <w:rsid w:val="00544CF0"/>
    <w:rsid w:val="005461BF"/>
    <w:rsid w:val="005463CF"/>
    <w:rsid w:val="00555FC1"/>
    <w:rsid w:val="005658AD"/>
    <w:rsid w:val="00566196"/>
    <w:rsid w:val="00566E1C"/>
    <w:rsid w:val="00573A45"/>
    <w:rsid w:val="00577B32"/>
    <w:rsid w:val="005844A8"/>
    <w:rsid w:val="005915E3"/>
    <w:rsid w:val="005958B1"/>
    <w:rsid w:val="00596F13"/>
    <w:rsid w:val="005A01DB"/>
    <w:rsid w:val="005A37AC"/>
    <w:rsid w:val="005A6229"/>
    <w:rsid w:val="005A68AB"/>
    <w:rsid w:val="005B4D49"/>
    <w:rsid w:val="005B53B3"/>
    <w:rsid w:val="005B6840"/>
    <w:rsid w:val="005C0BF3"/>
    <w:rsid w:val="005C2492"/>
    <w:rsid w:val="005C4411"/>
    <w:rsid w:val="005C445C"/>
    <w:rsid w:val="005C6642"/>
    <w:rsid w:val="005C74E4"/>
    <w:rsid w:val="005D1531"/>
    <w:rsid w:val="005D3993"/>
    <w:rsid w:val="005E51AE"/>
    <w:rsid w:val="005E64C4"/>
    <w:rsid w:val="005F01D6"/>
    <w:rsid w:val="005F434E"/>
    <w:rsid w:val="005F5699"/>
    <w:rsid w:val="005F694A"/>
    <w:rsid w:val="005F6F83"/>
    <w:rsid w:val="005F7650"/>
    <w:rsid w:val="00605892"/>
    <w:rsid w:val="006064E2"/>
    <w:rsid w:val="006257BC"/>
    <w:rsid w:val="006301F5"/>
    <w:rsid w:val="0063772A"/>
    <w:rsid w:val="00646A14"/>
    <w:rsid w:val="0066123B"/>
    <w:rsid w:val="00670392"/>
    <w:rsid w:val="00673102"/>
    <w:rsid w:val="006765E4"/>
    <w:rsid w:val="00687EC0"/>
    <w:rsid w:val="00694C02"/>
    <w:rsid w:val="006A0C12"/>
    <w:rsid w:val="006B1B48"/>
    <w:rsid w:val="006B21B9"/>
    <w:rsid w:val="006C7FE4"/>
    <w:rsid w:val="006D2553"/>
    <w:rsid w:val="006D4C7F"/>
    <w:rsid w:val="006E3F53"/>
    <w:rsid w:val="006E4F7F"/>
    <w:rsid w:val="006E655B"/>
    <w:rsid w:val="006F125A"/>
    <w:rsid w:val="00701A81"/>
    <w:rsid w:val="00703A7C"/>
    <w:rsid w:val="00703C7A"/>
    <w:rsid w:val="00707AE1"/>
    <w:rsid w:val="00712D89"/>
    <w:rsid w:val="00722E07"/>
    <w:rsid w:val="00724EEF"/>
    <w:rsid w:val="00725B4E"/>
    <w:rsid w:val="0072785C"/>
    <w:rsid w:val="007371B9"/>
    <w:rsid w:val="00742600"/>
    <w:rsid w:val="007426CC"/>
    <w:rsid w:val="007450FA"/>
    <w:rsid w:val="00745B1F"/>
    <w:rsid w:val="00745DF4"/>
    <w:rsid w:val="007537FA"/>
    <w:rsid w:val="0075789A"/>
    <w:rsid w:val="007615F5"/>
    <w:rsid w:val="00764E6B"/>
    <w:rsid w:val="00771843"/>
    <w:rsid w:val="00783628"/>
    <w:rsid w:val="007A37C4"/>
    <w:rsid w:val="007B4012"/>
    <w:rsid w:val="007B4B32"/>
    <w:rsid w:val="007B56CC"/>
    <w:rsid w:val="007B5D06"/>
    <w:rsid w:val="007D0C7C"/>
    <w:rsid w:val="007D4B76"/>
    <w:rsid w:val="007E1EA0"/>
    <w:rsid w:val="007E1F1E"/>
    <w:rsid w:val="007E7310"/>
    <w:rsid w:val="007F4196"/>
    <w:rsid w:val="007F54BD"/>
    <w:rsid w:val="007F5662"/>
    <w:rsid w:val="007F7EC8"/>
    <w:rsid w:val="00803B70"/>
    <w:rsid w:val="008063B2"/>
    <w:rsid w:val="00815707"/>
    <w:rsid w:val="00817DCB"/>
    <w:rsid w:val="00825EB8"/>
    <w:rsid w:val="00834439"/>
    <w:rsid w:val="0084052C"/>
    <w:rsid w:val="008410C7"/>
    <w:rsid w:val="00846A87"/>
    <w:rsid w:val="008517E3"/>
    <w:rsid w:val="00856FAF"/>
    <w:rsid w:val="00861718"/>
    <w:rsid w:val="00875370"/>
    <w:rsid w:val="00875CD7"/>
    <w:rsid w:val="008765BB"/>
    <w:rsid w:val="008767E9"/>
    <w:rsid w:val="0088345F"/>
    <w:rsid w:val="00884BE1"/>
    <w:rsid w:val="0088567E"/>
    <w:rsid w:val="008872F6"/>
    <w:rsid w:val="00892B33"/>
    <w:rsid w:val="00894C57"/>
    <w:rsid w:val="008A1F4C"/>
    <w:rsid w:val="008A5D37"/>
    <w:rsid w:val="008B1A8B"/>
    <w:rsid w:val="008B7566"/>
    <w:rsid w:val="008C1E00"/>
    <w:rsid w:val="008C45FF"/>
    <w:rsid w:val="008C7A30"/>
    <w:rsid w:val="008D2D6F"/>
    <w:rsid w:val="008D34BC"/>
    <w:rsid w:val="008E0705"/>
    <w:rsid w:val="008E3E0C"/>
    <w:rsid w:val="008E6FDF"/>
    <w:rsid w:val="008F2985"/>
    <w:rsid w:val="008F370F"/>
    <w:rsid w:val="008F574A"/>
    <w:rsid w:val="008F6430"/>
    <w:rsid w:val="00900FFA"/>
    <w:rsid w:val="00902069"/>
    <w:rsid w:val="009062B6"/>
    <w:rsid w:val="0091060B"/>
    <w:rsid w:val="009106B9"/>
    <w:rsid w:val="00910D14"/>
    <w:rsid w:val="009116A0"/>
    <w:rsid w:val="0091667A"/>
    <w:rsid w:val="009219F1"/>
    <w:rsid w:val="00922EC9"/>
    <w:rsid w:val="00925DA0"/>
    <w:rsid w:val="00930053"/>
    <w:rsid w:val="0093302F"/>
    <w:rsid w:val="00943242"/>
    <w:rsid w:val="0094625B"/>
    <w:rsid w:val="00946E29"/>
    <w:rsid w:val="00951457"/>
    <w:rsid w:val="00954F22"/>
    <w:rsid w:val="00956BF8"/>
    <w:rsid w:val="009656A8"/>
    <w:rsid w:val="00973E19"/>
    <w:rsid w:val="00977253"/>
    <w:rsid w:val="00980136"/>
    <w:rsid w:val="009914E1"/>
    <w:rsid w:val="009A7CAA"/>
    <w:rsid w:val="009B5C3E"/>
    <w:rsid w:val="009C2791"/>
    <w:rsid w:val="009C27B7"/>
    <w:rsid w:val="009C3D02"/>
    <w:rsid w:val="009C4356"/>
    <w:rsid w:val="009D1D3F"/>
    <w:rsid w:val="009D21CB"/>
    <w:rsid w:val="009D3D1F"/>
    <w:rsid w:val="009D5BC6"/>
    <w:rsid w:val="009D63B7"/>
    <w:rsid w:val="009E4289"/>
    <w:rsid w:val="009E4BEF"/>
    <w:rsid w:val="009F02F9"/>
    <w:rsid w:val="009F1141"/>
    <w:rsid w:val="009F1E9D"/>
    <w:rsid w:val="009F5123"/>
    <w:rsid w:val="00A028A1"/>
    <w:rsid w:val="00A06D0E"/>
    <w:rsid w:val="00A24FCE"/>
    <w:rsid w:val="00A2516E"/>
    <w:rsid w:val="00A26692"/>
    <w:rsid w:val="00A32A9B"/>
    <w:rsid w:val="00A342A2"/>
    <w:rsid w:val="00A34E78"/>
    <w:rsid w:val="00A36F0F"/>
    <w:rsid w:val="00A46322"/>
    <w:rsid w:val="00A50597"/>
    <w:rsid w:val="00A547FE"/>
    <w:rsid w:val="00A55723"/>
    <w:rsid w:val="00A566A8"/>
    <w:rsid w:val="00A61305"/>
    <w:rsid w:val="00A61A71"/>
    <w:rsid w:val="00A638A3"/>
    <w:rsid w:val="00A70964"/>
    <w:rsid w:val="00A766F6"/>
    <w:rsid w:val="00A82CB1"/>
    <w:rsid w:val="00A86B86"/>
    <w:rsid w:val="00A92596"/>
    <w:rsid w:val="00A97ACD"/>
    <w:rsid w:val="00AA2CDB"/>
    <w:rsid w:val="00AA6D4E"/>
    <w:rsid w:val="00AB219F"/>
    <w:rsid w:val="00AB6928"/>
    <w:rsid w:val="00AB78DF"/>
    <w:rsid w:val="00AC0BEB"/>
    <w:rsid w:val="00AD1E3F"/>
    <w:rsid w:val="00AD2953"/>
    <w:rsid w:val="00AE0818"/>
    <w:rsid w:val="00AE26EF"/>
    <w:rsid w:val="00AE3C36"/>
    <w:rsid w:val="00AE692D"/>
    <w:rsid w:val="00AF312C"/>
    <w:rsid w:val="00B01AC5"/>
    <w:rsid w:val="00B02B13"/>
    <w:rsid w:val="00B10B64"/>
    <w:rsid w:val="00B11D57"/>
    <w:rsid w:val="00B27814"/>
    <w:rsid w:val="00B3551B"/>
    <w:rsid w:val="00B36689"/>
    <w:rsid w:val="00B40667"/>
    <w:rsid w:val="00B41F02"/>
    <w:rsid w:val="00B4267D"/>
    <w:rsid w:val="00B4337F"/>
    <w:rsid w:val="00B5163A"/>
    <w:rsid w:val="00B53FE2"/>
    <w:rsid w:val="00B61EE2"/>
    <w:rsid w:val="00B66DE0"/>
    <w:rsid w:val="00B81F09"/>
    <w:rsid w:val="00B84C6C"/>
    <w:rsid w:val="00B87AD1"/>
    <w:rsid w:val="00B93692"/>
    <w:rsid w:val="00B96880"/>
    <w:rsid w:val="00B97C2C"/>
    <w:rsid w:val="00BA2B23"/>
    <w:rsid w:val="00BB3DCC"/>
    <w:rsid w:val="00BB7356"/>
    <w:rsid w:val="00BD15A2"/>
    <w:rsid w:val="00BD6DE2"/>
    <w:rsid w:val="00BE2190"/>
    <w:rsid w:val="00BF7B41"/>
    <w:rsid w:val="00C023BF"/>
    <w:rsid w:val="00C14629"/>
    <w:rsid w:val="00C14829"/>
    <w:rsid w:val="00C14F92"/>
    <w:rsid w:val="00C158DB"/>
    <w:rsid w:val="00C17B0E"/>
    <w:rsid w:val="00C20565"/>
    <w:rsid w:val="00C24D82"/>
    <w:rsid w:val="00C250F5"/>
    <w:rsid w:val="00C2777B"/>
    <w:rsid w:val="00C32B26"/>
    <w:rsid w:val="00C446D1"/>
    <w:rsid w:val="00C50856"/>
    <w:rsid w:val="00C51FE8"/>
    <w:rsid w:val="00C6266C"/>
    <w:rsid w:val="00C72DB6"/>
    <w:rsid w:val="00C732D5"/>
    <w:rsid w:val="00C73F90"/>
    <w:rsid w:val="00C75E1B"/>
    <w:rsid w:val="00C84029"/>
    <w:rsid w:val="00C86508"/>
    <w:rsid w:val="00C86E17"/>
    <w:rsid w:val="00C94231"/>
    <w:rsid w:val="00C946D1"/>
    <w:rsid w:val="00CA1D72"/>
    <w:rsid w:val="00CA3A43"/>
    <w:rsid w:val="00CA5F61"/>
    <w:rsid w:val="00CA70F0"/>
    <w:rsid w:val="00CB0325"/>
    <w:rsid w:val="00CB1706"/>
    <w:rsid w:val="00CB445E"/>
    <w:rsid w:val="00CB5B42"/>
    <w:rsid w:val="00CB66F5"/>
    <w:rsid w:val="00CB777C"/>
    <w:rsid w:val="00CB7E2A"/>
    <w:rsid w:val="00CC4E3D"/>
    <w:rsid w:val="00CC582E"/>
    <w:rsid w:val="00CC676F"/>
    <w:rsid w:val="00CC6CCA"/>
    <w:rsid w:val="00CC700C"/>
    <w:rsid w:val="00CD01BF"/>
    <w:rsid w:val="00CD555E"/>
    <w:rsid w:val="00CD6FE2"/>
    <w:rsid w:val="00CD7616"/>
    <w:rsid w:val="00CE3073"/>
    <w:rsid w:val="00CE3CFD"/>
    <w:rsid w:val="00CE6685"/>
    <w:rsid w:val="00CF02BF"/>
    <w:rsid w:val="00CF1FCA"/>
    <w:rsid w:val="00CF4111"/>
    <w:rsid w:val="00D01C1B"/>
    <w:rsid w:val="00D341E0"/>
    <w:rsid w:val="00D3616F"/>
    <w:rsid w:val="00D42F56"/>
    <w:rsid w:val="00D471D8"/>
    <w:rsid w:val="00D50738"/>
    <w:rsid w:val="00D51A4A"/>
    <w:rsid w:val="00D6079F"/>
    <w:rsid w:val="00D70496"/>
    <w:rsid w:val="00D77F73"/>
    <w:rsid w:val="00D83783"/>
    <w:rsid w:val="00D8473B"/>
    <w:rsid w:val="00D9159E"/>
    <w:rsid w:val="00DA18B7"/>
    <w:rsid w:val="00DA3B9F"/>
    <w:rsid w:val="00DA3C4D"/>
    <w:rsid w:val="00DA6F65"/>
    <w:rsid w:val="00DB011F"/>
    <w:rsid w:val="00DB6069"/>
    <w:rsid w:val="00DC5F1F"/>
    <w:rsid w:val="00DD0EB6"/>
    <w:rsid w:val="00DD1FA0"/>
    <w:rsid w:val="00DD286C"/>
    <w:rsid w:val="00DD53B0"/>
    <w:rsid w:val="00DD5C01"/>
    <w:rsid w:val="00DE55E4"/>
    <w:rsid w:val="00DE5D4B"/>
    <w:rsid w:val="00DE7697"/>
    <w:rsid w:val="00DF2C6A"/>
    <w:rsid w:val="00DF3693"/>
    <w:rsid w:val="00DF73D5"/>
    <w:rsid w:val="00E02752"/>
    <w:rsid w:val="00E038F7"/>
    <w:rsid w:val="00E04011"/>
    <w:rsid w:val="00E13002"/>
    <w:rsid w:val="00E24F67"/>
    <w:rsid w:val="00E26806"/>
    <w:rsid w:val="00E33508"/>
    <w:rsid w:val="00E36331"/>
    <w:rsid w:val="00E36407"/>
    <w:rsid w:val="00E40A6B"/>
    <w:rsid w:val="00E456C8"/>
    <w:rsid w:val="00E47EB7"/>
    <w:rsid w:val="00E5368C"/>
    <w:rsid w:val="00E6216A"/>
    <w:rsid w:val="00E66D3A"/>
    <w:rsid w:val="00E67EB1"/>
    <w:rsid w:val="00E74BB5"/>
    <w:rsid w:val="00E851F9"/>
    <w:rsid w:val="00E952E2"/>
    <w:rsid w:val="00E95DDA"/>
    <w:rsid w:val="00EA04D9"/>
    <w:rsid w:val="00EA0825"/>
    <w:rsid w:val="00EA3735"/>
    <w:rsid w:val="00EA403C"/>
    <w:rsid w:val="00EA735F"/>
    <w:rsid w:val="00EB2A0C"/>
    <w:rsid w:val="00EB2AAF"/>
    <w:rsid w:val="00EC6D75"/>
    <w:rsid w:val="00ED0C1E"/>
    <w:rsid w:val="00ED1C73"/>
    <w:rsid w:val="00ED34AA"/>
    <w:rsid w:val="00EE07D6"/>
    <w:rsid w:val="00EE2862"/>
    <w:rsid w:val="00EE7880"/>
    <w:rsid w:val="00EF0EC1"/>
    <w:rsid w:val="00EF1DE3"/>
    <w:rsid w:val="00F031EB"/>
    <w:rsid w:val="00F037ED"/>
    <w:rsid w:val="00F10840"/>
    <w:rsid w:val="00F155F3"/>
    <w:rsid w:val="00F22975"/>
    <w:rsid w:val="00F27340"/>
    <w:rsid w:val="00F32E5E"/>
    <w:rsid w:val="00F339BE"/>
    <w:rsid w:val="00F35FCF"/>
    <w:rsid w:val="00F4007F"/>
    <w:rsid w:val="00F4553F"/>
    <w:rsid w:val="00F47515"/>
    <w:rsid w:val="00F50B70"/>
    <w:rsid w:val="00F52AF7"/>
    <w:rsid w:val="00F55ACC"/>
    <w:rsid w:val="00F640DE"/>
    <w:rsid w:val="00F65553"/>
    <w:rsid w:val="00F74232"/>
    <w:rsid w:val="00F75088"/>
    <w:rsid w:val="00F767F0"/>
    <w:rsid w:val="00F85D7C"/>
    <w:rsid w:val="00F862AF"/>
    <w:rsid w:val="00F92539"/>
    <w:rsid w:val="00F929FA"/>
    <w:rsid w:val="00F9392D"/>
    <w:rsid w:val="00FA51A8"/>
    <w:rsid w:val="00FA5FAA"/>
    <w:rsid w:val="00FA60CD"/>
    <w:rsid w:val="00FA614F"/>
    <w:rsid w:val="00FA62E7"/>
    <w:rsid w:val="00FB0481"/>
    <w:rsid w:val="00FB51D5"/>
    <w:rsid w:val="00FD10C0"/>
    <w:rsid w:val="00FD153B"/>
    <w:rsid w:val="00FD5E18"/>
    <w:rsid w:val="00FD6E71"/>
    <w:rsid w:val="00FE2E20"/>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F070DA-5B8A-4758-8B06-54197FA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1">
    <w:name w:val="heading 1"/>
    <w:basedOn w:val="a"/>
    <w:next w:val="a"/>
    <w:link w:val="10"/>
    <w:qFormat/>
    <w:rsid w:val="00A028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4D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autoRedefine/>
    <w:qFormat/>
    <w:rsid w:val="00910D14"/>
    <w:pPr>
      <w:keepNext/>
      <w:overflowPunct w:val="0"/>
      <w:autoSpaceDE w:val="0"/>
      <w:autoSpaceDN w:val="0"/>
      <w:adjustRightInd w:val="0"/>
      <w:spacing w:before="240"/>
      <w:jc w:val="center"/>
      <w:textAlignment w:val="baseline"/>
      <w:outlineLvl w:val="2"/>
    </w:pPr>
    <w:rPr>
      <w:i/>
      <w:i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224CCD"/>
    <w:rPr>
      <w:lang w:val="uk-UA"/>
    </w:rPr>
  </w:style>
  <w:style w:type="paragraph" w:styleId="21">
    <w:name w:val="Body Text Indent 2"/>
    <w:basedOn w:val="a"/>
    <w:rsid w:val="00C86E17"/>
    <w:pPr>
      <w:ind w:firstLine="900"/>
      <w:jc w:val="both"/>
    </w:pPr>
    <w:rPr>
      <w:szCs w:val="20"/>
      <w:lang w:val="uk-UA"/>
    </w:rPr>
  </w:style>
  <w:style w:type="paragraph" w:styleId="a3">
    <w:name w:val="header"/>
    <w:basedOn w:val="a"/>
    <w:link w:val="a4"/>
    <w:uiPriority w:val="99"/>
    <w:rsid w:val="00D50738"/>
    <w:pPr>
      <w:tabs>
        <w:tab w:val="center" w:pos="4677"/>
        <w:tab w:val="right" w:pos="9355"/>
      </w:tabs>
    </w:pPr>
  </w:style>
  <w:style w:type="paragraph" w:styleId="a5">
    <w:name w:val="footer"/>
    <w:basedOn w:val="a"/>
    <w:link w:val="a6"/>
    <w:uiPriority w:val="99"/>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7">
    <w:name w:val="Body Text"/>
    <w:basedOn w:val="a"/>
    <w:rsid w:val="00493A3D"/>
    <w:pPr>
      <w:spacing w:after="120"/>
    </w:pPr>
  </w:style>
  <w:style w:type="paragraph" w:styleId="a8">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9">
    <w:name w:val="Balloon Text"/>
    <w:basedOn w:val="a"/>
    <w:semiHidden/>
    <w:rsid w:val="00C50856"/>
    <w:rPr>
      <w:rFonts w:ascii="Tahoma" w:hAnsi="Tahoma" w:cs="Tahoma"/>
      <w:sz w:val="16"/>
      <w:szCs w:val="16"/>
    </w:rPr>
  </w:style>
  <w:style w:type="character" w:styleId="aa">
    <w:name w:val="Strong"/>
    <w:qFormat/>
    <w:rsid w:val="00861718"/>
    <w:rPr>
      <w:rFonts w:ascii="Times New Roman" w:hAnsi="Times New Roman" w:cs="Times New Roman" w:hint="default"/>
      <w:b/>
      <w:bCs/>
    </w:rPr>
  </w:style>
  <w:style w:type="table" w:styleId="ab">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2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10">
    <w:name w:val="Заголовок 1 Знак"/>
    <w:basedOn w:val="a0"/>
    <w:link w:val="1"/>
    <w:rsid w:val="00A028A1"/>
    <w:rPr>
      <w:rFonts w:asciiTheme="majorHAnsi" w:eastAsiaTheme="majorEastAsia" w:hAnsiTheme="majorHAnsi" w:cstheme="majorBidi"/>
      <w:color w:val="2E74B5" w:themeColor="accent1" w:themeShade="BF"/>
      <w:sz w:val="32"/>
      <w:szCs w:val="32"/>
      <w:lang w:val="en-US" w:eastAsia="ru-RU"/>
    </w:rPr>
  </w:style>
  <w:style w:type="character" w:customStyle="1" w:styleId="a4">
    <w:name w:val="Верхній колонтитул Знак"/>
    <w:basedOn w:val="a0"/>
    <w:link w:val="a3"/>
    <w:uiPriority w:val="99"/>
    <w:rsid w:val="00C86508"/>
    <w:rPr>
      <w:sz w:val="28"/>
      <w:szCs w:val="28"/>
      <w:lang w:val="en-US" w:eastAsia="ru-RU"/>
    </w:rPr>
  </w:style>
  <w:style w:type="character" w:customStyle="1" w:styleId="a6">
    <w:name w:val="Нижній колонтитул Знак"/>
    <w:basedOn w:val="a0"/>
    <w:link w:val="a5"/>
    <w:uiPriority w:val="99"/>
    <w:rsid w:val="002214AA"/>
    <w:rPr>
      <w:sz w:val="28"/>
      <w:szCs w:val="28"/>
      <w:lang w:val="en-US" w:eastAsia="ru-RU"/>
    </w:rPr>
  </w:style>
  <w:style w:type="character" w:customStyle="1" w:styleId="20">
    <w:name w:val="Заголовок 2 Знак"/>
    <w:basedOn w:val="a0"/>
    <w:link w:val="2"/>
    <w:semiHidden/>
    <w:rsid w:val="001B4D12"/>
    <w:rPr>
      <w:rFonts w:asciiTheme="majorHAnsi" w:eastAsiaTheme="majorEastAsia" w:hAnsiTheme="majorHAnsi" w:cstheme="majorBidi"/>
      <w:color w:val="2E74B5" w:themeColor="accent1" w:themeShade="BF"/>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115107358">
      <w:bodyDiv w:val="1"/>
      <w:marLeft w:val="0"/>
      <w:marRight w:val="0"/>
      <w:marTop w:val="0"/>
      <w:marBottom w:val="0"/>
      <w:divBdr>
        <w:top w:val="none" w:sz="0" w:space="0" w:color="auto"/>
        <w:left w:val="none" w:sz="0" w:space="0" w:color="auto"/>
        <w:bottom w:val="none" w:sz="0" w:space="0" w:color="auto"/>
        <w:right w:val="none" w:sz="0" w:space="0" w:color="auto"/>
      </w:divBdr>
    </w:div>
    <w:div w:id="121776392">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62805529">
      <w:bodyDiv w:val="1"/>
      <w:marLeft w:val="0"/>
      <w:marRight w:val="0"/>
      <w:marTop w:val="0"/>
      <w:marBottom w:val="0"/>
      <w:divBdr>
        <w:top w:val="none" w:sz="0" w:space="0" w:color="auto"/>
        <w:left w:val="none" w:sz="0" w:space="0" w:color="auto"/>
        <w:bottom w:val="none" w:sz="0" w:space="0" w:color="auto"/>
        <w:right w:val="none" w:sz="0" w:space="0" w:color="auto"/>
      </w:divBdr>
    </w:div>
    <w:div w:id="279577149">
      <w:bodyDiv w:val="1"/>
      <w:marLeft w:val="0"/>
      <w:marRight w:val="0"/>
      <w:marTop w:val="0"/>
      <w:marBottom w:val="0"/>
      <w:divBdr>
        <w:top w:val="none" w:sz="0" w:space="0" w:color="auto"/>
        <w:left w:val="none" w:sz="0" w:space="0" w:color="auto"/>
        <w:bottom w:val="none" w:sz="0" w:space="0" w:color="auto"/>
        <w:right w:val="none" w:sz="0" w:space="0" w:color="auto"/>
      </w:divBdr>
    </w:div>
    <w:div w:id="343945395">
      <w:bodyDiv w:val="1"/>
      <w:marLeft w:val="0"/>
      <w:marRight w:val="0"/>
      <w:marTop w:val="0"/>
      <w:marBottom w:val="0"/>
      <w:divBdr>
        <w:top w:val="none" w:sz="0" w:space="0" w:color="auto"/>
        <w:left w:val="none" w:sz="0" w:space="0" w:color="auto"/>
        <w:bottom w:val="none" w:sz="0" w:space="0" w:color="auto"/>
        <w:right w:val="none" w:sz="0" w:space="0" w:color="auto"/>
      </w:divBdr>
    </w:div>
    <w:div w:id="351419872">
      <w:bodyDiv w:val="1"/>
      <w:marLeft w:val="0"/>
      <w:marRight w:val="0"/>
      <w:marTop w:val="0"/>
      <w:marBottom w:val="0"/>
      <w:divBdr>
        <w:top w:val="none" w:sz="0" w:space="0" w:color="auto"/>
        <w:left w:val="none" w:sz="0" w:space="0" w:color="auto"/>
        <w:bottom w:val="none" w:sz="0" w:space="0" w:color="auto"/>
        <w:right w:val="none" w:sz="0" w:space="0" w:color="auto"/>
      </w:divBdr>
    </w:div>
    <w:div w:id="362554192">
      <w:bodyDiv w:val="1"/>
      <w:marLeft w:val="0"/>
      <w:marRight w:val="0"/>
      <w:marTop w:val="0"/>
      <w:marBottom w:val="0"/>
      <w:divBdr>
        <w:top w:val="none" w:sz="0" w:space="0" w:color="auto"/>
        <w:left w:val="none" w:sz="0" w:space="0" w:color="auto"/>
        <w:bottom w:val="none" w:sz="0" w:space="0" w:color="auto"/>
        <w:right w:val="none" w:sz="0" w:space="0" w:color="auto"/>
      </w:divBdr>
    </w:div>
    <w:div w:id="469053845">
      <w:bodyDiv w:val="1"/>
      <w:marLeft w:val="0"/>
      <w:marRight w:val="0"/>
      <w:marTop w:val="0"/>
      <w:marBottom w:val="0"/>
      <w:divBdr>
        <w:top w:val="none" w:sz="0" w:space="0" w:color="auto"/>
        <w:left w:val="none" w:sz="0" w:space="0" w:color="auto"/>
        <w:bottom w:val="none" w:sz="0" w:space="0" w:color="auto"/>
        <w:right w:val="none" w:sz="0" w:space="0" w:color="auto"/>
      </w:divBdr>
      <w:divsChild>
        <w:div w:id="1118184787">
          <w:marLeft w:val="0"/>
          <w:marRight w:val="0"/>
          <w:marTop w:val="0"/>
          <w:marBottom w:val="0"/>
          <w:divBdr>
            <w:top w:val="none" w:sz="0" w:space="0" w:color="auto"/>
            <w:left w:val="none" w:sz="0" w:space="0" w:color="auto"/>
            <w:bottom w:val="none" w:sz="0" w:space="0" w:color="auto"/>
            <w:right w:val="none" w:sz="0" w:space="0" w:color="auto"/>
          </w:divBdr>
        </w:div>
        <w:div w:id="1791557908">
          <w:marLeft w:val="0"/>
          <w:marRight w:val="0"/>
          <w:marTop w:val="0"/>
          <w:marBottom w:val="0"/>
          <w:divBdr>
            <w:top w:val="none" w:sz="0" w:space="0" w:color="auto"/>
            <w:left w:val="none" w:sz="0" w:space="0" w:color="auto"/>
            <w:bottom w:val="none" w:sz="0" w:space="0" w:color="auto"/>
            <w:right w:val="none" w:sz="0" w:space="0" w:color="auto"/>
          </w:divBdr>
        </w:div>
      </w:divsChild>
    </w:div>
    <w:div w:id="556015927">
      <w:bodyDiv w:val="1"/>
      <w:marLeft w:val="0"/>
      <w:marRight w:val="0"/>
      <w:marTop w:val="0"/>
      <w:marBottom w:val="0"/>
      <w:divBdr>
        <w:top w:val="none" w:sz="0" w:space="0" w:color="auto"/>
        <w:left w:val="none" w:sz="0" w:space="0" w:color="auto"/>
        <w:bottom w:val="none" w:sz="0" w:space="0" w:color="auto"/>
        <w:right w:val="none" w:sz="0" w:space="0" w:color="auto"/>
      </w:divBdr>
    </w:div>
    <w:div w:id="569728253">
      <w:bodyDiv w:val="1"/>
      <w:marLeft w:val="0"/>
      <w:marRight w:val="0"/>
      <w:marTop w:val="0"/>
      <w:marBottom w:val="0"/>
      <w:divBdr>
        <w:top w:val="none" w:sz="0" w:space="0" w:color="auto"/>
        <w:left w:val="none" w:sz="0" w:space="0" w:color="auto"/>
        <w:bottom w:val="none" w:sz="0" w:space="0" w:color="auto"/>
        <w:right w:val="none" w:sz="0" w:space="0" w:color="auto"/>
      </w:divBdr>
    </w:div>
    <w:div w:id="600721957">
      <w:bodyDiv w:val="1"/>
      <w:marLeft w:val="0"/>
      <w:marRight w:val="0"/>
      <w:marTop w:val="0"/>
      <w:marBottom w:val="0"/>
      <w:divBdr>
        <w:top w:val="none" w:sz="0" w:space="0" w:color="auto"/>
        <w:left w:val="none" w:sz="0" w:space="0" w:color="auto"/>
        <w:bottom w:val="none" w:sz="0" w:space="0" w:color="auto"/>
        <w:right w:val="none" w:sz="0" w:space="0" w:color="auto"/>
      </w:divBdr>
    </w:div>
    <w:div w:id="650718799">
      <w:bodyDiv w:val="1"/>
      <w:marLeft w:val="0"/>
      <w:marRight w:val="0"/>
      <w:marTop w:val="0"/>
      <w:marBottom w:val="0"/>
      <w:divBdr>
        <w:top w:val="none" w:sz="0" w:space="0" w:color="auto"/>
        <w:left w:val="none" w:sz="0" w:space="0" w:color="auto"/>
        <w:bottom w:val="none" w:sz="0" w:space="0" w:color="auto"/>
        <w:right w:val="none" w:sz="0" w:space="0" w:color="auto"/>
      </w:divBdr>
    </w:div>
    <w:div w:id="703023477">
      <w:bodyDiv w:val="1"/>
      <w:marLeft w:val="0"/>
      <w:marRight w:val="0"/>
      <w:marTop w:val="0"/>
      <w:marBottom w:val="0"/>
      <w:divBdr>
        <w:top w:val="none" w:sz="0" w:space="0" w:color="auto"/>
        <w:left w:val="none" w:sz="0" w:space="0" w:color="auto"/>
        <w:bottom w:val="none" w:sz="0" w:space="0" w:color="auto"/>
        <w:right w:val="none" w:sz="0" w:space="0" w:color="auto"/>
      </w:divBdr>
    </w:div>
    <w:div w:id="734278833">
      <w:bodyDiv w:val="1"/>
      <w:marLeft w:val="0"/>
      <w:marRight w:val="0"/>
      <w:marTop w:val="0"/>
      <w:marBottom w:val="0"/>
      <w:divBdr>
        <w:top w:val="none" w:sz="0" w:space="0" w:color="auto"/>
        <w:left w:val="none" w:sz="0" w:space="0" w:color="auto"/>
        <w:bottom w:val="none" w:sz="0" w:space="0" w:color="auto"/>
        <w:right w:val="none" w:sz="0" w:space="0" w:color="auto"/>
      </w:divBdr>
    </w:div>
    <w:div w:id="796795631">
      <w:bodyDiv w:val="1"/>
      <w:marLeft w:val="0"/>
      <w:marRight w:val="0"/>
      <w:marTop w:val="0"/>
      <w:marBottom w:val="0"/>
      <w:divBdr>
        <w:top w:val="none" w:sz="0" w:space="0" w:color="auto"/>
        <w:left w:val="none" w:sz="0" w:space="0" w:color="auto"/>
        <w:bottom w:val="none" w:sz="0" w:space="0" w:color="auto"/>
        <w:right w:val="none" w:sz="0" w:space="0" w:color="auto"/>
      </w:divBdr>
    </w:div>
    <w:div w:id="853422730">
      <w:bodyDiv w:val="1"/>
      <w:marLeft w:val="0"/>
      <w:marRight w:val="0"/>
      <w:marTop w:val="0"/>
      <w:marBottom w:val="0"/>
      <w:divBdr>
        <w:top w:val="none" w:sz="0" w:space="0" w:color="auto"/>
        <w:left w:val="none" w:sz="0" w:space="0" w:color="auto"/>
        <w:bottom w:val="none" w:sz="0" w:space="0" w:color="auto"/>
        <w:right w:val="none" w:sz="0" w:space="0" w:color="auto"/>
      </w:divBdr>
    </w:div>
    <w:div w:id="924606397">
      <w:bodyDiv w:val="1"/>
      <w:marLeft w:val="0"/>
      <w:marRight w:val="0"/>
      <w:marTop w:val="0"/>
      <w:marBottom w:val="0"/>
      <w:divBdr>
        <w:top w:val="none" w:sz="0" w:space="0" w:color="auto"/>
        <w:left w:val="none" w:sz="0" w:space="0" w:color="auto"/>
        <w:bottom w:val="none" w:sz="0" w:space="0" w:color="auto"/>
        <w:right w:val="none" w:sz="0" w:space="0" w:color="auto"/>
      </w:divBdr>
    </w:div>
    <w:div w:id="929116637">
      <w:bodyDiv w:val="1"/>
      <w:marLeft w:val="0"/>
      <w:marRight w:val="0"/>
      <w:marTop w:val="0"/>
      <w:marBottom w:val="0"/>
      <w:divBdr>
        <w:top w:val="none" w:sz="0" w:space="0" w:color="auto"/>
        <w:left w:val="none" w:sz="0" w:space="0" w:color="auto"/>
        <w:bottom w:val="none" w:sz="0" w:space="0" w:color="auto"/>
        <w:right w:val="none" w:sz="0" w:space="0" w:color="auto"/>
      </w:divBdr>
    </w:div>
    <w:div w:id="984091078">
      <w:bodyDiv w:val="1"/>
      <w:marLeft w:val="0"/>
      <w:marRight w:val="0"/>
      <w:marTop w:val="0"/>
      <w:marBottom w:val="0"/>
      <w:divBdr>
        <w:top w:val="none" w:sz="0" w:space="0" w:color="auto"/>
        <w:left w:val="none" w:sz="0" w:space="0" w:color="auto"/>
        <w:bottom w:val="none" w:sz="0" w:space="0" w:color="auto"/>
        <w:right w:val="none" w:sz="0" w:space="0" w:color="auto"/>
      </w:divBdr>
    </w:div>
    <w:div w:id="1018508924">
      <w:bodyDiv w:val="1"/>
      <w:marLeft w:val="0"/>
      <w:marRight w:val="0"/>
      <w:marTop w:val="0"/>
      <w:marBottom w:val="0"/>
      <w:divBdr>
        <w:top w:val="none" w:sz="0" w:space="0" w:color="auto"/>
        <w:left w:val="none" w:sz="0" w:space="0" w:color="auto"/>
        <w:bottom w:val="none" w:sz="0" w:space="0" w:color="auto"/>
        <w:right w:val="none" w:sz="0" w:space="0" w:color="auto"/>
      </w:divBdr>
    </w:div>
    <w:div w:id="1070619580">
      <w:bodyDiv w:val="1"/>
      <w:marLeft w:val="0"/>
      <w:marRight w:val="0"/>
      <w:marTop w:val="0"/>
      <w:marBottom w:val="0"/>
      <w:divBdr>
        <w:top w:val="none" w:sz="0" w:space="0" w:color="auto"/>
        <w:left w:val="none" w:sz="0" w:space="0" w:color="auto"/>
        <w:bottom w:val="none" w:sz="0" w:space="0" w:color="auto"/>
        <w:right w:val="none" w:sz="0" w:space="0" w:color="auto"/>
      </w:divBdr>
    </w:div>
    <w:div w:id="1104230901">
      <w:bodyDiv w:val="1"/>
      <w:marLeft w:val="0"/>
      <w:marRight w:val="0"/>
      <w:marTop w:val="0"/>
      <w:marBottom w:val="0"/>
      <w:divBdr>
        <w:top w:val="none" w:sz="0" w:space="0" w:color="auto"/>
        <w:left w:val="none" w:sz="0" w:space="0" w:color="auto"/>
        <w:bottom w:val="none" w:sz="0" w:space="0" w:color="auto"/>
        <w:right w:val="none" w:sz="0" w:space="0" w:color="auto"/>
      </w:divBdr>
    </w:div>
    <w:div w:id="1113137111">
      <w:bodyDiv w:val="1"/>
      <w:marLeft w:val="0"/>
      <w:marRight w:val="0"/>
      <w:marTop w:val="0"/>
      <w:marBottom w:val="0"/>
      <w:divBdr>
        <w:top w:val="none" w:sz="0" w:space="0" w:color="auto"/>
        <w:left w:val="none" w:sz="0" w:space="0" w:color="auto"/>
        <w:bottom w:val="none" w:sz="0" w:space="0" w:color="auto"/>
        <w:right w:val="none" w:sz="0" w:space="0" w:color="auto"/>
      </w:divBdr>
    </w:div>
    <w:div w:id="1126705395">
      <w:bodyDiv w:val="1"/>
      <w:marLeft w:val="0"/>
      <w:marRight w:val="0"/>
      <w:marTop w:val="0"/>
      <w:marBottom w:val="0"/>
      <w:divBdr>
        <w:top w:val="none" w:sz="0" w:space="0" w:color="auto"/>
        <w:left w:val="none" w:sz="0" w:space="0" w:color="auto"/>
        <w:bottom w:val="none" w:sz="0" w:space="0" w:color="auto"/>
        <w:right w:val="none" w:sz="0" w:space="0" w:color="auto"/>
      </w:divBdr>
    </w:div>
    <w:div w:id="1232498963">
      <w:bodyDiv w:val="1"/>
      <w:marLeft w:val="0"/>
      <w:marRight w:val="0"/>
      <w:marTop w:val="0"/>
      <w:marBottom w:val="0"/>
      <w:divBdr>
        <w:top w:val="none" w:sz="0" w:space="0" w:color="auto"/>
        <w:left w:val="none" w:sz="0" w:space="0" w:color="auto"/>
        <w:bottom w:val="none" w:sz="0" w:space="0" w:color="auto"/>
        <w:right w:val="none" w:sz="0" w:space="0" w:color="auto"/>
      </w:divBdr>
    </w:div>
    <w:div w:id="1247419451">
      <w:bodyDiv w:val="1"/>
      <w:marLeft w:val="0"/>
      <w:marRight w:val="0"/>
      <w:marTop w:val="0"/>
      <w:marBottom w:val="0"/>
      <w:divBdr>
        <w:top w:val="none" w:sz="0" w:space="0" w:color="auto"/>
        <w:left w:val="none" w:sz="0" w:space="0" w:color="auto"/>
        <w:bottom w:val="none" w:sz="0" w:space="0" w:color="auto"/>
        <w:right w:val="none" w:sz="0" w:space="0" w:color="auto"/>
      </w:divBdr>
    </w:div>
    <w:div w:id="1296137360">
      <w:bodyDiv w:val="1"/>
      <w:marLeft w:val="0"/>
      <w:marRight w:val="0"/>
      <w:marTop w:val="0"/>
      <w:marBottom w:val="0"/>
      <w:divBdr>
        <w:top w:val="none" w:sz="0" w:space="0" w:color="auto"/>
        <w:left w:val="none" w:sz="0" w:space="0" w:color="auto"/>
        <w:bottom w:val="none" w:sz="0" w:space="0" w:color="auto"/>
        <w:right w:val="none" w:sz="0" w:space="0" w:color="auto"/>
      </w:divBdr>
    </w:div>
    <w:div w:id="1301182620">
      <w:bodyDiv w:val="1"/>
      <w:marLeft w:val="0"/>
      <w:marRight w:val="0"/>
      <w:marTop w:val="0"/>
      <w:marBottom w:val="0"/>
      <w:divBdr>
        <w:top w:val="none" w:sz="0" w:space="0" w:color="auto"/>
        <w:left w:val="none" w:sz="0" w:space="0" w:color="auto"/>
        <w:bottom w:val="none" w:sz="0" w:space="0" w:color="auto"/>
        <w:right w:val="none" w:sz="0" w:space="0" w:color="auto"/>
      </w:divBdr>
    </w:div>
    <w:div w:id="1448818779">
      <w:bodyDiv w:val="1"/>
      <w:marLeft w:val="0"/>
      <w:marRight w:val="0"/>
      <w:marTop w:val="0"/>
      <w:marBottom w:val="0"/>
      <w:divBdr>
        <w:top w:val="none" w:sz="0" w:space="0" w:color="auto"/>
        <w:left w:val="none" w:sz="0" w:space="0" w:color="auto"/>
        <w:bottom w:val="none" w:sz="0" w:space="0" w:color="auto"/>
        <w:right w:val="none" w:sz="0" w:space="0" w:color="auto"/>
      </w:divBdr>
    </w:div>
    <w:div w:id="1450078559">
      <w:bodyDiv w:val="1"/>
      <w:marLeft w:val="0"/>
      <w:marRight w:val="0"/>
      <w:marTop w:val="0"/>
      <w:marBottom w:val="0"/>
      <w:divBdr>
        <w:top w:val="none" w:sz="0" w:space="0" w:color="auto"/>
        <w:left w:val="none" w:sz="0" w:space="0" w:color="auto"/>
        <w:bottom w:val="none" w:sz="0" w:space="0" w:color="auto"/>
        <w:right w:val="none" w:sz="0" w:space="0" w:color="auto"/>
      </w:divBdr>
    </w:div>
    <w:div w:id="1479611077">
      <w:bodyDiv w:val="1"/>
      <w:marLeft w:val="0"/>
      <w:marRight w:val="0"/>
      <w:marTop w:val="0"/>
      <w:marBottom w:val="0"/>
      <w:divBdr>
        <w:top w:val="none" w:sz="0" w:space="0" w:color="auto"/>
        <w:left w:val="none" w:sz="0" w:space="0" w:color="auto"/>
        <w:bottom w:val="none" w:sz="0" w:space="0" w:color="auto"/>
        <w:right w:val="none" w:sz="0" w:space="0" w:color="auto"/>
      </w:divBdr>
    </w:div>
    <w:div w:id="1487165672">
      <w:bodyDiv w:val="1"/>
      <w:marLeft w:val="0"/>
      <w:marRight w:val="0"/>
      <w:marTop w:val="0"/>
      <w:marBottom w:val="0"/>
      <w:divBdr>
        <w:top w:val="none" w:sz="0" w:space="0" w:color="auto"/>
        <w:left w:val="none" w:sz="0" w:space="0" w:color="auto"/>
        <w:bottom w:val="none" w:sz="0" w:space="0" w:color="auto"/>
        <w:right w:val="none" w:sz="0" w:space="0" w:color="auto"/>
      </w:divBdr>
    </w:div>
    <w:div w:id="1610090511">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893997565">
      <w:bodyDiv w:val="1"/>
      <w:marLeft w:val="0"/>
      <w:marRight w:val="0"/>
      <w:marTop w:val="0"/>
      <w:marBottom w:val="0"/>
      <w:divBdr>
        <w:top w:val="none" w:sz="0" w:space="0" w:color="auto"/>
        <w:left w:val="none" w:sz="0" w:space="0" w:color="auto"/>
        <w:bottom w:val="none" w:sz="0" w:space="0" w:color="auto"/>
        <w:right w:val="none" w:sz="0" w:space="0" w:color="auto"/>
      </w:divBdr>
    </w:div>
    <w:div w:id="1908834286">
      <w:bodyDiv w:val="1"/>
      <w:marLeft w:val="0"/>
      <w:marRight w:val="0"/>
      <w:marTop w:val="0"/>
      <w:marBottom w:val="0"/>
      <w:divBdr>
        <w:top w:val="none" w:sz="0" w:space="0" w:color="auto"/>
        <w:left w:val="none" w:sz="0" w:space="0" w:color="auto"/>
        <w:bottom w:val="none" w:sz="0" w:space="0" w:color="auto"/>
        <w:right w:val="none" w:sz="0" w:space="0" w:color="auto"/>
      </w:divBdr>
    </w:div>
    <w:div w:id="1925455913">
      <w:bodyDiv w:val="1"/>
      <w:marLeft w:val="0"/>
      <w:marRight w:val="0"/>
      <w:marTop w:val="0"/>
      <w:marBottom w:val="0"/>
      <w:divBdr>
        <w:top w:val="none" w:sz="0" w:space="0" w:color="auto"/>
        <w:left w:val="none" w:sz="0" w:space="0" w:color="auto"/>
        <w:bottom w:val="none" w:sz="0" w:space="0" w:color="auto"/>
        <w:right w:val="none" w:sz="0" w:space="0" w:color="auto"/>
      </w:divBdr>
    </w:div>
    <w:div w:id="1928729937">
      <w:bodyDiv w:val="1"/>
      <w:marLeft w:val="0"/>
      <w:marRight w:val="0"/>
      <w:marTop w:val="0"/>
      <w:marBottom w:val="0"/>
      <w:divBdr>
        <w:top w:val="none" w:sz="0" w:space="0" w:color="auto"/>
        <w:left w:val="none" w:sz="0" w:space="0" w:color="auto"/>
        <w:bottom w:val="none" w:sz="0" w:space="0" w:color="auto"/>
        <w:right w:val="none" w:sz="0" w:space="0" w:color="auto"/>
      </w:divBdr>
    </w:div>
    <w:div w:id="1937638270">
      <w:bodyDiv w:val="1"/>
      <w:marLeft w:val="0"/>
      <w:marRight w:val="0"/>
      <w:marTop w:val="0"/>
      <w:marBottom w:val="0"/>
      <w:divBdr>
        <w:top w:val="none" w:sz="0" w:space="0" w:color="auto"/>
        <w:left w:val="none" w:sz="0" w:space="0" w:color="auto"/>
        <w:bottom w:val="none" w:sz="0" w:space="0" w:color="auto"/>
        <w:right w:val="none" w:sz="0" w:space="0" w:color="auto"/>
      </w:divBdr>
    </w:div>
    <w:div w:id="1977442671">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1991865545">
      <w:bodyDiv w:val="1"/>
      <w:marLeft w:val="0"/>
      <w:marRight w:val="0"/>
      <w:marTop w:val="0"/>
      <w:marBottom w:val="0"/>
      <w:divBdr>
        <w:top w:val="none" w:sz="0" w:space="0" w:color="auto"/>
        <w:left w:val="none" w:sz="0" w:space="0" w:color="auto"/>
        <w:bottom w:val="none" w:sz="0" w:space="0" w:color="auto"/>
        <w:right w:val="none" w:sz="0" w:space="0" w:color="auto"/>
      </w:divBdr>
    </w:div>
    <w:div w:id="2013332351">
      <w:bodyDiv w:val="1"/>
      <w:marLeft w:val="0"/>
      <w:marRight w:val="0"/>
      <w:marTop w:val="0"/>
      <w:marBottom w:val="0"/>
      <w:divBdr>
        <w:top w:val="none" w:sz="0" w:space="0" w:color="auto"/>
        <w:left w:val="none" w:sz="0" w:space="0" w:color="auto"/>
        <w:bottom w:val="none" w:sz="0" w:space="0" w:color="auto"/>
        <w:right w:val="none" w:sz="0" w:space="0" w:color="auto"/>
      </w:divBdr>
    </w:div>
    <w:div w:id="2015456361">
      <w:bodyDiv w:val="1"/>
      <w:marLeft w:val="0"/>
      <w:marRight w:val="0"/>
      <w:marTop w:val="0"/>
      <w:marBottom w:val="0"/>
      <w:divBdr>
        <w:top w:val="none" w:sz="0" w:space="0" w:color="auto"/>
        <w:left w:val="none" w:sz="0" w:space="0" w:color="auto"/>
        <w:bottom w:val="none" w:sz="0" w:space="0" w:color="auto"/>
        <w:right w:val="none" w:sz="0" w:space="0" w:color="auto"/>
      </w:divBdr>
    </w:div>
    <w:div w:id="2049600170">
      <w:bodyDiv w:val="1"/>
      <w:marLeft w:val="0"/>
      <w:marRight w:val="0"/>
      <w:marTop w:val="0"/>
      <w:marBottom w:val="0"/>
      <w:divBdr>
        <w:top w:val="none" w:sz="0" w:space="0" w:color="auto"/>
        <w:left w:val="none" w:sz="0" w:space="0" w:color="auto"/>
        <w:bottom w:val="none" w:sz="0" w:space="0" w:color="auto"/>
        <w:right w:val="none" w:sz="0" w:space="0" w:color="auto"/>
      </w:divBdr>
    </w:div>
    <w:div w:id="2082016468">
      <w:bodyDiv w:val="1"/>
      <w:marLeft w:val="0"/>
      <w:marRight w:val="0"/>
      <w:marTop w:val="0"/>
      <w:marBottom w:val="0"/>
      <w:divBdr>
        <w:top w:val="none" w:sz="0" w:space="0" w:color="auto"/>
        <w:left w:val="none" w:sz="0" w:space="0" w:color="auto"/>
        <w:bottom w:val="none" w:sz="0" w:space="0" w:color="auto"/>
        <w:right w:val="none" w:sz="0" w:space="0" w:color="auto"/>
      </w:divBdr>
    </w:div>
    <w:div w:id="21289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6475</Words>
  <Characters>3691</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Verkhovna Rada</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cp:lastModifiedBy>Фостик Богдан Володимирович</cp:lastModifiedBy>
  <cp:revision>6</cp:revision>
  <cp:lastPrinted>2012-05-16T14:13:00Z</cp:lastPrinted>
  <dcterms:created xsi:type="dcterms:W3CDTF">2020-12-08T09:25:00Z</dcterms:created>
  <dcterms:modified xsi:type="dcterms:W3CDTF">2020-12-10T10:03:00Z</dcterms:modified>
</cp:coreProperties>
</file>