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7D63" w14:textId="77777777" w:rsidR="00023A83" w:rsidRPr="00032290" w:rsidRDefault="00023A83" w:rsidP="00023A83">
      <w:pPr>
        <w:tabs>
          <w:tab w:val="left" w:pos="851"/>
        </w:tabs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32290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14:paraId="35D80001" w14:textId="6B50589E" w:rsidR="00023A83" w:rsidRDefault="00023A83" w:rsidP="00023A83">
      <w:pPr>
        <w:tabs>
          <w:tab w:val="left" w:pos="851"/>
        </w:tabs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вноситься народним</w:t>
      </w:r>
      <w:r w:rsidR="004E77F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4E77F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E77F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84F351" w14:textId="2A0B59F1" w:rsidR="00023A83" w:rsidRDefault="00023A83" w:rsidP="00023A83">
      <w:pPr>
        <w:tabs>
          <w:tab w:val="left" w:pos="851"/>
        </w:tabs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Василевською-Смаглюк О.М. (посвідчення №302)</w:t>
      </w:r>
      <w:r w:rsidR="004E77FE">
        <w:rPr>
          <w:rFonts w:ascii="Times New Roman" w:hAnsi="Times New Roman" w:cs="Times New Roman"/>
          <w:sz w:val="28"/>
          <w:szCs w:val="28"/>
          <w:lang w:val="uk-UA"/>
        </w:rPr>
        <w:t xml:space="preserve"> та іншими</w:t>
      </w:r>
    </w:p>
    <w:p w14:paraId="197732CF" w14:textId="77777777" w:rsidR="00023A83" w:rsidRDefault="00023A83" w:rsidP="00023A83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E4F483" w14:textId="77777777" w:rsidR="00023A83" w:rsidRDefault="00023A83" w:rsidP="00023A83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84F9BD" w14:textId="77777777" w:rsidR="00023A83" w:rsidRDefault="00023A83" w:rsidP="00023A83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6DB1AE" w14:textId="77777777" w:rsidR="00023A83" w:rsidRDefault="00023A83" w:rsidP="00023A83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46613C" w14:textId="77777777" w:rsidR="00023A83" w:rsidRDefault="00023A83" w:rsidP="00023A83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D32E8" w14:textId="77777777" w:rsidR="00023A83" w:rsidRPr="008F2CD9" w:rsidRDefault="00023A83" w:rsidP="00023A83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66CEA4" w14:textId="77777777" w:rsidR="00023A83" w:rsidRPr="008F2CD9" w:rsidRDefault="00023A83" w:rsidP="00023A83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CD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 УКРА</w:t>
      </w:r>
      <w:r w:rsidRPr="008F2CD9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Ї</w:t>
      </w:r>
      <w:r w:rsidRPr="008F2CD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</w:t>
      </w:r>
    </w:p>
    <w:p w14:paraId="501233AE" w14:textId="77777777" w:rsidR="00023A83" w:rsidRPr="00000F91" w:rsidRDefault="00023A83" w:rsidP="00023A83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F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00F91">
        <w:rPr>
          <w:rFonts w:ascii="Times New Roman" w:hAnsi="Times New Roman" w:cs="Times New Roman"/>
          <w:kern w:val="2"/>
          <w:sz w:val="28"/>
          <w:szCs w:val="28"/>
          <w:lang w:val="uk-UA" w:eastAsia="ar-SA" w:bidi="ar-SA"/>
        </w:rPr>
        <w:t xml:space="preserve">ро </w:t>
      </w:r>
      <w:r w:rsidRPr="00381AE3">
        <w:rPr>
          <w:rFonts w:ascii="Times New Roman" w:hAnsi="Times New Roman" w:cs="Times New Roman"/>
          <w:kern w:val="2"/>
          <w:sz w:val="28"/>
          <w:szCs w:val="28"/>
          <w:lang w:val="uk-UA" w:eastAsia="ar-SA" w:bidi="ar-SA"/>
        </w:rPr>
        <w:t xml:space="preserve">внесення змін до деяких законодавчих актів України </w:t>
      </w:r>
      <w:r w:rsidRPr="00023A83">
        <w:rPr>
          <w:rFonts w:ascii="Times New Roman" w:hAnsi="Times New Roman" w:cs="Times New Roman"/>
          <w:kern w:val="2"/>
          <w:sz w:val="28"/>
          <w:szCs w:val="28"/>
          <w:lang w:val="uk-UA" w:eastAsia="ar-SA" w:bidi="ar-SA"/>
        </w:rPr>
        <w:t>щодо складу керівників і членів наглядових рад державних унітарних підприємств та господарських товариств, у статутному капіталі яких більше 50 відсотків акцій (часток) належать державі, та розміру їх винагороди</w:t>
      </w:r>
    </w:p>
    <w:p w14:paraId="65558CB3" w14:textId="77777777" w:rsidR="00023A83" w:rsidRPr="008F2CD9" w:rsidRDefault="00023A83" w:rsidP="00023A83">
      <w:pPr>
        <w:tabs>
          <w:tab w:val="left" w:pos="851"/>
        </w:tabs>
        <w:spacing w:after="12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E039DD9" w14:textId="77777777" w:rsidR="00023A83" w:rsidRPr="00DF4608" w:rsidRDefault="00023A83" w:rsidP="00023A83">
      <w:pPr>
        <w:pStyle w:val="a4"/>
        <w:keepNext w:val="0"/>
        <w:keepLines w:val="0"/>
        <w:widowControl w:val="0"/>
        <w:tabs>
          <w:tab w:val="left" w:pos="851"/>
        </w:tabs>
        <w:spacing w:before="0" w:after="0"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  <w:r w:rsidRPr="00DF4608">
        <w:rPr>
          <w:rFonts w:ascii="Times New Roman" w:hAnsi="Times New Roman"/>
          <w:b w:val="0"/>
          <w:sz w:val="28"/>
          <w:szCs w:val="28"/>
          <w:lang w:eastAsia="en-US"/>
        </w:rPr>
        <w:t xml:space="preserve">Верховна Рада України </w:t>
      </w:r>
      <w:r w:rsidRPr="00DF4608">
        <w:rPr>
          <w:rFonts w:ascii="Times New Roman" w:hAnsi="Times New Roman"/>
          <w:sz w:val="28"/>
          <w:szCs w:val="28"/>
          <w:lang w:eastAsia="en-US"/>
        </w:rPr>
        <w:t>п о с т а н о в л я є</w:t>
      </w:r>
      <w:r w:rsidRPr="00DF4608">
        <w:rPr>
          <w:rFonts w:ascii="Times New Roman" w:hAnsi="Times New Roman"/>
          <w:b w:val="0"/>
          <w:sz w:val="28"/>
          <w:szCs w:val="28"/>
          <w:lang w:eastAsia="en-US"/>
        </w:rPr>
        <w:t>:</w:t>
      </w:r>
    </w:p>
    <w:p w14:paraId="0BCB5A1D" w14:textId="77777777" w:rsidR="00023A83" w:rsidRPr="00DF4608" w:rsidRDefault="00023A83" w:rsidP="00023A83">
      <w:pPr>
        <w:tabs>
          <w:tab w:val="left" w:pos="851"/>
        </w:tabs>
        <w:ind w:firstLine="567"/>
        <w:rPr>
          <w:lang w:eastAsia="en-US"/>
        </w:rPr>
      </w:pPr>
    </w:p>
    <w:p w14:paraId="134CBA91" w14:textId="77777777" w:rsidR="00023A83" w:rsidRPr="00612658" w:rsidRDefault="00023A83" w:rsidP="00023A83">
      <w:pPr>
        <w:pStyle w:val="a5"/>
        <w:tabs>
          <w:tab w:val="left" w:pos="851"/>
        </w:tabs>
        <w:spacing w:before="0" w:after="120"/>
        <w:ind w:firstLine="567"/>
        <w:rPr>
          <w:b/>
          <w:color w:val="auto"/>
        </w:rPr>
      </w:pPr>
      <w:r w:rsidRPr="00612658">
        <w:rPr>
          <w:b/>
          <w:color w:val="auto"/>
        </w:rPr>
        <w:t xml:space="preserve">І. </w:t>
      </w:r>
      <w:proofErr w:type="spellStart"/>
      <w:r>
        <w:rPr>
          <w:b/>
          <w:color w:val="auto"/>
        </w:rPr>
        <w:t>У</w:t>
      </w:r>
      <w:r w:rsidRPr="00612658">
        <w:rPr>
          <w:b/>
          <w:color w:val="auto"/>
        </w:rPr>
        <w:t>нести</w:t>
      </w:r>
      <w:proofErr w:type="spellEnd"/>
      <w:r w:rsidRPr="00612658">
        <w:rPr>
          <w:b/>
          <w:color w:val="auto"/>
        </w:rPr>
        <w:t xml:space="preserve"> зміни до таких законів України:</w:t>
      </w:r>
    </w:p>
    <w:p w14:paraId="019E10B7" w14:textId="7AA56422" w:rsidR="00023A83" w:rsidRDefault="00023A83" w:rsidP="00023A83">
      <w:pPr>
        <w:pStyle w:val="a5"/>
        <w:tabs>
          <w:tab w:val="left" w:pos="851"/>
        </w:tabs>
        <w:spacing w:before="0" w:after="120"/>
        <w:ind w:firstLine="567"/>
        <w:rPr>
          <w:color w:val="auto"/>
        </w:rPr>
      </w:pPr>
      <w:r w:rsidRPr="00612658">
        <w:rPr>
          <w:b/>
          <w:color w:val="auto"/>
        </w:rPr>
        <w:t>1. У Законі України</w:t>
      </w:r>
      <w:r w:rsidRPr="00F546E8">
        <w:t xml:space="preserve"> </w:t>
      </w:r>
      <w:r w:rsidR="0074727D">
        <w:rPr>
          <w:b/>
          <w:color w:val="auto"/>
        </w:rPr>
        <w:t>«</w:t>
      </w:r>
      <w:r w:rsidRPr="00440EFD">
        <w:rPr>
          <w:b/>
          <w:bCs/>
          <w:color w:val="auto"/>
        </w:rPr>
        <w:t>Про управління об'єктами державної власності</w:t>
      </w:r>
      <w:r w:rsidR="0074727D">
        <w:rPr>
          <w:b/>
          <w:color w:val="auto"/>
        </w:rPr>
        <w:t>»</w:t>
      </w:r>
      <w:r w:rsidRPr="00F546E8">
        <w:rPr>
          <w:b/>
          <w:color w:val="auto"/>
        </w:rPr>
        <w:t xml:space="preserve"> </w:t>
      </w:r>
      <w:r>
        <w:t>(</w:t>
      </w:r>
      <w:r w:rsidRPr="00023A83">
        <w:t>Відомості Верховної Ради України (ВВР), 2006, № 46, ст.456</w:t>
      </w:r>
      <w:r w:rsidRPr="00C83E48">
        <w:t>)</w:t>
      </w:r>
      <w:r>
        <w:t>:</w:t>
      </w:r>
    </w:p>
    <w:p w14:paraId="27F3ED43" w14:textId="77777777" w:rsidR="00023A83" w:rsidRDefault="00023A83" w:rsidP="00023A83">
      <w:pPr>
        <w:pStyle w:val="a5"/>
        <w:numPr>
          <w:ilvl w:val="0"/>
          <w:numId w:val="7"/>
        </w:numPr>
        <w:tabs>
          <w:tab w:val="left" w:pos="850"/>
        </w:tabs>
        <w:spacing w:before="0" w:after="120"/>
        <w:ind w:left="0" w:firstLine="567"/>
        <w:rPr>
          <w:color w:val="auto"/>
        </w:rPr>
      </w:pPr>
      <w:r>
        <w:rPr>
          <w:color w:val="auto"/>
        </w:rPr>
        <w:t>доповнити частину третю статті 11-2 першим реченням такого змісту: «</w:t>
      </w:r>
      <w:r w:rsidRPr="00023A83">
        <w:rPr>
          <w:color w:val="auto"/>
        </w:rPr>
        <w:t>Керівником або членом наглядової ради державного унітарного підприємства, господарського товариства, у статутному капіталі якого більше 50 відсотків акцій (часток) належать державі, може б</w:t>
      </w:r>
      <w:r>
        <w:rPr>
          <w:color w:val="auto"/>
        </w:rPr>
        <w:t>ути виключно громадянин України</w:t>
      </w:r>
      <w:r w:rsidRPr="00023A83">
        <w:rPr>
          <w:color w:val="auto"/>
        </w:rPr>
        <w:t>»</w:t>
      </w:r>
      <w:r>
        <w:rPr>
          <w:color w:val="auto"/>
        </w:rPr>
        <w:t>;</w:t>
      </w:r>
    </w:p>
    <w:p w14:paraId="53E1E055" w14:textId="77777777" w:rsidR="00023A83" w:rsidRDefault="00023A83" w:rsidP="00023A83">
      <w:pPr>
        <w:pStyle w:val="a5"/>
        <w:numPr>
          <w:ilvl w:val="0"/>
          <w:numId w:val="7"/>
        </w:numPr>
        <w:tabs>
          <w:tab w:val="left" w:pos="850"/>
        </w:tabs>
        <w:spacing w:after="0"/>
        <w:ind w:left="0" w:firstLine="567"/>
        <w:rPr>
          <w:color w:val="auto"/>
        </w:rPr>
      </w:pPr>
      <w:r>
        <w:rPr>
          <w:color w:val="auto"/>
        </w:rPr>
        <w:t>частину другу статті 14 викласти в такій редакції:</w:t>
      </w:r>
    </w:p>
    <w:p w14:paraId="1B67FCAD" w14:textId="77777777" w:rsidR="00023A83" w:rsidRPr="00023A83" w:rsidRDefault="00023A83" w:rsidP="00023A83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  <w:r>
        <w:rPr>
          <w:color w:val="auto"/>
        </w:rPr>
        <w:t>«</w:t>
      </w:r>
      <w:r w:rsidRPr="00023A83">
        <w:rPr>
          <w:color w:val="auto"/>
        </w:rPr>
        <w:t xml:space="preserve">2. Члени наглядових рад державних унітарних підприємств та господарських товариств, у статутному капіталі яких більше 50 відсотків акцій (часток) належать державі, мають право на оплату своєї діяльності та компенсацію витрат, пов’язаних з виконанням своїх функцій, за рахунок такого державного унітарного підприємства або господарського товариства. </w:t>
      </w:r>
    </w:p>
    <w:p w14:paraId="7F554845" w14:textId="77777777" w:rsidR="00972049" w:rsidRDefault="00023A83" w:rsidP="00167E9A">
      <w:pPr>
        <w:pStyle w:val="a5"/>
        <w:tabs>
          <w:tab w:val="left" w:pos="850"/>
        </w:tabs>
        <w:spacing w:after="0"/>
        <w:ind w:firstLine="567"/>
        <w:rPr>
          <w:color w:val="auto"/>
        </w:rPr>
      </w:pPr>
      <w:r w:rsidRPr="00023A83">
        <w:rPr>
          <w:color w:val="auto"/>
        </w:rPr>
        <w:t xml:space="preserve">Максимально допустимий розмір базової місячної винагороди оплати послуг члена наглядової ради державного унітарного підприємства </w:t>
      </w:r>
      <w:r w:rsidR="00167E9A">
        <w:rPr>
          <w:color w:val="auto"/>
        </w:rPr>
        <w:t>або</w:t>
      </w:r>
      <w:r w:rsidRPr="00023A83">
        <w:rPr>
          <w:color w:val="auto"/>
        </w:rPr>
        <w:t xml:space="preserve"> господарського товариства, у статутному капіталі якого більше 50 відсотків акцій (часток) належать державі, у кратності до середньої заробітної плати по підприємству</w:t>
      </w:r>
      <w:r w:rsidR="00972049">
        <w:rPr>
          <w:color w:val="auto"/>
        </w:rPr>
        <w:t xml:space="preserve"> </w:t>
      </w:r>
      <w:r w:rsidR="00167E9A">
        <w:rPr>
          <w:color w:val="auto"/>
        </w:rPr>
        <w:t>або</w:t>
      </w:r>
      <w:r w:rsidR="00972049">
        <w:rPr>
          <w:color w:val="auto"/>
        </w:rPr>
        <w:t xml:space="preserve"> товариству</w:t>
      </w:r>
      <w:r w:rsidRPr="00023A83">
        <w:rPr>
          <w:color w:val="auto"/>
        </w:rPr>
        <w:t xml:space="preserve"> не може перевищувати 5 разів.</w:t>
      </w:r>
    </w:p>
    <w:p w14:paraId="05C26D97" w14:textId="77777777" w:rsidR="00023A83" w:rsidRPr="00023A83" w:rsidRDefault="00023A83" w:rsidP="00167E9A">
      <w:pPr>
        <w:pStyle w:val="a5"/>
        <w:tabs>
          <w:tab w:val="left" w:pos="850"/>
        </w:tabs>
        <w:spacing w:after="0"/>
        <w:ind w:firstLine="567"/>
        <w:rPr>
          <w:color w:val="auto"/>
        </w:rPr>
      </w:pPr>
      <w:r w:rsidRPr="00023A83">
        <w:rPr>
          <w:color w:val="auto"/>
        </w:rPr>
        <w:t>При цьому середня заробітна плата</w:t>
      </w:r>
      <w:r w:rsidR="00167E9A">
        <w:rPr>
          <w:color w:val="auto"/>
        </w:rPr>
        <w:t xml:space="preserve"> по підприємству або</w:t>
      </w:r>
      <w:r w:rsidR="00972049">
        <w:rPr>
          <w:color w:val="auto"/>
        </w:rPr>
        <w:t xml:space="preserve"> товариству</w:t>
      </w:r>
      <w:r w:rsidRPr="00023A83">
        <w:rPr>
          <w:color w:val="auto"/>
        </w:rPr>
        <w:t xml:space="preserve"> визначається як середнє арифметичне значення усіх заробітних плат, н</w:t>
      </w:r>
      <w:r>
        <w:rPr>
          <w:color w:val="auto"/>
        </w:rPr>
        <w:t>арахованих працівникам (крім кер</w:t>
      </w:r>
      <w:r w:rsidR="00972049">
        <w:rPr>
          <w:color w:val="auto"/>
        </w:rPr>
        <w:t xml:space="preserve">івників, </w:t>
      </w:r>
      <w:r w:rsidRPr="00023A83">
        <w:rPr>
          <w:color w:val="auto"/>
        </w:rPr>
        <w:t>членів виконавчих органів</w:t>
      </w:r>
      <w:r w:rsidR="00972049">
        <w:rPr>
          <w:color w:val="auto"/>
        </w:rPr>
        <w:t xml:space="preserve"> та їх заступників</w:t>
      </w:r>
      <w:r w:rsidR="00167E9A">
        <w:rPr>
          <w:color w:val="auto"/>
        </w:rPr>
        <w:t>) такого підприємства або</w:t>
      </w:r>
      <w:r w:rsidRPr="00023A83">
        <w:rPr>
          <w:color w:val="auto"/>
        </w:rPr>
        <w:t xml:space="preserve"> товариства, включаючи працівників відокремлених структурних підрозділів.</w:t>
      </w:r>
    </w:p>
    <w:p w14:paraId="0EF2EA56" w14:textId="77777777" w:rsidR="00972049" w:rsidRDefault="00023A83" w:rsidP="00167E9A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  <w:r w:rsidRPr="00023A83">
        <w:rPr>
          <w:color w:val="auto"/>
        </w:rPr>
        <w:t xml:space="preserve">Максимальний розмір річної та додаткової винагороди, що сукупно підлягає </w:t>
      </w:r>
      <w:r w:rsidRPr="00023A83">
        <w:rPr>
          <w:color w:val="auto"/>
        </w:rPr>
        <w:lastRenderedPageBreak/>
        <w:t>виплаті членам наглядової ради такого держ</w:t>
      </w:r>
      <w:r w:rsidR="00167E9A">
        <w:rPr>
          <w:color w:val="auto"/>
        </w:rPr>
        <w:t>авного унітарного підприємства або</w:t>
      </w:r>
      <w:r w:rsidRPr="00023A83">
        <w:rPr>
          <w:color w:val="auto"/>
        </w:rPr>
        <w:t xml:space="preserve"> такого господарського товариства та загальний розмір компенсації витрат, пов’язаних з виконанням членами зазначених наглядових рад своїх функцій, не може перевищувати 1 відсотка його прибутку із джерелом походження з України та за її межами (при цьому в зазначеному максимальному розмірі не враховуються суми допомоги по тимчасовій непрацездатності та оплата щорічної відпустки), визначеного за правилами розділу ІІІ Податкового кодексу України. </w:t>
      </w:r>
    </w:p>
    <w:p w14:paraId="1814ACBA" w14:textId="77777777" w:rsidR="00023A83" w:rsidRPr="00023A83" w:rsidRDefault="00023A83" w:rsidP="00167E9A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  <w:r w:rsidRPr="00023A83">
        <w:rPr>
          <w:color w:val="auto"/>
        </w:rPr>
        <w:t xml:space="preserve">У разі відсутності за результатами податкового (звітного) періоду </w:t>
      </w:r>
      <w:r w:rsidR="00972049" w:rsidRPr="00023A83">
        <w:rPr>
          <w:color w:val="auto"/>
        </w:rPr>
        <w:t>у такого державного унітарного підприє</w:t>
      </w:r>
      <w:r w:rsidR="00167E9A">
        <w:rPr>
          <w:color w:val="auto"/>
        </w:rPr>
        <w:t xml:space="preserve">мства або </w:t>
      </w:r>
      <w:r w:rsidR="00972049" w:rsidRPr="00023A83">
        <w:rPr>
          <w:color w:val="auto"/>
        </w:rPr>
        <w:t xml:space="preserve">господарського товариства </w:t>
      </w:r>
      <w:r w:rsidRPr="00023A83">
        <w:rPr>
          <w:color w:val="auto"/>
        </w:rPr>
        <w:t>прибутку, кожному члену наглядової ради виплачується винагорода у розмірі середньої заробітної плати по відпов</w:t>
      </w:r>
      <w:r w:rsidR="00167E9A">
        <w:rPr>
          <w:color w:val="auto"/>
        </w:rPr>
        <w:t>ідному унітарному підприємству або</w:t>
      </w:r>
      <w:r w:rsidRPr="00023A83">
        <w:rPr>
          <w:color w:val="auto"/>
        </w:rPr>
        <w:t xml:space="preserve"> товариству. </w:t>
      </w:r>
    </w:p>
    <w:p w14:paraId="6C3319FC" w14:textId="77777777" w:rsidR="00023A83" w:rsidRPr="00023A83" w:rsidRDefault="00023A83" w:rsidP="00023A83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  <w:r w:rsidRPr="00023A83">
        <w:rPr>
          <w:color w:val="auto"/>
        </w:rPr>
        <w:t>Річна та додаткова винагороди, а також компенсація витрат, пов’язаних з виконанням функцій члена наглядової ради, виплачуються за результатами кожного податкового (звітного) періоду для податку на прибуток підприємств.</w:t>
      </w:r>
    </w:p>
    <w:p w14:paraId="7F78BE25" w14:textId="77777777" w:rsidR="00023A83" w:rsidRDefault="00023A83" w:rsidP="00023A83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  <w:r w:rsidRPr="00023A83">
        <w:rPr>
          <w:color w:val="auto"/>
        </w:rPr>
        <w:t>Порядок визначення умов оплати послуг членів наглядових рад встановлюєт</w:t>
      </w:r>
      <w:r>
        <w:rPr>
          <w:color w:val="auto"/>
        </w:rPr>
        <w:t>ься Кабінетом Міністрів України».</w:t>
      </w:r>
    </w:p>
    <w:p w14:paraId="56239D55" w14:textId="77777777" w:rsidR="00167E9A" w:rsidRDefault="00167E9A" w:rsidP="00023A83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</w:p>
    <w:p w14:paraId="2F57A484" w14:textId="630DC4C0" w:rsidR="00167E9A" w:rsidRPr="00167E9A" w:rsidRDefault="00167E9A" w:rsidP="00167E9A">
      <w:pPr>
        <w:pStyle w:val="a5"/>
        <w:tabs>
          <w:tab w:val="left" w:pos="851"/>
        </w:tabs>
        <w:spacing w:before="0" w:after="0"/>
        <w:ind w:firstLine="567"/>
        <w:rPr>
          <w:bCs/>
          <w:color w:val="auto"/>
        </w:rPr>
      </w:pPr>
      <w:r>
        <w:rPr>
          <w:b/>
          <w:color w:val="auto"/>
        </w:rPr>
        <w:t xml:space="preserve">2. </w:t>
      </w:r>
      <w:r w:rsidRPr="00167E9A">
        <w:rPr>
          <w:bCs/>
          <w:color w:val="auto"/>
        </w:rPr>
        <w:t>Абзац перший частини третьої статті 5 Закону України</w:t>
      </w:r>
      <w:r w:rsidRPr="00167E9A">
        <w:rPr>
          <w:bCs/>
        </w:rPr>
        <w:t xml:space="preserve"> </w:t>
      </w:r>
      <w:r w:rsidR="0074727D">
        <w:rPr>
          <w:bCs/>
          <w:color w:val="auto"/>
        </w:rPr>
        <w:t>«</w:t>
      </w:r>
      <w:r w:rsidRPr="00167E9A">
        <w:rPr>
          <w:b/>
          <w:color w:val="auto"/>
        </w:rPr>
        <w:t>Про особливості управління об'єктами державної власності в оборонно-промисловому комплексі</w:t>
      </w:r>
      <w:r w:rsidR="0074727D">
        <w:rPr>
          <w:bCs/>
          <w:color w:val="auto"/>
        </w:rPr>
        <w:t>»</w:t>
      </w:r>
      <w:r w:rsidRPr="00F546E8">
        <w:rPr>
          <w:b/>
          <w:color w:val="auto"/>
        </w:rPr>
        <w:t xml:space="preserve"> </w:t>
      </w:r>
      <w:r>
        <w:t>(</w:t>
      </w:r>
      <w:r w:rsidRPr="00167E9A">
        <w:t>Відомості Верховної Ради України (ВВР), 2012, № 4, ст.23</w:t>
      </w:r>
      <w:r w:rsidRPr="00C83E48">
        <w:t>)</w:t>
      </w:r>
      <w:r w:rsidRPr="00167E9A">
        <w:rPr>
          <w:b/>
          <w:color w:val="auto"/>
        </w:rPr>
        <w:t xml:space="preserve"> </w:t>
      </w:r>
      <w:r w:rsidRPr="00167E9A">
        <w:rPr>
          <w:bCs/>
          <w:color w:val="auto"/>
        </w:rPr>
        <w:t>доповнити реченням другим такого змісту</w:t>
      </w:r>
      <w:r>
        <w:rPr>
          <w:bCs/>
          <w:color w:val="auto"/>
        </w:rPr>
        <w:t>:</w:t>
      </w:r>
    </w:p>
    <w:p w14:paraId="504F1F3D" w14:textId="77777777" w:rsidR="00167E9A" w:rsidRDefault="00167E9A" w:rsidP="00023A83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  <w:r>
        <w:rPr>
          <w:color w:val="auto"/>
        </w:rPr>
        <w:t xml:space="preserve"> «</w:t>
      </w:r>
      <w:r w:rsidRPr="00167E9A">
        <w:rPr>
          <w:color w:val="auto"/>
        </w:rPr>
        <w:t>Членами Наглядової ради можуть бути призна</w:t>
      </w:r>
      <w:r>
        <w:rPr>
          <w:color w:val="auto"/>
        </w:rPr>
        <w:t>чені виключно громадяни України».</w:t>
      </w:r>
    </w:p>
    <w:p w14:paraId="066E4559" w14:textId="77777777" w:rsidR="00666371" w:rsidRDefault="00666371"/>
    <w:p w14:paraId="4F67272C" w14:textId="77777777" w:rsidR="00167E9A" w:rsidRPr="00167E9A" w:rsidRDefault="00167E9A" w:rsidP="00167E9A">
      <w:pPr>
        <w:pStyle w:val="a5"/>
        <w:tabs>
          <w:tab w:val="left" w:pos="850"/>
        </w:tabs>
        <w:spacing w:before="0" w:after="0"/>
        <w:ind w:firstLine="567"/>
        <w:rPr>
          <w:b/>
          <w:bCs/>
          <w:color w:val="auto"/>
        </w:rPr>
      </w:pPr>
      <w:r w:rsidRPr="00167E9A">
        <w:rPr>
          <w:b/>
          <w:bCs/>
          <w:color w:val="auto"/>
        </w:rPr>
        <w:t>ІІ. Прикінцеві та перехідні положення</w:t>
      </w:r>
    </w:p>
    <w:p w14:paraId="43569388" w14:textId="77777777" w:rsidR="00167E9A" w:rsidRPr="00167E9A" w:rsidRDefault="00167E9A" w:rsidP="00167E9A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</w:p>
    <w:p w14:paraId="6B66AC5C" w14:textId="77777777" w:rsidR="00167E9A" w:rsidRPr="00167E9A" w:rsidRDefault="00167E9A" w:rsidP="00167E9A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  <w:r w:rsidRPr="00167E9A">
        <w:rPr>
          <w:color w:val="auto"/>
        </w:rPr>
        <w:t>1. Цей Закон набирає чинності з дня його опублікування.</w:t>
      </w:r>
    </w:p>
    <w:p w14:paraId="5CEF2B19" w14:textId="77777777" w:rsidR="00167E9A" w:rsidRDefault="00167E9A" w:rsidP="00167E9A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  <w:r w:rsidRPr="00167E9A">
        <w:rPr>
          <w:color w:val="auto"/>
        </w:rPr>
        <w:t>2. Законодавчі та інші нормативно-правові акти, прийняті до набрання чинності цим Законом, застосовуються у частині, що не суперечить цьому Закону.</w:t>
      </w:r>
    </w:p>
    <w:p w14:paraId="5E554AA7" w14:textId="77777777" w:rsidR="00167E9A" w:rsidRPr="00167E9A" w:rsidRDefault="00167E9A" w:rsidP="00167E9A">
      <w:pPr>
        <w:pStyle w:val="a5"/>
        <w:tabs>
          <w:tab w:val="left" w:pos="850"/>
        </w:tabs>
        <w:spacing w:before="0" w:after="0"/>
        <w:ind w:firstLine="567"/>
        <w:rPr>
          <w:color w:val="auto"/>
        </w:rPr>
      </w:pPr>
      <w:r>
        <w:rPr>
          <w:color w:val="333333"/>
          <w:shd w:val="clear" w:color="auto" w:fill="FFFFFF"/>
        </w:rPr>
        <w:t>3. Кабінету Міністрів України в місячний строк з дня набрання чинності цим Законом привести свої нормативно-правові акти у відповідність із цим Законом.</w:t>
      </w:r>
    </w:p>
    <w:p w14:paraId="091DCA14" w14:textId="77777777" w:rsidR="00023A83" w:rsidRDefault="00023A83" w:rsidP="00023A8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ru-RU"/>
        </w:rPr>
      </w:pPr>
    </w:p>
    <w:p w14:paraId="56DE19D6" w14:textId="77777777" w:rsidR="00167E9A" w:rsidRPr="00167E9A" w:rsidRDefault="00167E9A" w:rsidP="00023A8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ru-RU"/>
        </w:rPr>
      </w:pPr>
    </w:p>
    <w:p w14:paraId="219205E7" w14:textId="77777777" w:rsidR="00023A83" w:rsidRPr="00015273" w:rsidRDefault="00023A83" w:rsidP="00023A83">
      <w:pPr>
        <w:ind w:left="1" w:hanging="3"/>
        <w:jc w:val="both"/>
        <w:rPr>
          <w:rFonts w:ascii="Times New Roman" w:hAnsi="Times New Roman"/>
          <w:b/>
          <w:sz w:val="28"/>
          <w:szCs w:val="28"/>
        </w:rPr>
      </w:pPr>
      <w:r w:rsidRPr="00015273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015273">
        <w:rPr>
          <w:rFonts w:ascii="Times New Roman" w:hAnsi="Times New Roman"/>
          <w:b/>
          <w:sz w:val="28"/>
          <w:szCs w:val="28"/>
        </w:rPr>
        <w:t>Верховної</w:t>
      </w:r>
      <w:proofErr w:type="spellEnd"/>
      <w:r w:rsidRPr="00015273">
        <w:rPr>
          <w:rFonts w:ascii="Times New Roman" w:hAnsi="Times New Roman"/>
          <w:b/>
          <w:sz w:val="28"/>
          <w:szCs w:val="28"/>
        </w:rPr>
        <w:t xml:space="preserve"> Ради</w:t>
      </w:r>
    </w:p>
    <w:p w14:paraId="79F93C9E" w14:textId="77777777" w:rsidR="00023A83" w:rsidRPr="00135CD4" w:rsidRDefault="00023A83" w:rsidP="00023A83">
      <w:pPr>
        <w:ind w:left="-2" w:firstLine="3"/>
        <w:jc w:val="both"/>
        <w:rPr>
          <w:rFonts w:ascii="Times New Roman" w:hAnsi="Times New Roman"/>
          <w:b/>
          <w:sz w:val="28"/>
          <w:szCs w:val="28"/>
        </w:rPr>
      </w:pPr>
      <w:r w:rsidRPr="00015273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015273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015273">
        <w:rPr>
          <w:rFonts w:ascii="Times New Roman" w:hAnsi="Times New Roman"/>
          <w:b/>
          <w:sz w:val="28"/>
          <w:szCs w:val="28"/>
        </w:rPr>
        <w:t xml:space="preserve"> </w:t>
      </w:r>
      <w:r w:rsidRPr="00015273">
        <w:rPr>
          <w:rFonts w:ascii="Times New Roman" w:hAnsi="Times New Roman"/>
          <w:b/>
          <w:sz w:val="28"/>
          <w:szCs w:val="28"/>
        </w:rPr>
        <w:tab/>
      </w:r>
      <w:r w:rsidRPr="00015273">
        <w:rPr>
          <w:rFonts w:ascii="Times New Roman" w:hAnsi="Times New Roman"/>
          <w:b/>
          <w:sz w:val="28"/>
          <w:szCs w:val="28"/>
        </w:rPr>
        <w:tab/>
      </w:r>
      <w:r w:rsidRPr="00015273">
        <w:rPr>
          <w:rFonts w:ascii="Times New Roman" w:hAnsi="Times New Roman"/>
          <w:b/>
          <w:sz w:val="28"/>
          <w:szCs w:val="28"/>
        </w:rPr>
        <w:tab/>
      </w:r>
      <w:r w:rsidRPr="00015273">
        <w:rPr>
          <w:rFonts w:ascii="Times New Roman" w:hAnsi="Times New Roman"/>
          <w:b/>
          <w:sz w:val="28"/>
          <w:szCs w:val="28"/>
        </w:rPr>
        <w:tab/>
      </w:r>
      <w:r w:rsidRPr="00015273">
        <w:rPr>
          <w:rFonts w:ascii="Times New Roman" w:hAnsi="Times New Roman"/>
          <w:b/>
          <w:sz w:val="28"/>
          <w:szCs w:val="28"/>
        </w:rPr>
        <w:tab/>
      </w:r>
      <w:r w:rsidRPr="00015273">
        <w:rPr>
          <w:rFonts w:ascii="Times New Roman" w:hAnsi="Times New Roman"/>
          <w:b/>
          <w:sz w:val="28"/>
          <w:szCs w:val="28"/>
        </w:rPr>
        <w:tab/>
      </w:r>
      <w:r w:rsidRPr="00015273">
        <w:rPr>
          <w:rFonts w:ascii="Times New Roman" w:hAnsi="Times New Roman"/>
          <w:b/>
          <w:sz w:val="28"/>
          <w:szCs w:val="28"/>
        </w:rPr>
        <w:tab/>
        <w:t>Д. РАЗУМКОВ</w:t>
      </w:r>
    </w:p>
    <w:p w14:paraId="69976119" w14:textId="77777777" w:rsidR="00023A83" w:rsidRPr="00023A83" w:rsidRDefault="00023A83" w:rsidP="00023A83">
      <w:pPr>
        <w:jc w:val="both"/>
      </w:pPr>
    </w:p>
    <w:sectPr w:rsidR="00023A83" w:rsidRPr="00023A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80E"/>
    <w:multiLevelType w:val="hybridMultilevel"/>
    <w:tmpl w:val="7C2AB8D8"/>
    <w:lvl w:ilvl="0" w:tplc="04220011">
      <w:start w:val="1"/>
      <w:numFmt w:val="decimal"/>
      <w:lvlText w:val="%1)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D549AC"/>
    <w:multiLevelType w:val="multilevel"/>
    <w:tmpl w:val="1A44206C"/>
    <w:styleLink w:val="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sz w:val="28"/>
      </w:r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85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83"/>
    <w:rsid w:val="00023A83"/>
    <w:rsid w:val="00026050"/>
    <w:rsid w:val="00167E9A"/>
    <w:rsid w:val="00312B23"/>
    <w:rsid w:val="004E77FE"/>
    <w:rsid w:val="00666371"/>
    <w:rsid w:val="0074727D"/>
    <w:rsid w:val="00780359"/>
    <w:rsid w:val="00972049"/>
    <w:rsid w:val="00B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4203"/>
  <w15:chartTrackingRefBased/>
  <w15:docId w15:val="{61A5F90D-5F2D-4054-8343-05400FE6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Mangal"/>
      <w:sz w:val="20"/>
      <w:szCs w:val="24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 азбацем"/>
    <w:uiPriority w:val="99"/>
    <w:rsid w:val="00312B23"/>
    <w:pPr>
      <w:numPr>
        <w:numId w:val="1"/>
      </w:numPr>
    </w:pPr>
  </w:style>
  <w:style w:type="paragraph" w:customStyle="1" w:styleId="a4">
    <w:name w:val="Назва документа"/>
    <w:basedOn w:val="a0"/>
    <w:next w:val="a0"/>
    <w:uiPriority w:val="99"/>
    <w:rsid w:val="00023A83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eastAsia="Times New Roman" w:hAnsi="Antiqua" w:cs="Times New Roman"/>
      <w:b/>
      <w:sz w:val="26"/>
      <w:szCs w:val="20"/>
      <w:lang w:val="uk-UA" w:eastAsia="ru-RU" w:bidi="ar-SA"/>
    </w:rPr>
  </w:style>
  <w:style w:type="paragraph" w:customStyle="1" w:styleId="a5">
    <w:name w:val="! ТХТ"/>
    <w:uiPriority w:val="99"/>
    <w:rsid w:val="00023A83"/>
    <w:pPr>
      <w:widowControl w:val="0"/>
      <w:spacing w:before="111" w:after="111" w:line="240" w:lineRule="auto"/>
      <w:ind w:firstLine="720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rvps2">
    <w:name w:val="rvps2"/>
    <w:basedOn w:val="a0"/>
    <w:rsid w:val="00023A8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43A04-9553-454F-A68A-57B8CA6F6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FDF58-8B8A-4767-ABEE-45AF89590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14CD8-DB65-4CDF-8BB9-2BC5E6720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2020-11-26T13:05:00Z</dcterms:created>
  <dcterms:modified xsi:type="dcterms:W3CDTF">2020-11-26T13:05:00Z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