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8D7D" w14:textId="77777777" w:rsidR="005C6F3F" w:rsidRPr="00440EFD" w:rsidRDefault="005C6F3F" w:rsidP="005C6F3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40EFD">
        <w:rPr>
          <w:b/>
          <w:sz w:val="28"/>
          <w:szCs w:val="28"/>
          <w:lang w:val="ru-RU"/>
        </w:rPr>
        <w:t>ПОРІВНЯЛЬНА ТАБЛИЦЯ</w:t>
      </w:r>
    </w:p>
    <w:p w14:paraId="27E28D7E" w14:textId="77777777" w:rsidR="005C6F3F" w:rsidRPr="00440EFD" w:rsidRDefault="005C6F3F" w:rsidP="00975E9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EFD">
        <w:rPr>
          <w:rFonts w:ascii="Times New Roman" w:hAnsi="Times New Roman"/>
          <w:b/>
          <w:sz w:val="28"/>
          <w:szCs w:val="28"/>
          <w:lang w:val="uk-UA"/>
        </w:rPr>
        <w:t xml:space="preserve">до проекту Закону України про внесення змін до деяких законодавчих актів України щодо </w:t>
      </w:r>
      <w:r w:rsidR="00975E97" w:rsidRPr="00440EFD">
        <w:rPr>
          <w:rFonts w:ascii="Times New Roman" w:hAnsi="Times New Roman"/>
          <w:b/>
          <w:sz w:val="28"/>
          <w:szCs w:val="28"/>
          <w:lang w:val="uk-UA"/>
        </w:rPr>
        <w:t xml:space="preserve">складу </w:t>
      </w:r>
      <w:r w:rsidRPr="00440EFD">
        <w:rPr>
          <w:rFonts w:ascii="Times New Roman" w:hAnsi="Times New Roman"/>
          <w:b/>
          <w:sz w:val="28"/>
          <w:szCs w:val="28"/>
          <w:lang w:val="uk-UA"/>
        </w:rPr>
        <w:t>керівників і членів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</w:t>
      </w:r>
      <w:r w:rsidR="00975E97" w:rsidRPr="00440EFD">
        <w:rPr>
          <w:rFonts w:ascii="Times New Roman" w:hAnsi="Times New Roman"/>
          <w:b/>
          <w:sz w:val="28"/>
          <w:szCs w:val="28"/>
          <w:lang w:val="uk-UA"/>
        </w:rPr>
        <w:t>, та розміру їх винагороди</w:t>
      </w:r>
    </w:p>
    <w:p w14:paraId="27E28D7F" w14:textId="77777777" w:rsidR="005C6F3F" w:rsidRPr="00440EFD" w:rsidRDefault="005C6F3F" w:rsidP="005C6F3F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5C6F3F" w:rsidRPr="00440EFD" w14:paraId="27E28D82" w14:textId="77777777" w:rsidTr="00107E21">
        <w:tc>
          <w:tcPr>
            <w:tcW w:w="7564" w:type="dxa"/>
          </w:tcPr>
          <w:p w14:paraId="27E28D80" w14:textId="77777777" w:rsidR="005C6F3F" w:rsidRPr="00440EFD" w:rsidRDefault="005C6F3F" w:rsidP="00107E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40EFD">
              <w:rPr>
                <w:b/>
                <w:sz w:val="28"/>
                <w:szCs w:val="28"/>
                <w:lang w:val="uk-UA"/>
              </w:rPr>
              <w:t xml:space="preserve">Чинна редакція </w:t>
            </w:r>
          </w:p>
        </w:tc>
        <w:tc>
          <w:tcPr>
            <w:tcW w:w="7564" w:type="dxa"/>
          </w:tcPr>
          <w:p w14:paraId="27E28D81" w14:textId="77777777" w:rsidR="005C6F3F" w:rsidRPr="00440EFD" w:rsidRDefault="005C6F3F" w:rsidP="00107E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40EFD">
              <w:rPr>
                <w:b/>
                <w:sz w:val="28"/>
                <w:szCs w:val="28"/>
                <w:lang w:val="uk-UA"/>
              </w:rPr>
              <w:t>Редакція з урахуванням змін</w:t>
            </w:r>
          </w:p>
        </w:tc>
      </w:tr>
      <w:tr w:rsidR="005C6F3F" w:rsidRPr="005D5117" w14:paraId="27E28D84" w14:textId="77777777" w:rsidTr="00107E21">
        <w:tc>
          <w:tcPr>
            <w:tcW w:w="15128" w:type="dxa"/>
            <w:gridSpan w:val="2"/>
          </w:tcPr>
          <w:p w14:paraId="27E28D83" w14:textId="77777777" w:rsidR="005C6F3F" w:rsidRPr="00440EFD" w:rsidRDefault="005C6F3F" w:rsidP="00107E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40EFD">
              <w:rPr>
                <w:b/>
                <w:bCs/>
                <w:sz w:val="28"/>
                <w:szCs w:val="28"/>
                <w:lang w:val="uk-UA"/>
              </w:rPr>
              <w:t>Закон України «Про управління об'єктами державної власності»</w:t>
            </w:r>
          </w:p>
        </w:tc>
      </w:tr>
      <w:tr w:rsidR="005C6F3F" w:rsidRPr="005D5117" w14:paraId="27E28D8B" w14:textId="77777777" w:rsidTr="00107E21">
        <w:tc>
          <w:tcPr>
            <w:tcW w:w="7564" w:type="dxa"/>
          </w:tcPr>
          <w:p w14:paraId="27E28D85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Стаття 11</w:t>
            </w:r>
            <w:r w:rsidRPr="00440EFD">
              <w:rPr>
                <w:rStyle w:val="rvts37"/>
                <w:sz w:val="28"/>
                <w:szCs w:val="28"/>
                <w:shd w:val="clear" w:color="auto" w:fill="FFFFFF"/>
                <w:lang w:val="uk-UA"/>
              </w:rPr>
              <w:t>-2</w:t>
            </w: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 Особливості управління державними унітарними підприємствами та господарськими товариствами, у статутному капіталі яких більше 50 відсотків акцій (часток) належать державі</w:t>
            </w:r>
          </w:p>
          <w:p w14:paraId="27E28D86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27E28D87" w14:textId="77777777" w:rsidR="005C6F3F" w:rsidRPr="00440EFD" w:rsidRDefault="005C6F3F" w:rsidP="00107E21">
            <w:pPr>
              <w:spacing w:after="0" w:line="240" w:lineRule="auto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3. Керівником або членом наглядової ради державного унітарного підприємства, господарського товариства, у статутному капіталі якого більше 50 відсотків акцій (часток) належать державі, не може бути особа, яка є засновником, акціонером (учасником), керівником та/або членом наглядової ради підприємства, іншої господарської організації, які здійснюють діяльність на тому самому або суміжних ринках з такими державними унітарними підприємствами та/або господарськими товариствами.</w:t>
            </w:r>
          </w:p>
        </w:tc>
        <w:tc>
          <w:tcPr>
            <w:tcW w:w="7564" w:type="dxa"/>
          </w:tcPr>
          <w:p w14:paraId="27E28D88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Стаття 11</w:t>
            </w:r>
            <w:r w:rsidRPr="00440EFD">
              <w:rPr>
                <w:rStyle w:val="rvts37"/>
                <w:sz w:val="28"/>
                <w:szCs w:val="28"/>
                <w:shd w:val="clear" w:color="auto" w:fill="FFFFFF"/>
                <w:lang w:val="uk-UA"/>
              </w:rPr>
              <w:t>-2</w:t>
            </w: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 Особливості управління державними унітарними підприємствами та господарськими товариствами, у статутному капіталі яких більше 50 відсотків акцій (часток) належать державі</w:t>
            </w:r>
          </w:p>
          <w:p w14:paraId="27E28D89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27E28D8A" w14:textId="77777777" w:rsidR="005C6F3F" w:rsidRPr="00440EFD" w:rsidRDefault="00604C47" w:rsidP="00604C47">
            <w:pPr>
              <w:spacing w:after="0" w:line="240" w:lineRule="auto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Pr="00440EFD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Керівником або членом наглядової ради державного унітарного підприємства, господарського товариства, у статутному капіталі якого більше 50 відсотків акцій (часток) належать державі,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40EFD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може бути виключно громадянин України. 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Керівником або членом наглядової ради державного унітарного підприємства, господарського товариства, у статутному капіталі якого більше 50 відсотків акцій (часток) належать державі, не може бути особа, яка є засновником, акціонером (учасником), керівником та/або членом наглядової ради підприємства, іншої господарської організації, які здійснюють діяльність на тому самому або суміжних ринках з такими державними унітарними підприємствами та/або господарськими товариствами.</w:t>
            </w:r>
          </w:p>
        </w:tc>
      </w:tr>
      <w:tr w:rsidR="005C6F3F" w:rsidRPr="005D5117" w14:paraId="27E28D98" w14:textId="77777777" w:rsidTr="00107E21">
        <w:tc>
          <w:tcPr>
            <w:tcW w:w="7564" w:type="dxa"/>
          </w:tcPr>
          <w:p w14:paraId="27E28D8C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Стаття 14.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 xml:space="preserve"> Винагорода та страхування відповідальності керівників і членів наглядових рад державних унітарних підприємств та господарських товариств, у статутному 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капіталі яких більше 50 відсотків акцій (часток) належать державі</w:t>
            </w:r>
          </w:p>
          <w:p w14:paraId="27E28D8D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27E28D8E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2. Члени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мають право на оплату своєї діяльності та компенсацію витрат, пов’язаних з виконанням своїх функцій, за рахунок такого державного унітарного підприємства або господарського товариства. Порядок визначення умов оплати послуг членів наглядових рад встановлюється Кабінетом Міністрів України.</w:t>
            </w:r>
          </w:p>
        </w:tc>
        <w:tc>
          <w:tcPr>
            <w:tcW w:w="7564" w:type="dxa"/>
          </w:tcPr>
          <w:p w14:paraId="27E28D8F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14.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 xml:space="preserve"> Винагорода та страхування відповідальності керівників і членів наглядових рад державних унітарних підприємств та господарських товариств, у статутному </w:t>
            </w: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капіталі яких більше 50 відсотків акцій (часток) належать державі</w:t>
            </w:r>
          </w:p>
          <w:p w14:paraId="27E28D90" w14:textId="77777777" w:rsidR="005C6F3F" w:rsidRPr="00440EFD" w:rsidRDefault="005C6F3F" w:rsidP="00107E21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14:paraId="27E28D91" w14:textId="77777777" w:rsidR="00CA71CF" w:rsidRPr="00CA71CF" w:rsidRDefault="00CA71CF" w:rsidP="00CA71CF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CA71CF">
              <w:rPr>
                <w:sz w:val="28"/>
                <w:szCs w:val="28"/>
                <w:shd w:val="clear" w:color="auto" w:fill="FFFFFF"/>
                <w:lang w:val="uk-UA"/>
              </w:rPr>
              <w:t xml:space="preserve">Члени наглядових рад державних унітарних підприємств та господарських товариств, у статутному капіталі яких більше 50 відсотків акцій (часток) належать державі, мають право на оплату своєї діяльності та компенсацію витрат, пов’язаних з виконанням своїх функцій, за рахунок такого державного унітарного підприємства або господарського товариства. </w:t>
            </w:r>
          </w:p>
          <w:p w14:paraId="27E28D92" w14:textId="77777777" w:rsidR="00CA71CF" w:rsidRPr="00CA71CF" w:rsidRDefault="00CA71CF" w:rsidP="00CA71CF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Максимально допустимий розмір базової місячної винагороди оплати послуг члена наглядової ради державного унітарного підприємства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господарського товариства, у статутному капіталі якого більше 50 відсотків акцій (часток) належать державі, у кратності до середньої за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робітної плати по підприємству 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товариству не може перевищувати 5 разів.</w:t>
            </w:r>
          </w:p>
          <w:p w14:paraId="27E28D93" w14:textId="77777777" w:rsidR="00CA71CF" w:rsidRPr="00CA71CF" w:rsidRDefault="00CA71CF" w:rsidP="00CA71CF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При цьому середня з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аробітна плата по підприємству 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товариству визначається як середнє арифметичне значення усіх заробітних плат, нарахованих працівникам (крім керівників, членів виконавчих органів та їх за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ступників) такого підприємства 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товариства, включаючи працівників відокремлених структурних підрозділів.</w:t>
            </w:r>
          </w:p>
          <w:p w14:paraId="27E28D94" w14:textId="77777777" w:rsidR="00CA71CF" w:rsidRPr="00CA71CF" w:rsidRDefault="00CA71CF" w:rsidP="00CA71CF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Максимальний розмір річної та додаткової винагороди, що сукупно підлягає виплаті членам наглядової ради такого держ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авного унітарного підприємства 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такого господарського товариства та загальний розмір компенсації витрат, пов’язаних з виконанням членами зазначених наглядових рад своїх функцій, не може 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перевищувати 1 відсотка його прибутку із джерелом походження з України та за її межами (при цьому в зазначеному максимальному розмірі не враховуються суми допомоги по тимчасовій непрацездатності та оплата щорічної відпустки), визначеного за правилами розділу ІІІ Податкового кодексу України. </w:t>
            </w:r>
          </w:p>
          <w:p w14:paraId="27E28D95" w14:textId="77777777" w:rsidR="00CA71CF" w:rsidRPr="00CA71CF" w:rsidRDefault="00CA71CF" w:rsidP="00CA71CF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У разі відсутності за результатами податкового (звітного) періоду у такого держ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авного унітарного підприємства 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господарського товариства прибутку, кожному члену наглядової ради виплачується винагорода у розмірі середньої заробітної плати по відповідному унітарному підприємству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або</w:t>
            </w: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товариству. </w:t>
            </w:r>
          </w:p>
          <w:p w14:paraId="27E28D96" w14:textId="77777777" w:rsidR="00CA71CF" w:rsidRPr="00CA71CF" w:rsidRDefault="00CA71CF" w:rsidP="00CA71CF">
            <w:pPr>
              <w:spacing w:after="0" w:line="240" w:lineRule="auto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CA71CF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Річна та додаткова винагороди, а також компенсація витрат, пов’язаних з виконанням функцій члена наглядової ради, виплачуються за результатами кожного податкового (звітного) періоду для податку на прибуток підприємств.</w:t>
            </w:r>
          </w:p>
          <w:p w14:paraId="27E28D97" w14:textId="77777777" w:rsidR="005C6F3F" w:rsidRPr="00440EFD" w:rsidRDefault="00CA71CF" w:rsidP="00CA71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A71CF">
              <w:rPr>
                <w:sz w:val="28"/>
                <w:szCs w:val="28"/>
                <w:shd w:val="clear" w:color="auto" w:fill="FFFFFF"/>
                <w:lang w:val="uk-UA"/>
              </w:rPr>
              <w:t>Порядок визначення умов оплати послуг членів наглядових рад встановлюється Кабінетом Міністрів України</w:t>
            </w:r>
          </w:p>
        </w:tc>
      </w:tr>
      <w:tr w:rsidR="007A2778" w:rsidRPr="00440EFD" w14:paraId="27E28D9A" w14:textId="77777777" w:rsidTr="00107E21">
        <w:tc>
          <w:tcPr>
            <w:tcW w:w="15128" w:type="dxa"/>
            <w:gridSpan w:val="2"/>
          </w:tcPr>
          <w:p w14:paraId="27E28D99" w14:textId="77777777" w:rsidR="007A2778" w:rsidRPr="005D5117" w:rsidRDefault="007A2778" w:rsidP="007A2778">
            <w:pPr>
              <w:spacing w:after="0" w:line="240" w:lineRule="auto"/>
              <w:jc w:val="center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D5117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lastRenderedPageBreak/>
              <w:t>Про особливості управління об'єктами державної власності в оборонно-промисловому комплексі</w:t>
            </w:r>
          </w:p>
        </w:tc>
      </w:tr>
      <w:tr w:rsidR="007A2778" w:rsidRPr="00440EFD" w14:paraId="27E28DA5" w14:textId="77777777" w:rsidTr="00107E21">
        <w:tc>
          <w:tcPr>
            <w:tcW w:w="7564" w:type="dxa"/>
          </w:tcPr>
          <w:p w14:paraId="27E28D9B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Стаття 5. Органи управління Концерну</w:t>
            </w:r>
          </w:p>
          <w:p w14:paraId="27E28D9C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ru-RU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14:paraId="27E28D9D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3. Наглядова рада Концерну (далі - Наглядова рада) складається з п'яти членів, три з яких призначаються Президентом України, а два - Кабінетом Міністрів України.</w:t>
            </w:r>
          </w:p>
          <w:p w14:paraId="27E28D9E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Строк повноважень членів Наглядової ради становить п'ять років.</w:t>
            </w:r>
          </w:p>
          <w:p w14:paraId="27E28D9F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14:paraId="27E28DA0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Стаття 5. Органи управління Концерну</w:t>
            </w:r>
          </w:p>
          <w:p w14:paraId="27E28DA1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ru-RU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ru-RU"/>
              </w:rPr>
              <w:t>…</w:t>
            </w:r>
          </w:p>
          <w:p w14:paraId="27E28DA2" w14:textId="77777777" w:rsidR="007A2778" w:rsidRPr="00CA71CF" w:rsidRDefault="007A2778" w:rsidP="00CA71CF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3. Наглядова рада Концерну (далі - Наглядова рада) складається з п'яти членів, три з яких призначаються Президентом України, а два - Кабінетом Міністрів України.</w:t>
            </w:r>
            <w:r w:rsidR="00CA71CF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40EFD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Членами Наглядової ради можуть бути призначені виключно громадяни України.</w:t>
            </w:r>
          </w:p>
          <w:p w14:paraId="27E28DA3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  <w:lang w:val="uk-UA"/>
              </w:rPr>
              <w:t>Строк повноважень членів Наглядової ради становить п'ять років.</w:t>
            </w:r>
          </w:p>
          <w:p w14:paraId="27E28DA4" w14:textId="77777777" w:rsidR="007A2778" w:rsidRPr="00440EFD" w:rsidRDefault="007A2778" w:rsidP="007A2778">
            <w:pPr>
              <w:spacing w:after="0" w:line="240" w:lineRule="auto"/>
              <w:rPr>
                <w:rStyle w:val="rvts9"/>
                <w:sz w:val="28"/>
                <w:szCs w:val="28"/>
                <w:shd w:val="clear" w:color="auto" w:fill="FFFFFF"/>
              </w:rPr>
            </w:pPr>
            <w:r w:rsidRPr="00440EFD">
              <w:rPr>
                <w:rStyle w:val="rvts9"/>
                <w:sz w:val="28"/>
                <w:szCs w:val="28"/>
                <w:shd w:val="clear" w:color="auto" w:fill="FFFFFF"/>
              </w:rPr>
              <w:lastRenderedPageBreak/>
              <w:t>…</w:t>
            </w:r>
          </w:p>
        </w:tc>
      </w:tr>
    </w:tbl>
    <w:p w14:paraId="27E28DA6" w14:textId="77777777" w:rsidR="00F66F2D" w:rsidRPr="00440EFD" w:rsidRDefault="00F66F2D" w:rsidP="00F66F2D">
      <w:pPr>
        <w:spacing w:after="0" w:line="240" w:lineRule="auto"/>
        <w:rPr>
          <w:b/>
          <w:sz w:val="28"/>
          <w:szCs w:val="28"/>
          <w:lang w:val="ru-RU" w:eastAsia="uk-UA"/>
        </w:rPr>
      </w:pPr>
    </w:p>
    <w:p w14:paraId="27E28DA7" w14:textId="42C99725" w:rsidR="00F66F2D" w:rsidRDefault="00F66F2D" w:rsidP="00F66F2D">
      <w:pPr>
        <w:spacing w:after="0" w:line="240" w:lineRule="auto"/>
        <w:rPr>
          <w:b/>
          <w:sz w:val="28"/>
          <w:szCs w:val="28"/>
          <w:lang w:val="ru-RU" w:eastAsia="uk-UA"/>
        </w:rPr>
      </w:pPr>
      <w:r w:rsidRPr="00440EFD">
        <w:rPr>
          <w:b/>
          <w:sz w:val="28"/>
          <w:szCs w:val="28"/>
          <w:lang w:val="ru-RU" w:eastAsia="uk-UA"/>
        </w:rPr>
        <w:t>Народн</w:t>
      </w:r>
      <w:r w:rsidR="001E0257">
        <w:rPr>
          <w:b/>
          <w:sz w:val="28"/>
          <w:szCs w:val="28"/>
          <w:lang w:val="uk-UA" w:eastAsia="uk-UA"/>
        </w:rPr>
        <w:t>і</w:t>
      </w:r>
      <w:r w:rsidRPr="00440EFD">
        <w:rPr>
          <w:b/>
          <w:sz w:val="28"/>
          <w:szCs w:val="28"/>
          <w:lang w:val="ru-RU" w:eastAsia="uk-UA"/>
        </w:rPr>
        <w:t xml:space="preserve"> депутат</w:t>
      </w:r>
      <w:r w:rsidR="001E0257">
        <w:rPr>
          <w:b/>
          <w:sz w:val="28"/>
          <w:szCs w:val="28"/>
          <w:lang w:val="ru-RU" w:eastAsia="uk-UA"/>
        </w:rPr>
        <w:t>и</w:t>
      </w:r>
      <w:r w:rsidRPr="00440EFD">
        <w:rPr>
          <w:b/>
          <w:sz w:val="28"/>
          <w:szCs w:val="28"/>
          <w:lang w:val="ru-RU" w:eastAsia="uk-UA"/>
        </w:rPr>
        <w:t xml:space="preserve"> України </w:t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</w:r>
      <w:r w:rsidRPr="00440EFD">
        <w:rPr>
          <w:b/>
          <w:sz w:val="28"/>
          <w:szCs w:val="28"/>
          <w:lang w:val="ru-RU" w:eastAsia="uk-UA"/>
        </w:rPr>
        <w:tab/>
        <w:t xml:space="preserve">                  Василевська-Смаглюк О.М. (посв. № 302)</w:t>
      </w:r>
    </w:p>
    <w:p w14:paraId="6D46737E" w14:textId="712D1365" w:rsidR="001E0257" w:rsidRPr="00440EFD" w:rsidRDefault="001E0257" w:rsidP="00F66F2D">
      <w:pPr>
        <w:spacing w:after="0" w:line="240" w:lineRule="auto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  <w:t>та інші</w:t>
      </w:r>
    </w:p>
    <w:p w14:paraId="27E28DA8" w14:textId="77777777" w:rsidR="005C6F3F" w:rsidRPr="00440EFD" w:rsidRDefault="005C6F3F">
      <w:pPr>
        <w:rPr>
          <w:sz w:val="28"/>
          <w:szCs w:val="28"/>
          <w:lang w:val="uk-UA"/>
        </w:rPr>
      </w:pPr>
    </w:p>
    <w:sectPr w:rsidR="005C6F3F" w:rsidRPr="00440EFD" w:rsidSect="006621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49AC"/>
    <w:multiLevelType w:val="multilevel"/>
    <w:tmpl w:val="1A44206C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3F726A"/>
    <w:multiLevelType w:val="hybridMultilevel"/>
    <w:tmpl w:val="28EADEC2"/>
    <w:lvl w:ilvl="0" w:tplc="CE8C4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9"/>
    <w:rsid w:val="00107E21"/>
    <w:rsid w:val="0015354C"/>
    <w:rsid w:val="001B4550"/>
    <w:rsid w:val="001E0257"/>
    <w:rsid w:val="002E3357"/>
    <w:rsid w:val="00312B23"/>
    <w:rsid w:val="00353217"/>
    <w:rsid w:val="00440EFD"/>
    <w:rsid w:val="00475B8A"/>
    <w:rsid w:val="005C6F3F"/>
    <w:rsid w:val="005D5117"/>
    <w:rsid w:val="00604C47"/>
    <w:rsid w:val="006621D9"/>
    <w:rsid w:val="00666371"/>
    <w:rsid w:val="00780359"/>
    <w:rsid w:val="007A2778"/>
    <w:rsid w:val="00975E97"/>
    <w:rsid w:val="00A952BA"/>
    <w:rsid w:val="00AF5C7D"/>
    <w:rsid w:val="00C26B77"/>
    <w:rsid w:val="00CA71CF"/>
    <w:rsid w:val="00D028B7"/>
    <w:rsid w:val="00D26186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D7D"/>
  <w15:chartTrackingRefBased/>
  <w15:docId w15:val="{E50C3C4D-2B82-4959-9630-498B911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0359"/>
    <w:pPr>
      <w:spacing w:after="200" w:line="276" w:lineRule="auto"/>
      <w:jc w:val="both"/>
    </w:pPr>
    <w:rPr>
      <w:rFonts w:eastAsia="SimSun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азбацем"/>
    <w:uiPriority w:val="99"/>
    <w:rsid w:val="00312B23"/>
    <w:pPr>
      <w:numPr>
        <w:numId w:val="1"/>
      </w:numPr>
    </w:pPr>
  </w:style>
  <w:style w:type="table" w:styleId="a4">
    <w:name w:val="Table Grid"/>
    <w:basedOn w:val="a2"/>
    <w:uiPriority w:val="39"/>
    <w:rsid w:val="0066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semiHidden/>
    <w:unhideWhenUsed/>
    <w:rsid w:val="006621D9"/>
    <w:rPr>
      <w:color w:val="0000FF"/>
      <w:u w:val="single"/>
    </w:rPr>
  </w:style>
  <w:style w:type="character" w:customStyle="1" w:styleId="rvts9">
    <w:name w:val="rvts9"/>
    <w:basedOn w:val="a1"/>
    <w:rsid w:val="006621D9"/>
  </w:style>
  <w:style w:type="character" w:customStyle="1" w:styleId="rvts37">
    <w:name w:val="rvts37"/>
    <w:basedOn w:val="a1"/>
    <w:rsid w:val="006621D9"/>
  </w:style>
  <w:style w:type="paragraph" w:styleId="a6">
    <w:name w:val="Body Text"/>
    <w:basedOn w:val="a0"/>
    <w:link w:val="a7"/>
    <w:uiPriority w:val="99"/>
    <w:rsid w:val="005C6F3F"/>
    <w:pPr>
      <w:spacing w:after="120"/>
      <w:jc w:val="left"/>
    </w:pPr>
    <w:rPr>
      <w:rFonts w:ascii="Calibri" w:eastAsia="Times New Roman" w:hAnsi="Calibri"/>
      <w:sz w:val="22"/>
      <w:lang w:val="ru-RU" w:eastAsia="en-US"/>
    </w:rPr>
  </w:style>
  <w:style w:type="character" w:customStyle="1" w:styleId="a7">
    <w:name w:val="Основний текст Знак"/>
    <w:basedOn w:val="a1"/>
    <w:link w:val="a6"/>
    <w:uiPriority w:val="99"/>
    <w:rsid w:val="005C6F3F"/>
    <w:rPr>
      <w:rFonts w:ascii="Calibri" w:eastAsia="Times New Roman" w:hAnsi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B5541-2DB3-4C04-A5D5-632C2FCD9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1DE20-CB55-4C12-AAFE-6A167874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68A02-C26B-4A1A-81AD-D6741F6F5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3767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2020-11-26T13:05:00Z</dcterms:created>
  <dcterms:modified xsi:type="dcterms:W3CDTF">2020-11-26T13:05:00Z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