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6E" w:rsidRDefault="00DD506E" w:rsidP="00DD506E">
      <w:pPr>
        <w:ind w:firstLine="720"/>
        <w:jc w:val="right"/>
        <w:rPr>
          <w:sz w:val="28"/>
        </w:rPr>
      </w:pPr>
      <w:r w:rsidRPr="00DD506E">
        <w:rPr>
          <w:sz w:val="28"/>
        </w:rPr>
        <w:t>Проект</w:t>
      </w:r>
    </w:p>
    <w:p w:rsidR="00DD506E" w:rsidRPr="00DD506E" w:rsidRDefault="00DD506E" w:rsidP="00DD506E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13.04.2021)</w:t>
      </w:r>
    </w:p>
    <w:p w:rsidR="00DD506E" w:rsidRPr="00DD506E" w:rsidRDefault="00DD506E" w:rsidP="00DD506E">
      <w:pPr>
        <w:ind w:firstLine="720"/>
        <w:jc w:val="center"/>
        <w:rPr>
          <w:sz w:val="28"/>
        </w:rPr>
      </w:pPr>
      <w:r w:rsidRPr="00DD506E">
        <w:rPr>
          <w:b/>
          <w:sz w:val="28"/>
        </w:rPr>
        <w:t>ЗАКОН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</w:p>
    <w:p w:rsidR="00DD506E" w:rsidRDefault="00DD506E" w:rsidP="00DD506E">
      <w:pPr>
        <w:ind w:firstLine="720"/>
        <w:jc w:val="center"/>
        <w:rPr>
          <w:b/>
          <w:sz w:val="28"/>
        </w:rPr>
      </w:pP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внесення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змін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деяких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законодавчих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актів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споживчих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кредитів,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наданих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іноземній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валюті</w:t>
      </w:r>
    </w:p>
    <w:p w:rsidR="00DD506E" w:rsidRPr="00DD506E" w:rsidRDefault="00DD506E" w:rsidP="00DD506E">
      <w:pPr>
        <w:ind w:firstLine="720"/>
        <w:jc w:val="center"/>
        <w:rPr>
          <w:sz w:val="28"/>
        </w:rPr>
      </w:pPr>
      <w:bookmarkStart w:id="0" w:name="_GoBack"/>
      <w:bookmarkEnd w:id="0"/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Верховна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Рада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л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є</w:t>
      </w:r>
      <w:r w:rsidRPr="00DD506E">
        <w:rPr>
          <w:sz w:val="28"/>
        </w:rPr>
        <w:t>:</w:t>
      </w:r>
    </w:p>
    <w:p w:rsidR="00DD506E" w:rsidRPr="00DD506E" w:rsidRDefault="00DD506E" w:rsidP="00DD506E">
      <w:pPr>
        <w:ind w:firstLine="720"/>
        <w:jc w:val="both"/>
        <w:rPr>
          <w:b/>
          <w:sz w:val="28"/>
        </w:rPr>
      </w:pPr>
      <w:r w:rsidRPr="00DD506E">
        <w:rPr>
          <w:b/>
          <w:sz w:val="28"/>
        </w:rPr>
        <w:t>І.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Внести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зміни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законодавчих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актів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2.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розділі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IV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"Прикінцеві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перехідні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положення"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"Про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споживче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кредитування"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(Відомості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Верховної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Ради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2017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р.,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наступними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змінами):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2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викласти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редакції: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"2.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поширюється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споживчий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укладені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6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розділу,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поширюється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споживчий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7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розділу,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дія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поширюється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всі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споживчий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наданий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іноземній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валюті,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відповідають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викладеним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зазначеному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критеріям";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2)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доповнити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7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змісту: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"7.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споживчий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відповідають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критеріям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(незалежно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укладення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договору),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підлягають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обов’язковій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(особи,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перейшли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права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обов’язки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позичальника)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його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представника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наявності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довіреності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вчинення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дій)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порядку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умовах,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встановлених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пунктом: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обов’язковій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підлягають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споживчий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</w:t>
      </w:r>
      <w:r w:rsidRPr="00DD506E">
        <w:rPr>
          <w:sz w:val="28"/>
        </w:rPr>
        <w:t>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(далі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-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договір),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наявності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будь-якого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непогашеного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(простроченого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або/та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закінчився)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кредитором</w:t>
      </w:r>
      <w:r w:rsidRPr="00DD506E">
        <w:rPr>
          <w:sz w:val="28"/>
        </w:rPr>
        <w:t>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випадку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переходу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(заставодавця)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зобов'язань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відсутності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згідно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пізніше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неустойки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нарахованих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будь-якої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спливає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але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яку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вимагав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повернути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достроково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(у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2)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забезпечено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предметом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згідно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статтею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5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«Про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іпотеку»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вигляді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віднесеного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фонду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(далі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незавершеного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будівництва,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нього,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садового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будинку,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земельної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ділянки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будівництва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обслуговування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будинку,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господарських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будівель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споруд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(присадибна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ділянка),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загальна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площа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(об’єкта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незавершеного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будівництва)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квартири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140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квадратних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метрів,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будинку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250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квадратних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метрів,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садового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будинку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250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квадратних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метрів,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земельної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ділянки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площі,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«г»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частини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першої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статті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121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Земельного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Крім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того,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вимагається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хоча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однієї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предмет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використовується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місце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постійного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проживання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</w:t>
      </w:r>
      <w:r w:rsidRPr="00DD506E">
        <w:rPr>
          <w:b/>
          <w:sz w:val="28"/>
        </w:rPr>
        <w:t>крім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житлового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розташоване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тимчасового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окупованій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Автономній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Республіці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Севастополі),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умови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відсутності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крім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житлового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розташоване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тимчасово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окупованій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Автономній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Республіці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Севастополі);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власником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предмета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незавершеного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будівництва,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відсутнє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(крім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розташоване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тимчасово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окупованій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Автономній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Республіці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Севастополі);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предмет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-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нерухоме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придбавалося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повністю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частково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рахунок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коштів,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отриманих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іпотечного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заборону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реєстрації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проживання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адресою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розташування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умови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відсутності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</w:t>
      </w:r>
      <w:r w:rsidRPr="00DD506E">
        <w:rPr>
          <w:b/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житлового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майна,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розташованого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тимчасово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окупованій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Автономній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Республіці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Севастополі);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предметом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земельна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ділянка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будівництва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обслуговування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будинку,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господарських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будівель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споруд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(присадибна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ділянка),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відсутності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власності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</w:t>
      </w:r>
      <w:r w:rsidRPr="00DD506E">
        <w:rPr>
          <w:b/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площа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250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квадратних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метрів,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розташованого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земельній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ділянці,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житлового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майна,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розташованого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тимчасово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окупованій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Автономній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Республіці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Севастополі);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предметом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садовий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будинок,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умови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відсутності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</w:t>
      </w:r>
      <w:r w:rsidRPr="00DD506E">
        <w:rPr>
          <w:b/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розташованого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тимчасово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окупованій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Автономній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Республіці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Севастополі);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3)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заявою,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(особою,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представником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довіреності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вчинення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дій)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особисто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надсилається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рекомендованим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листом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повідомленням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вручення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трьох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випадків: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смерті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строку,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передбаченого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абзацом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першим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підпункту,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спадкоємець,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може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заяву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двох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одержання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свідоцтва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спадщину;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суді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відкритого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провадження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справі,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предметом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сторін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сторін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іпотечним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укладеним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забезпечення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між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іпотекодавцем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іпотекодержателем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задоволення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іпотекодержателя,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відсутності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рішення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суду,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набрало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сили,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може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спливу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трьохмісячного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але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пізніше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двох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сили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рішенням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справі;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залучення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законодавством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порядку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заходів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забезпечення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безпеки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оборони,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відсічі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стримування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збройної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агресії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Російської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Федерації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Донецькій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Луганській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областях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припадає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трьохмісячний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заява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може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спливу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трьохмісячного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але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пізніше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двох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завершення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залучення.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того,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судом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поважними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причин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неподання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трьохмісячного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може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встановити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інший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пропущено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поважних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причин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(хвороба,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перебування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межами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території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тощо),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клопотанням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подовжити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місяці.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пропуску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звільняється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іпотечним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умовах,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4)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зазначається: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прізвище,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ім’я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батькові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наявності)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найменування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(повне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скорочене);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інформація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дату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укладення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заява;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інформація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зареєстроване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фактичне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місце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проживання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інформація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дату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підписання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віднесені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фонду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(зазначається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кожен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адреса);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інформація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зареєстроване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фактичне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місце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проживання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поручителя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всі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наявні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його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дату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підписання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заяви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об’єкти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майна,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віднесені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об’єктів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житлового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фонду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(зазначається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кожен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об’єкт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його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адреса),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-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разі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наявності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поручителя;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документи,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підтверджують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інформацію,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(документи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склад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сім’ї,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доходи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іпотекодавця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членів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сім’ї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-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кредитора),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розширена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Державного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реєстру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речових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Реєстру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стосовно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кожного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члена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сім’ї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іпотекодавця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поручителя).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ненадання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необхідних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документів,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звільняється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іпотечним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умовах,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Заявник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несе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відповідальність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достовірність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заяві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інформації.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заявник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зазначив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нерухомого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віднесений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об’єктів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житлового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фонду,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момент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підписання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належав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власності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поручителю,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заявник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зазначив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недостовірну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зареєстроване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момент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підписання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місце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проживання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заявник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зазначив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недостовірну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фактичне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місце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проживання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однієї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обставин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судом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підтвердження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однієї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обставин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офіційними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документами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(виданими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суб’єктами,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уповноваженими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видавати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документи),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підставою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відмови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реструктуризації.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проведено,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підставою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відновлення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існували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передував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зменшенням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5)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договорами,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набрання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реструктуризовано,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вираження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виключно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одиниці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(гривні)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без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еквівалента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будь-якого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зобов'язань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6)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покладається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вичерпний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перелік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кредитором: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сплачувати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рівними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частинами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щомісяця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(починаючи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30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надалі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через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місяць)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10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пізніший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–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строку;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сплатити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сплачувати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нараховуються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непогашений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залишок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(застосовується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останнє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початок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календарного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проводиться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реструктуризація),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збільшеного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один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Надалі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змінюється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через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кожен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календарний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рік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(застосовується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останнє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початок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календарного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зміна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збільшений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один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Проценти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нараховуються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сплачуються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щомісяця,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починаючи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30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надалі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через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місяць;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сплатити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b/>
          <w:sz w:val="28"/>
        </w:rPr>
        <w:t>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передбаченого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абзацами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другим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-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четвертим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підпункту,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починаючи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дев’яностого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половини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облікової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банку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оплачувати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страхування,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іпотеки.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Зазначений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підпункті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перелік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поширюється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грошові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перед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поручителем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заставодавцем,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виникли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зв’язку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зобов'язань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7)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кредитором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договором,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реструктуризуються,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6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вважаються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погашеними;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8)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неустойки,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неустойки,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шляхом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прощення,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зараховується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як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погашення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існуючого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непогашеного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залишку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першу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чергу)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заборгованості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сплати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процентів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користування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період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передує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(у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другу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чергу);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9)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застосовувався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перевищував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розмір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було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виражено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еквівалента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будь-якого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зобов'язань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–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розмір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було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еквівалент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будь-якого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черговості: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першу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lastRenderedPageBreak/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другу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(прострочена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сплив).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2012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рік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наступні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застосовується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останнє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році,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розміру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включно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застосовується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році.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встановлювалося,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застосовується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українського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індексу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ставок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дванадцятимісячними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депозитами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євро;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10)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одночасно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умови: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підлягають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заміну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внаслідок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поточний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причини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ненадання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кредитодавцем,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наступними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кредиторами,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переходили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кредитодавця,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всієї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історію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числі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дату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видом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здійснив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протягом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60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9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(окремо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видом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окремо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платежами,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спливає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1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січня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2014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року,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але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кредитодавець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вимагав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повернути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достроково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саме,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непогашених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момент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зобов'язань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відступлено,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перевищує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розмір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плати,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новим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вимоги,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то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9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здійснюються.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поточним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зменшуються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перевищення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черговості: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першу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(прострочена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сплив);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другу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зменшується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поточному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кредиторові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одночасно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кількома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договорами,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без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кожного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окремо,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сплатив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поточний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підлягає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спосіб: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А=Б/В*Г,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де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–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сплатив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поточний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зобов’язаннями,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підлягає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–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сплачена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новим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–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відступлено;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Г</w:t>
      </w:r>
      <w:r w:rsidRPr="00DD506E">
        <w:rPr>
          <w:sz w:val="28"/>
        </w:rPr>
        <w:t xml:space="preserve"> </w:t>
      </w:r>
      <w:r w:rsidRPr="00DD506E">
        <w:rPr>
          <w:sz w:val="28"/>
        </w:rPr>
        <w:t>–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підлягає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якими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відступлено;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11)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усієї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(простроченої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закінчився)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отримана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8,</w:t>
      </w:r>
      <w:r w:rsidRPr="00DD506E">
        <w:rPr>
          <w:sz w:val="28"/>
        </w:rPr>
        <w:t xml:space="preserve"> </w:t>
      </w:r>
      <w:r w:rsidRPr="00DD506E">
        <w:rPr>
          <w:sz w:val="28"/>
        </w:rPr>
        <w:t>9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10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виражається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застосуванням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курсу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виражена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еквівалент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заборгованості):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середнє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між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офіційним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курсом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банком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офіційним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курсом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банком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дату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кредиту.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отримана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підпунктами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8,</w:t>
      </w:r>
      <w:r w:rsidRPr="00DD506E">
        <w:rPr>
          <w:sz w:val="28"/>
        </w:rPr>
        <w:t xml:space="preserve"> </w:t>
      </w:r>
      <w:r w:rsidRPr="00DD506E">
        <w:rPr>
          <w:sz w:val="28"/>
        </w:rPr>
        <w:t>9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10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обчислень,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виражається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застосуванням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курсу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виражена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якій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визначено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еквівалент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заборгованості):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середнє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між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офіційним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курсом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банком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офіційним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курсом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гривні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іноземної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валюти,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банком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дату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кредиту.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сукупна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(що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реструктуризації)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заборгованості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період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передує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(яка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реструктуризації),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від’ємне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від’ємне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значення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таким,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дорівнює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нулю;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13)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збільшення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процентів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користування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та/або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забороняється;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прострочення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сплачених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боржником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зараховуються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черговості,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передбаченої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статтею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19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Закону;</w:t>
      </w:r>
    </w:p>
    <w:p w:rsidR="00DD506E" w:rsidRPr="00DD506E" w:rsidRDefault="00DD506E" w:rsidP="00DD506E">
      <w:pPr>
        <w:ind w:firstLine="720"/>
        <w:jc w:val="both"/>
        <w:rPr>
          <w:b/>
          <w:sz w:val="28"/>
        </w:rPr>
      </w:pPr>
      <w:r w:rsidRPr="00DD506E">
        <w:rPr>
          <w:b/>
          <w:sz w:val="28"/>
        </w:rPr>
        <w:t>після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встановлені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підпунктом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5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розмір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процентів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користування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розмір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можуть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бути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збільшені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згодою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сторін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але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можуть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бути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зменшені;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після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погашення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може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зменшений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згодою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сторін,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але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може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збільшений.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погасити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суму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повністю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частково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раніше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встановлені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строки.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Покладання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реалізацією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будь-яких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додаткових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грошових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майнових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забороняється;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12)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днем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вважається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отримання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кредитором</w:t>
      </w:r>
      <w:r w:rsidRPr="00DD506E">
        <w:rPr>
          <w:sz w:val="28"/>
        </w:rPr>
        <w:t>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крім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випадку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переходу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усіх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або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заставодавця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зв’язку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зобов'язань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заяви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реструктуризації.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</w:t>
      </w:r>
      <w:r w:rsidRPr="00DD506E">
        <w:rPr>
          <w:b/>
          <w:sz w:val="28"/>
        </w:rPr>
        <w:t xml:space="preserve"> </w:t>
      </w:r>
      <w:r w:rsidRPr="00DD506E">
        <w:rPr>
          <w:sz w:val="28"/>
        </w:rPr>
        <w:t>зобов’язаний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пізніше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60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обчислення,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необхідні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реструктуризації,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надіслати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позичальнику,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поручителю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іншим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особам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поштою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рекомендованим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листом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зміну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(включаючи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всі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наявні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результатами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станом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день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новий</w:t>
      </w:r>
      <w:r w:rsidRPr="00DD506E">
        <w:rPr>
          <w:sz w:val="28"/>
        </w:rPr>
        <w:t xml:space="preserve"> </w:t>
      </w:r>
      <w:r w:rsidRPr="00DD506E">
        <w:rPr>
          <w:sz w:val="28"/>
        </w:rPr>
        <w:lastRenderedPageBreak/>
        <w:t>графік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платежів).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Також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інформація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письмовому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вигляді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безоплатно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надається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зазначеним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особам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особисто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їхню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вимогу;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14)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подальше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виконання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зобов'язань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реструктуризованим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здійснюється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договору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урахуванням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умов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проведеної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норм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"Про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споживче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кредитування";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15)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вимоги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щодо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обов’язкової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реструктуризації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поширюються,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зокрема,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зобов’язання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(особи,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якої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перейшли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позичальника)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Фондом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гарантування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вкладів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Передбачені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пунктом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обов’язки</w:t>
      </w:r>
      <w:r w:rsidRPr="00DD506E">
        <w:rPr>
          <w:sz w:val="28"/>
        </w:rPr>
        <w:t xml:space="preserve"> </w:t>
      </w:r>
      <w:r w:rsidRPr="00DD506E">
        <w:rPr>
          <w:b/>
          <w:sz w:val="28"/>
        </w:rPr>
        <w:t>кредитора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поширюються,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зокрема,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Фонд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гарантування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вкладів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(у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разі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переходу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прав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кредитодавця);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16)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кредитодавець,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наступні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кредитори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надати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поточному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кредитору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його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також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його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всю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наявну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інформацію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історію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здійснення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платежів,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числі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інформацію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дату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здійснення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кожного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платежу,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суму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кожного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здійсненого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платежу,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інформацію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призначення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кожного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здійсненого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платежу,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суму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наявної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простроченої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заборгованості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станом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січня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2014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кожним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видом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наявного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грошового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зобов’язання,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договором,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пізніше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14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отримання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вимоги;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кредитор,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перейшли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права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кредитодавця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внаслідок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відступлення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права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надати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(особі,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перейшли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права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обов’язки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позичальника)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його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пізніше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14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отримання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вимоги)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належним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чином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завірену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кредитором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копію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документа,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визначено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розмір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плати,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сплачена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відступлення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права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вимоги;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17)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дія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іпотечних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застави,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укладених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метою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забезпечення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договорів,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зобов'язання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якими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реструктуризовані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продовжується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без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нотаріального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посвідчення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дати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позичальником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зобов'язань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договором".</w:t>
      </w:r>
    </w:p>
    <w:p w:rsidR="00DD506E" w:rsidRPr="00DD506E" w:rsidRDefault="00DD506E" w:rsidP="00DD506E">
      <w:pPr>
        <w:ind w:firstLine="720"/>
        <w:jc w:val="both"/>
        <w:rPr>
          <w:b/>
          <w:sz w:val="28"/>
        </w:rPr>
      </w:pPr>
      <w:r w:rsidRPr="00DD506E">
        <w:rPr>
          <w:b/>
          <w:sz w:val="28"/>
        </w:rPr>
        <w:t>1.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Абзац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четвертий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розділу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«Прикінцеві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перехідні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положення»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Кодексу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процедур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банкрутства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(Відомості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Верховної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Ради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2019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р.,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19,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74)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виключити.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ІІ.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Прикінцеві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перехідні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положення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1.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Цей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набирає</w:t>
      </w:r>
      <w:r w:rsidRPr="00DD506E">
        <w:rPr>
          <w:sz w:val="28"/>
        </w:rPr>
        <w:t xml:space="preserve"> </w:t>
      </w:r>
      <w:r w:rsidRPr="00DD506E">
        <w:rPr>
          <w:sz w:val="28"/>
        </w:rPr>
        <w:t>чинності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наступного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днем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його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опублікування.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2.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«Про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мораторій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стягнення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громадян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наданого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забезпечення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іноземній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валюті»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(Відомості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Верховної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Ради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2014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р.,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28,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940;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2015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р.,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43,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386;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2020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р.,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38,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279;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змінами,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внесеними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lastRenderedPageBreak/>
        <w:t>16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вересня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2020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898-IX)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втрачає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чинність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через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п’ять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місяців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набрання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чинності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Законом.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3.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Упродовж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строку,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передбаченого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подання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заяви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7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розділу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IV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«Прикінцеві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перехідні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положення»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«Про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споживче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кредитування»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упродовж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60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після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закінчення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зазначеного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строку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забороняється: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примусове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звернення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стягнення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(відчуження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без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згоди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власника)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предмет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забезпеченням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зобов’язань,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підлягають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заяви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набуття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іпотекодержателем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задоволення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іпотекодержателя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застереження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іпотечному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власність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предмета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забезпеченням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зобов’язань,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підлягають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заяви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продаж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іпотекодержателем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третій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особі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задоволення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вимог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іпотекодержателя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або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застереження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іпотечному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предмета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іпотеки,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забезпеченням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зобов’язань,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підлягають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заяви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4.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зобов’язань,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передбачених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договором,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підставою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визнання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судом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статті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432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Цивільного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процесуального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кодексу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таким,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підлягає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виконанню,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виконавчого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документа,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виданого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звернення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рішення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суду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(ухваленого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реструктуризації),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передбачено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стягнення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грошових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коштів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та/або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звернення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стягнення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нерухоме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майно.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разі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визнання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судом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зазначеного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виконавчого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документа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таким,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підлягає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виконанню,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разі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подання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нової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позовної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заяви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стороною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справи,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якій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було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ухвалено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рішення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визнання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зазначеного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виконавчого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документа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таким,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що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підлягає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виконанню,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таке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рішення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суду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може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бути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підставою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для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відмови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відкритті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провадження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справі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пункту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2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частини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першої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статті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186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Цивільного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процесуального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кодексу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b/>
          <w:sz w:val="28"/>
        </w:rPr>
        <w:t>5.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Кабінету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Міністрів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України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упродовж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15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дня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опублікування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цього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забезпечити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приведення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міністерствами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та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іншими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центральними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органами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виконавчої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влади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їх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нормативно-правових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актів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у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відповідність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із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цим</w:t>
      </w:r>
      <w:r w:rsidRPr="00DD506E">
        <w:rPr>
          <w:b/>
          <w:sz w:val="28"/>
        </w:rPr>
        <w:t xml:space="preserve"> </w:t>
      </w:r>
      <w:r w:rsidRPr="00DD506E">
        <w:rPr>
          <w:b/>
          <w:sz w:val="28"/>
        </w:rPr>
        <w:t>Законом.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6.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Національному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банку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України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та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Фонду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гарантування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вкладів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фізичних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осіб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упродовж</w:t>
      </w:r>
      <w:r w:rsidRPr="00DD506E">
        <w:rPr>
          <w:sz w:val="28"/>
        </w:rPr>
        <w:t xml:space="preserve"> </w:t>
      </w:r>
      <w:r w:rsidRPr="00DD506E">
        <w:rPr>
          <w:sz w:val="28"/>
        </w:rPr>
        <w:t>30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днів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опублікування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Закону: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забезпечити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прийняття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актів,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необхідних</w:t>
      </w:r>
      <w:r w:rsidRPr="00DD506E">
        <w:rPr>
          <w:sz w:val="28"/>
        </w:rPr>
        <w:t xml:space="preserve"> </w:t>
      </w:r>
      <w:r w:rsidRPr="00DD506E">
        <w:rPr>
          <w:sz w:val="28"/>
        </w:rPr>
        <w:t>для</w:t>
      </w:r>
      <w:r w:rsidRPr="00DD506E">
        <w:rPr>
          <w:sz w:val="28"/>
        </w:rPr>
        <w:t xml:space="preserve"> </w:t>
      </w:r>
      <w:r w:rsidRPr="00DD506E">
        <w:rPr>
          <w:sz w:val="28"/>
        </w:rPr>
        <w:t>реалізації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цього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Закону;</w:t>
      </w:r>
    </w:p>
    <w:p w:rsidR="00DD506E" w:rsidRPr="00DD506E" w:rsidRDefault="00DD506E" w:rsidP="00DD506E">
      <w:pPr>
        <w:ind w:firstLine="720"/>
        <w:jc w:val="both"/>
        <w:rPr>
          <w:sz w:val="28"/>
        </w:rPr>
      </w:pPr>
      <w:r w:rsidRPr="00DD506E">
        <w:rPr>
          <w:sz w:val="28"/>
        </w:rPr>
        <w:t>привести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свої</w:t>
      </w:r>
      <w:r w:rsidRPr="00DD506E">
        <w:rPr>
          <w:sz w:val="28"/>
        </w:rPr>
        <w:t xml:space="preserve"> </w:t>
      </w:r>
      <w:r w:rsidRPr="00DD506E">
        <w:rPr>
          <w:sz w:val="28"/>
        </w:rPr>
        <w:t>нормативно-правові</w:t>
      </w:r>
      <w:r w:rsidRPr="00DD506E">
        <w:rPr>
          <w:sz w:val="28"/>
        </w:rPr>
        <w:t xml:space="preserve"> </w:t>
      </w:r>
      <w:r w:rsidRPr="00DD506E">
        <w:rPr>
          <w:sz w:val="28"/>
        </w:rPr>
        <w:t>акти</w:t>
      </w:r>
      <w:r w:rsidRPr="00DD506E">
        <w:rPr>
          <w:sz w:val="28"/>
        </w:rPr>
        <w:t xml:space="preserve"> </w:t>
      </w:r>
      <w:r w:rsidRPr="00DD506E">
        <w:rPr>
          <w:sz w:val="28"/>
        </w:rPr>
        <w:t>у</w:t>
      </w:r>
      <w:r w:rsidRPr="00DD506E">
        <w:rPr>
          <w:sz w:val="28"/>
        </w:rPr>
        <w:t xml:space="preserve"> </w:t>
      </w:r>
      <w:r w:rsidRPr="00DD506E">
        <w:rPr>
          <w:sz w:val="28"/>
        </w:rPr>
        <w:t>відповідність</w:t>
      </w:r>
      <w:r w:rsidRPr="00DD506E">
        <w:rPr>
          <w:sz w:val="28"/>
        </w:rPr>
        <w:t xml:space="preserve"> </w:t>
      </w:r>
      <w:r w:rsidRPr="00DD506E">
        <w:rPr>
          <w:sz w:val="28"/>
        </w:rPr>
        <w:t>із</w:t>
      </w:r>
      <w:r w:rsidRPr="00DD506E">
        <w:rPr>
          <w:sz w:val="28"/>
        </w:rPr>
        <w:t xml:space="preserve"> </w:t>
      </w:r>
      <w:r w:rsidRPr="00DD506E">
        <w:rPr>
          <w:sz w:val="28"/>
        </w:rPr>
        <w:t>цим</w:t>
      </w:r>
      <w:r w:rsidRPr="00DD506E">
        <w:rPr>
          <w:sz w:val="28"/>
        </w:rPr>
        <w:t xml:space="preserve"> </w:t>
      </w:r>
      <w:r w:rsidRPr="00DD506E">
        <w:rPr>
          <w:sz w:val="28"/>
        </w:rPr>
        <w:t>Законом.</w:t>
      </w:r>
    </w:p>
    <w:p w:rsidR="00595064" w:rsidRPr="00DD506E" w:rsidRDefault="00595064" w:rsidP="00DD506E">
      <w:pPr>
        <w:ind w:firstLine="720"/>
        <w:jc w:val="both"/>
        <w:rPr>
          <w:sz w:val="28"/>
        </w:rPr>
      </w:pPr>
    </w:p>
    <w:sectPr w:rsidR="00595064" w:rsidRPr="00DD506E" w:rsidSect="00DD506E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6E" w:rsidRDefault="00DD506E">
      <w:r>
        <w:separator/>
      </w:r>
    </w:p>
  </w:endnote>
  <w:endnote w:type="continuationSeparator" w:id="0">
    <w:p w:rsidR="00DD506E" w:rsidRDefault="00D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6E" w:rsidRDefault="00DD506E" w:rsidP="000454D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DD506E" w:rsidRDefault="00DD50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6E" w:rsidRDefault="00DD506E" w:rsidP="000454D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DD506E" w:rsidRDefault="00DD50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6E" w:rsidRDefault="00DD506E">
      <w:r>
        <w:separator/>
      </w:r>
    </w:p>
  </w:footnote>
  <w:footnote w:type="continuationSeparator" w:id="0">
    <w:p w:rsidR="00DD506E" w:rsidRDefault="00DD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06E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DD506E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83E2"/>
  <w15:chartTrackingRefBased/>
  <w15:docId w15:val="{0C599ABA-3751-4D7C-AE2C-5ACBCD46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DD50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DD506E"/>
    <w:rPr>
      <w:sz w:val="28"/>
    </w:rPr>
  </w:style>
  <w:style w:type="character" w:styleId="aa">
    <w:name w:val="page number"/>
    <w:basedOn w:val="a1"/>
    <w:rsid w:val="00DD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12</Pages>
  <Words>3680</Words>
  <Characters>24955</Characters>
  <Application>Microsoft Office Word</Application>
  <DocSecurity>0</DocSecurity>
  <Lines>470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2021-04-14T09:23:00Z</dcterms:created>
  <dcterms:modified xsi:type="dcterms:W3CDTF">2021-04-14T09:24:00Z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