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38A81" w14:textId="77777777" w:rsidR="00EA726B" w:rsidRDefault="00EA726B" w:rsidP="00953673">
      <w:pPr>
        <w:tabs>
          <w:tab w:val="left" w:pos="6946"/>
        </w:tabs>
        <w:ind w:right="-113" w:firstLine="709"/>
        <w:jc w:val="both"/>
      </w:pPr>
    </w:p>
    <w:p w14:paraId="615DDFC7" w14:textId="77777777" w:rsidR="0031441A" w:rsidRPr="00F2346E" w:rsidRDefault="0031441A" w:rsidP="00953673">
      <w:pPr>
        <w:tabs>
          <w:tab w:val="left" w:pos="6946"/>
        </w:tabs>
        <w:ind w:right="-113" w:firstLine="709"/>
        <w:jc w:val="both"/>
      </w:pPr>
    </w:p>
    <w:p w14:paraId="30032967" w14:textId="77777777" w:rsidR="00953673" w:rsidRPr="00F2346E" w:rsidRDefault="00953673" w:rsidP="006B7FCA">
      <w:pPr>
        <w:tabs>
          <w:tab w:val="left" w:pos="6946"/>
        </w:tabs>
        <w:ind w:right="-2"/>
        <w:jc w:val="center"/>
        <w:rPr>
          <w:b/>
        </w:rPr>
      </w:pPr>
      <w:r w:rsidRPr="00F2346E">
        <w:rPr>
          <w:b/>
        </w:rPr>
        <w:t>ВИСНОВОК</w:t>
      </w:r>
    </w:p>
    <w:p w14:paraId="04581250" w14:textId="6CF162C5" w:rsidR="0054537A" w:rsidRPr="00FC0CEB" w:rsidRDefault="00953673" w:rsidP="00021997">
      <w:pPr>
        <w:pStyle w:val="3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b w:val="0"/>
          <w:sz w:val="28"/>
          <w:szCs w:val="28"/>
          <w:lang w:val="uk-UA"/>
        </w:rPr>
      </w:pPr>
      <w:r w:rsidRPr="00F2346E">
        <w:rPr>
          <w:sz w:val="28"/>
          <w:szCs w:val="28"/>
          <w:lang w:val="uk-UA"/>
        </w:rPr>
        <w:t xml:space="preserve">на проект Закону України </w:t>
      </w:r>
      <w:r w:rsidR="001574A2" w:rsidRPr="00F2346E">
        <w:rPr>
          <w:bCs w:val="0"/>
          <w:sz w:val="28"/>
          <w:szCs w:val="28"/>
          <w:lang w:val="uk-UA"/>
        </w:rPr>
        <w:t>«Про внесення змін до Закону України</w:t>
      </w:r>
      <w:r w:rsidR="001574A2" w:rsidRPr="00F2346E">
        <w:rPr>
          <w:bCs w:val="0"/>
          <w:sz w:val="28"/>
          <w:szCs w:val="28"/>
          <w:lang w:val="uk-UA"/>
        </w:rPr>
        <w:br/>
        <w:t xml:space="preserve">«Про забезпечення прав та </w:t>
      </w:r>
      <w:r w:rsidR="001574A2" w:rsidRPr="00FC0CEB">
        <w:rPr>
          <w:bCs w:val="0"/>
          <w:sz w:val="28"/>
          <w:szCs w:val="28"/>
          <w:lang w:val="uk-UA"/>
        </w:rPr>
        <w:t>свобод внутрішньо переміщених осіб»</w:t>
      </w:r>
      <w:r w:rsidR="00F2346E" w:rsidRPr="00FC0CEB">
        <w:rPr>
          <w:bCs w:val="0"/>
          <w:sz w:val="28"/>
          <w:szCs w:val="28"/>
          <w:lang w:val="uk-UA"/>
        </w:rPr>
        <w:t>»</w:t>
      </w:r>
    </w:p>
    <w:p w14:paraId="41C33BE3" w14:textId="77777777" w:rsidR="00517BB4" w:rsidRPr="00FC0CEB" w:rsidRDefault="00517BB4" w:rsidP="00953673">
      <w:pPr>
        <w:tabs>
          <w:tab w:val="left" w:pos="6946"/>
        </w:tabs>
        <w:ind w:right="-2"/>
        <w:jc w:val="center"/>
        <w:rPr>
          <w:b/>
        </w:rPr>
      </w:pPr>
    </w:p>
    <w:p w14:paraId="3A3ED742" w14:textId="036714AF" w:rsidR="00E647CF" w:rsidRPr="00FC0CEB" w:rsidRDefault="00F02901" w:rsidP="00837AFE">
      <w:pPr>
        <w:ind w:firstLine="709"/>
        <w:jc w:val="both"/>
      </w:pPr>
      <w:r w:rsidRPr="00FC0CEB">
        <w:rPr>
          <w:rStyle w:val="rvts9"/>
          <w:bCs/>
          <w:bdr w:val="none" w:sz="0" w:space="0" w:color="auto" w:frame="1"/>
        </w:rPr>
        <w:t xml:space="preserve">У законопроекті </w:t>
      </w:r>
      <w:r w:rsidR="001574A2" w:rsidRPr="00FC0CEB">
        <w:rPr>
          <w:rStyle w:val="rvts9"/>
          <w:bCs/>
          <w:bdr w:val="none" w:sz="0" w:space="0" w:color="auto" w:frame="1"/>
        </w:rPr>
        <w:t>з метою вдосконалення законодавчого регулювання реалізації прав та свобод внутрішньо переміщених осіб в Україні, зокрема, права на соціальний захист, житло, освіту тощо</w:t>
      </w:r>
      <w:r w:rsidR="00F2346E" w:rsidRPr="00FC0CEB">
        <w:rPr>
          <w:rStyle w:val="rvts9"/>
          <w:bCs/>
          <w:bdr w:val="none" w:sz="0" w:space="0" w:color="auto" w:frame="1"/>
        </w:rPr>
        <w:t>,</w:t>
      </w:r>
      <w:r w:rsidR="001574A2" w:rsidRPr="00FC0CEB">
        <w:rPr>
          <w:rStyle w:val="rvts9"/>
          <w:bCs/>
          <w:bdr w:val="none" w:sz="0" w:space="0" w:color="auto" w:frame="1"/>
        </w:rPr>
        <w:t xml:space="preserve"> </w:t>
      </w:r>
      <w:r w:rsidRPr="00FC0CEB">
        <w:rPr>
          <w:rStyle w:val="rvts9"/>
          <w:bCs/>
          <w:bdr w:val="none" w:sz="0" w:space="0" w:color="auto" w:frame="1"/>
        </w:rPr>
        <w:t xml:space="preserve">пропонується внести зміни до </w:t>
      </w:r>
      <w:r w:rsidR="001574A2" w:rsidRPr="00FC0CEB">
        <w:rPr>
          <w:rStyle w:val="rvts9"/>
          <w:bCs/>
          <w:bdr w:val="none" w:sz="0" w:space="0" w:color="auto" w:frame="1"/>
        </w:rPr>
        <w:t>З</w:t>
      </w:r>
      <w:r w:rsidRPr="00FC0CEB">
        <w:rPr>
          <w:rStyle w:val="rvts9"/>
          <w:bCs/>
          <w:bdr w:val="none" w:sz="0" w:space="0" w:color="auto" w:frame="1"/>
        </w:rPr>
        <w:t>акон</w:t>
      </w:r>
      <w:r w:rsidR="001574A2" w:rsidRPr="00FC0CEB">
        <w:rPr>
          <w:rStyle w:val="rvts9"/>
          <w:bCs/>
          <w:bdr w:val="none" w:sz="0" w:space="0" w:color="auto" w:frame="1"/>
        </w:rPr>
        <w:t>у</w:t>
      </w:r>
      <w:r w:rsidRPr="00FC0CEB">
        <w:rPr>
          <w:rStyle w:val="rvts9"/>
          <w:bCs/>
          <w:bdr w:val="none" w:sz="0" w:space="0" w:color="auto" w:frame="1"/>
        </w:rPr>
        <w:t xml:space="preserve"> України </w:t>
      </w:r>
      <w:r w:rsidR="00F93AA5" w:rsidRPr="00FC0CEB">
        <w:rPr>
          <w:rStyle w:val="rvts9"/>
          <w:bCs/>
          <w:bdr w:val="none" w:sz="0" w:space="0" w:color="auto" w:frame="1"/>
        </w:rPr>
        <w:t>«Про забезпечення прав і свобод внутрішньо переміщених осіб»</w:t>
      </w:r>
      <w:r w:rsidR="00F43F21" w:rsidRPr="00FC0CEB">
        <w:rPr>
          <w:rStyle w:val="rvts9"/>
          <w:bCs/>
          <w:bdr w:val="none" w:sz="0" w:space="0" w:color="auto" w:frame="1"/>
        </w:rPr>
        <w:t xml:space="preserve"> (далі – Закон)</w:t>
      </w:r>
      <w:r w:rsidR="001574A2" w:rsidRPr="00FC0CEB">
        <w:rPr>
          <w:rStyle w:val="rvts9"/>
          <w:bCs/>
          <w:bdr w:val="none" w:sz="0" w:space="0" w:color="auto" w:frame="1"/>
        </w:rPr>
        <w:t>.</w:t>
      </w:r>
      <w:r w:rsidR="00F93AA5" w:rsidRPr="00FC0CEB">
        <w:rPr>
          <w:rStyle w:val="rvts9"/>
          <w:bCs/>
          <w:bdr w:val="none" w:sz="0" w:space="0" w:color="auto" w:frame="1"/>
        </w:rPr>
        <w:t xml:space="preserve"> </w:t>
      </w:r>
      <w:r w:rsidRPr="00FC0CEB">
        <w:rPr>
          <w:bCs/>
        </w:rPr>
        <w:t xml:space="preserve">Як зазначається у п. </w:t>
      </w:r>
      <w:r w:rsidR="00E647CF" w:rsidRPr="00FC0CEB">
        <w:rPr>
          <w:bCs/>
        </w:rPr>
        <w:t>5</w:t>
      </w:r>
      <w:r w:rsidRPr="00FC0CEB">
        <w:rPr>
          <w:bCs/>
        </w:rPr>
        <w:t xml:space="preserve"> пояснювальної записки, прийняття законопроекту </w:t>
      </w:r>
      <w:r w:rsidR="001574A2" w:rsidRPr="00FC0CEB">
        <w:t>сприятиме інтеграції у приймаючі громади та захисту прав та свобод внутрішньо переміщених осіб</w:t>
      </w:r>
      <w:r w:rsidR="00F93AA5" w:rsidRPr="00FC0CEB">
        <w:t xml:space="preserve">. </w:t>
      </w:r>
    </w:p>
    <w:p w14:paraId="680FE8D9" w14:textId="1EF849E5" w:rsidR="006C6FFE" w:rsidRPr="00F2346E" w:rsidRDefault="005B1F92" w:rsidP="006A63E7">
      <w:pPr>
        <w:pStyle w:val="af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EB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FA4D42" w:rsidRPr="00FC0CEB">
        <w:rPr>
          <w:rFonts w:ascii="Times New Roman" w:hAnsi="Times New Roman" w:cs="Times New Roman"/>
          <w:sz w:val="28"/>
          <w:szCs w:val="28"/>
        </w:rPr>
        <w:t xml:space="preserve">на момент його внесення до Верховної Ради України </w:t>
      </w:r>
      <w:r w:rsidR="006C6FFE" w:rsidRPr="00FC0CEB">
        <w:rPr>
          <w:rFonts w:ascii="Times New Roman" w:hAnsi="Times New Roman" w:cs="Times New Roman"/>
          <w:sz w:val="28"/>
          <w:szCs w:val="28"/>
        </w:rPr>
        <w:t xml:space="preserve">не </w:t>
      </w:r>
      <w:r w:rsidR="00FA4D42" w:rsidRPr="00FC0CEB">
        <w:rPr>
          <w:rFonts w:ascii="Times New Roman" w:hAnsi="Times New Roman" w:cs="Times New Roman"/>
          <w:sz w:val="28"/>
          <w:szCs w:val="28"/>
        </w:rPr>
        <w:t xml:space="preserve">включений до Плану законопроектної роботи Верховної Ради України на </w:t>
      </w:r>
      <w:r w:rsidR="00F2346E" w:rsidRPr="00FC0CEB">
        <w:rPr>
          <w:rFonts w:ascii="Times New Roman" w:hAnsi="Times New Roman" w:cs="Times New Roman"/>
          <w:sz w:val="28"/>
          <w:szCs w:val="28"/>
        </w:rPr>
        <w:br/>
      </w:r>
      <w:r w:rsidR="00FA4D42" w:rsidRPr="00FC0CEB">
        <w:rPr>
          <w:rFonts w:ascii="Times New Roman" w:hAnsi="Times New Roman" w:cs="Times New Roman"/>
          <w:sz w:val="28"/>
          <w:szCs w:val="28"/>
        </w:rPr>
        <w:t>2020 рік, затвердженого постановою Верховної Ради України від 16</w:t>
      </w:r>
      <w:r w:rsidR="001574A2" w:rsidRPr="00FC0CEB">
        <w:rPr>
          <w:rFonts w:ascii="Times New Roman" w:hAnsi="Times New Roman" w:cs="Times New Roman"/>
          <w:sz w:val="28"/>
          <w:szCs w:val="28"/>
        </w:rPr>
        <w:t>.06.</w:t>
      </w:r>
      <w:r w:rsidR="00F2346E" w:rsidRPr="00FC0CEB">
        <w:rPr>
          <w:rFonts w:ascii="Times New Roman" w:hAnsi="Times New Roman" w:cs="Times New Roman"/>
          <w:sz w:val="28"/>
          <w:szCs w:val="28"/>
        </w:rPr>
        <w:t>2020</w:t>
      </w:r>
      <w:r w:rsidR="00F2346E" w:rsidRPr="00FC0CEB">
        <w:rPr>
          <w:rFonts w:ascii="Times New Roman" w:hAnsi="Times New Roman" w:cs="Times New Roman"/>
          <w:sz w:val="28"/>
          <w:szCs w:val="28"/>
        </w:rPr>
        <w:br/>
      </w:r>
      <w:r w:rsidR="00FA4D42" w:rsidRPr="00FC0CEB">
        <w:rPr>
          <w:rFonts w:ascii="Times New Roman" w:hAnsi="Times New Roman" w:cs="Times New Roman"/>
          <w:sz w:val="28"/>
          <w:szCs w:val="28"/>
        </w:rPr>
        <w:t>№ 689-IX</w:t>
      </w:r>
      <w:r w:rsidR="00187A2B" w:rsidRPr="00FC0CEB">
        <w:rPr>
          <w:rFonts w:ascii="Times New Roman" w:hAnsi="Times New Roman" w:cs="Times New Roman"/>
          <w:sz w:val="28"/>
          <w:szCs w:val="28"/>
        </w:rPr>
        <w:t>. Разом з тим, зазначимо, що до вказаного</w:t>
      </w:r>
      <w:r w:rsidR="00187A2B" w:rsidRPr="00F2346E">
        <w:rPr>
          <w:rFonts w:ascii="Times New Roman" w:hAnsi="Times New Roman" w:cs="Times New Roman"/>
          <w:sz w:val="28"/>
          <w:szCs w:val="28"/>
        </w:rPr>
        <w:t xml:space="preserve"> Плану включений проект Закону про внесення змін до деяких законів України щодо забезпечення прав та свобод внутрішньо переміщених осіб і ветеранів війни (п. 503), обґрунтування необхідності розроблення якого визначено </w:t>
      </w:r>
      <w:r w:rsidR="00980220" w:rsidRPr="00F2346E">
        <w:rPr>
          <w:rFonts w:ascii="Times New Roman" w:hAnsi="Times New Roman" w:cs="Times New Roman"/>
          <w:sz w:val="28"/>
          <w:szCs w:val="28"/>
        </w:rPr>
        <w:t xml:space="preserve">як </w:t>
      </w:r>
      <w:r w:rsidR="00187A2B" w:rsidRPr="00F2346E">
        <w:rPr>
          <w:rFonts w:ascii="Times New Roman" w:hAnsi="Times New Roman" w:cs="Times New Roman"/>
          <w:sz w:val="28"/>
          <w:szCs w:val="28"/>
        </w:rPr>
        <w:t>«визначення повноважень центрального органу виконавчої влади, що забезпечує формування та реалізує державну політику у сфері соціального захисту ветеранів війни та з питань тимчасово окупованих територій, у сфері забезпечення прав та свобод внутрішньо переміщених осіб і ветеранів. Уточнення поняття «внутрішньо переміщена особа», забезпечення права внутрішньо переміщених осіб на свободу пересування та вільний вибір місця проживання», відповідальним – Комітет з питань прав людини, деокупації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відносин, строком подання – червень 2020 року; та проект Закону про внесення змін до деяких законів України щодо реєстрації місця проживання внутрішньо переміщених осіб</w:t>
      </w:r>
      <w:r w:rsidR="006A63E7" w:rsidRPr="00F2346E">
        <w:rPr>
          <w:rFonts w:ascii="Times New Roman" w:hAnsi="Times New Roman" w:cs="Times New Roman"/>
          <w:sz w:val="28"/>
          <w:szCs w:val="28"/>
        </w:rPr>
        <w:t xml:space="preserve"> (п. 505), обґрунтування необхідності розроблення якого визначено </w:t>
      </w:r>
      <w:r w:rsidR="00980220" w:rsidRPr="00F2346E">
        <w:rPr>
          <w:rFonts w:ascii="Times New Roman" w:hAnsi="Times New Roman" w:cs="Times New Roman"/>
          <w:sz w:val="28"/>
          <w:szCs w:val="28"/>
        </w:rPr>
        <w:t xml:space="preserve">як </w:t>
      </w:r>
      <w:r w:rsidR="006A63E7" w:rsidRPr="00F2346E">
        <w:rPr>
          <w:rFonts w:ascii="Times New Roman" w:hAnsi="Times New Roman" w:cs="Times New Roman"/>
          <w:sz w:val="28"/>
          <w:szCs w:val="28"/>
        </w:rPr>
        <w:t xml:space="preserve">«сприяння інтеграції внутрішньо переміщених осіб за новим місцем проживання шляхом створення умов для реалізації такими особами своїх конституційних прав», відповідальним – </w:t>
      </w:r>
      <w:r w:rsidR="006A63E7" w:rsidRPr="00F2346E">
        <w:rPr>
          <w:rStyle w:val="rvts0"/>
          <w:rFonts w:ascii="Times New Roman" w:hAnsi="Times New Roman" w:cs="Times New Roman"/>
          <w:sz w:val="28"/>
          <w:szCs w:val="28"/>
        </w:rPr>
        <w:t xml:space="preserve">Комітет з питань прав людини, деокупації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відносин, строком подання – </w:t>
      </w:r>
      <w:r w:rsidR="00F2346E">
        <w:rPr>
          <w:rStyle w:val="rvts0"/>
          <w:rFonts w:ascii="Times New Roman" w:hAnsi="Times New Roman" w:cs="Times New Roman"/>
          <w:sz w:val="28"/>
          <w:szCs w:val="28"/>
        </w:rPr>
        <w:br/>
      </w:r>
      <w:r w:rsidR="006A63E7" w:rsidRPr="00F2346E">
        <w:rPr>
          <w:rStyle w:val="rvts0"/>
          <w:rFonts w:ascii="Times New Roman" w:hAnsi="Times New Roman" w:cs="Times New Roman"/>
          <w:sz w:val="28"/>
          <w:szCs w:val="28"/>
        </w:rPr>
        <w:t>липень 2020 року.</w:t>
      </w:r>
    </w:p>
    <w:p w14:paraId="00CCF5AF" w14:textId="3D2A7FF3" w:rsidR="00157EE5" w:rsidRPr="00D77FF2" w:rsidRDefault="00157EE5" w:rsidP="00FA4D42">
      <w:pPr>
        <w:pStyle w:val="a3"/>
        <w:ind w:firstLine="709"/>
        <w:jc w:val="both"/>
        <w:rPr>
          <w:bCs/>
        </w:rPr>
      </w:pPr>
      <w:r w:rsidRPr="00D77FF2">
        <w:rPr>
          <w:bCs/>
        </w:rPr>
        <w:t>Головне управління, розглянувши поданий законопроект, вважає за доцільне висловити щодо його змісту такі зауваження та пропозиції.</w:t>
      </w:r>
    </w:p>
    <w:p w14:paraId="642F453E" w14:textId="77777777" w:rsidR="000642E1" w:rsidRPr="00F2346E" w:rsidRDefault="00CF3EA5" w:rsidP="000642E1">
      <w:pPr>
        <w:pStyle w:val="a3"/>
        <w:ind w:right="-42" w:firstLine="709"/>
        <w:jc w:val="both"/>
        <w:rPr>
          <w:rFonts w:eastAsia="Times New Roman"/>
          <w:bCs/>
        </w:rPr>
      </w:pPr>
      <w:r w:rsidRPr="00D77FF2">
        <w:rPr>
          <w:b/>
          <w:bCs/>
        </w:rPr>
        <w:t>1</w:t>
      </w:r>
      <w:r w:rsidR="00D43765" w:rsidRPr="00D77FF2">
        <w:rPr>
          <w:b/>
          <w:bCs/>
        </w:rPr>
        <w:t>.</w:t>
      </w:r>
      <w:r w:rsidR="00BB783D" w:rsidRPr="00D77FF2">
        <w:rPr>
          <w:bCs/>
        </w:rPr>
        <w:t xml:space="preserve"> </w:t>
      </w:r>
      <w:r w:rsidR="000642E1" w:rsidRPr="00D77FF2">
        <w:rPr>
          <w:bCs/>
        </w:rPr>
        <w:t xml:space="preserve">Необхідно зазначити, що питанням забезпечення прав і свобод внутрішньо переміщених осіб на міжнародному рівні присвячені Керівні принципи з питань щодо переміщення осіб всередині країни, які були </w:t>
      </w:r>
      <w:r w:rsidR="000642E1" w:rsidRPr="00D77FF2">
        <w:rPr>
          <w:bCs/>
        </w:rPr>
        <w:lastRenderedPageBreak/>
        <w:t>підготовлені представником Генерального секретаря ООН з питань внутрішньо переміщених осіб та прийняті у 1998 році (далі – Керівні принципи). Керівні принципи представляють собою набір з 30 рекомендацій, які дають визначення внутрішньо переміщених осіб, пропонують огляд значного масиву існуючих міжнародних інструментів у сфері</w:t>
      </w:r>
      <w:r w:rsidR="000642E1" w:rsidRPr="00F2346E">
        <w:rPr>
          <w:bCs/>
        </w:rPr>
        <w:t xml:space="preserve"> захисту основних прав людини і опис рівня відповідальності держав. Незважаючи на те, що рекомендації не носять обов’язкового характеру для держав, вони є мінімальними стандартами роботи з внутрішньо переміщеними особами і використовуються все зростаючим числом держав та установ. </w:t>
      </w:r>
    </w:p>
    <w:p w14:paraId="7B3A3D8D" w14:textId="3F7115AA" w:rsidR="0059500E" w:rsidRPr="00F2346E" w:rsidRDefault="000642E1" w:rsidP="00946A3B">
      <w:pPr>
        <w:pStyle w:val="a3"/>
        <w:ind w:right="-42" w:firstLine="709"/>
        <w:jc w:val="both"/>
        <w:rPr>
          <w:bCs/>
        </w:rPr>
      </w:pPr>
      <w:r w:rsidRPr="00F2346E">
        <w:rPr>
          <w:bCs/>
        </w:rPr>
        <w:t xml:space="preserve">Відповідно до положень Керівних принципів </w:t>
      </w:r>
      <w:r w:rsidR="0059500E" w:rsidRPr="00F2346E">
        <w:rPr>
          <w:bCs/>
        </w:rPr>
        <w:t>внутрішньо переміщені особи, на підставі повної рівності, користуються тими ж правами та свободами, передбаченими міжнародним правом і національним законодавством, якими користуються інші особи в їхній країні</w:t>
      </w:r>
      <w:r w:rsidR="00946A3B" w:rsidRPr="00F2346E">
        <w:rPr>
          <w:bCs/>
        </w:rPr>
        <w:t>. Вони не повинні піддаватись</w:t>
      </w:r>
      <w:r w:rsidR="00946A3B" w:rsidRPr="00F2346E">
        <w:rPr>
          <w:bCs/>
          <w:lang w:val="ru-RU"/>
        </w:rPr>
        <w:t xml:space="preserve"> </w:t>
      </w:r>
      <w:r w:rsidR="00946A3B" w:rsidRPr="00F2346E">
        <w:rPr>
          <w:bCs/>
        </w:rPr>
        <w:t>дискримінації при здійсненні будь-яких прав і свобод</w:t>
      </w:r>
      <w:r w:rsidR="00946A3B" w:rsidRPr="00F2346E">
        <w:rPr>
          <w:bCs/>
          <w:lang w:val="ru-RU"/>
        </w:rPr>
        <w:t xml:space="preserve"> </w:t>
      </w:r>
      <w:r w:rsidR="00946A3B" w:rsidRPr="00F2346E">
        <w:rPr>
          <w:bCs/>
        </w:rPr>
        <w:t>на підставі того, що вони є внутрішньо переміщеними</w:t>
      </w:r>
      <w:r w:rsidR="00946A3B" w:rsidRPr="00F2346E">
        <w:rPr>
          <w:bCs/>
          <w:lang w:val="ru-RU"/>
        </w:rPr>
        <w:t xml:space="preserve"> </w:t>
      </w:r>
      <w:r w:rsidR="00946A3B" w:rsidRPr="00F2346E">
        <w:rPr>
          <w:bCs/>
        </w:rPr>
        <w:t>особами</w:t>
      </w:r>
      <w:r w:rsidR="00946A3B" w:rsidRPr="00F2346E">
        <w:rPr>
          <w:bCs/>
          <w:lang w:val="ru-RU"/>
        </w:rPr>
        <w:t xml:space="preserve"> (принцип 1)</w:t>
      </w:r>
      <w:r w:rsidR="0059500E" w:rsidRPr="00F2346E">
        <w:rPr>
          <w:bCs/>
        </w:rPr>
        <w:t>.</w:t>
      </w:r>
    </w:p>
    <w:p w14:paraId="49D3312F" w14:textId="1C64681E" w:rsidR="000642E1" w:rsidRPr="00FC0CEB" w:rsidRDefault="000642E1" w:rsidP="000642E1">
      <w:pPr>
        <w:pStyle w:val="a3"/>
        <w:ind w:right="-42" w:firstLine="709"/>
        <w:jc w:val="both"/>
      </w:pPr>
      <w:r w:rsidRPr="00F2346E">
        <w:rPr>
          <w:bCs/>
        </w:rPr>
        <w:t xml:space="preserve">Такий підхід знайшов своє відображення і у Рекомендаціях Rec (2006) 6 Комітету міністрів Ради Європи державам-членам щодо внутрішньо переміщених осіб, </w:t>
      </w:r>
      <w:r w:rsidRPr="00FC0CEB">
        <w:rPr>
          <w:bCs/>
        </w:rPr>
        <w:t xml:space="preserve">ухвалених Комітетом міністрів Ради Європи на </w:t>
      </w:r>
      <w:r w:rsidR="00FC0CEB">
        <w:rPr>
          <w:bCs/>
        </w:rPr>
        <w:br/>
      </w:r>
      <w:r w:rsidRPr="00FC0CEB">
        <w:rPr>
          <w:bCs/>
        </w:rPr>
        <w:t xml:space="preserve">961-му засіданні заступників міністрів 05.04.2006. Так, відповідно до п. 2 цих Рекомендацій внутрішньо переміщені особи </w:t>
      </w:r>
      <w:r w:rsidR="00463B7E" w:rsidRPr="00FC0CEB">
        <w:t xml:space="preserve">не повинні зазнавати дискримінації </w:t>
      </w:r>
      <w:r w:rsidR="00F2346E" w:rsidRPr="00FC0CEB">
        <w:t>через їхнє переміщення. Держави-</w:t>
      </w:r>
      <w:r w:rsidR="00463B7E" w:rsidRPr="00FC0CEB">
        <w:t>члени повинні вжити належних і ефективних заходів для забезпечення рівного ставлення до внутрішньо переміщених осіб, а також до них та інших громадян</w:t>
      </w:r>
      <w:r w:rsidR="00917006" w:rsidRPr="00FC0CEB">
        <w:rPr>
          <w:rStyle w:val="ad"/>
        </w:rPr>
        <w:footnoteReference w:id="1"/>
      </w:r>
      <w:r w:rsidR="00463B7E" w:rsidRPr="00FC0CEB">
        <w:t xml:space="preserve">. </w:t>
      </w:r>
    </w:p>
    <w:p w14:paraId="09D8FED6" w14:textId="3FFB841C" w:rsidR="00E336EC" w:rsidRPr="00FC0CEB" w:rsidRDefault="006A63E7" w:rsidP="000642E1">
      <w:pPr>
        <w:pStyle w:val="a3"/>
        <w:ind w:right="-42" w:firstLine="709"/>
        <w:jc w:val="both"/>
      </w:pPr>
      <w:r w:rsidRPr="00FC0CEB">
        <w:t xml:space="preserve">На необхідність </w:t>
      </w:r>
      <w:r w:rsidR="00BD58A1" w:rsidRPr="00FC0CEB">
        <w:t>сприяння реалізації</w:t>
      </w:r>
      <w:r w:rsidRPr="00FC0CEB">
        <w:t xml:space="preserve"> прав внутрішньо переміщених осіб</w:t>
      </w:r>
      <w:r w:rsidR="0032798E" w:rsidRPr="00FC0CEB">
        <w:t xml:space="preserve"> звернуто увагу і в резолюції ПАРЄ </w:t>
      </w:r>
      <w:r w:rsidR="00F2346E" w:rsidRPr="00FC0CEB">
        <w:t xml:space="preserve">від </w:t>
      </w:r>
      <w:r w:rsidR="00FC0CEB" w:rsidRPr="00FC0CEB">
        <w:t>23.01.2018 № 2168</w:t>
      </w:r>
      <w:r w:rsidR="0032798E" w:rsidRPr="00FC0CEB">
        <w:t>,</w:t>
      </w:r>
      <w:r w:rsidR="00E336EC" w:rsidRPr="00FC0CEB">
        <w:t xml:space="preserve"> зокрема</w:t>
      </w:r>
      <w:r w:rsidR="0032798E" w:rsidRPr="00FC0CEB">
        <w:t>,</w:t>
      </w:r>
      <w:r w:rsidR="00E336EC" w:rsidRPr="00FC0CEB">
        <w:t xml:space="preserve"> щодо </w:t>
      </w:r>
      <w:r w:rsidR="0032798E" w:rsidRPr="00FC0CEB">
        <w:t xml:space="preserve">надання необхідних фінансових ресурсів місцевим адміністраціям, відповідальним за допомогу внутрішньо переміщеним особам та іншим жертвам війни (п. 11.7) та  забезпечення внутрішньо переміщеним особам права на адекватне житло і вирішення житлових питань, включаючи прийняття правових </w:t>
      </w:r>
      <w:r w:rsidR="00BD58A1" w:rsidRPr="00FC0CEB">
        <w:t>основ</w:t>
      </w:r>
      <w:r w:rsidR="0032798E" w:rsidRPr="00FC0CEB">
        <w:t xml:space="preserve"> запровадження і реалізації різноманітних видів житлових програм (</w:t>
      </w:r>
      <w:r w:rsidR="00F2346E" w:rsidRPr="00FC0CEB">
        <w:t xml:space="preserve">п. </w:t>
      </w:r>
      <w:r w:rsidR="0032798E" w:rsidRPr="00FC0CEB">
        <w:t>11.13)</w:t>
      </w:r>
      <w:r w:rsidR="0032798E" w:rsidRPr="00FC0CEB">
        <w:rPr>
          <w:rStyle w:val="ad"/>
        </w:rPr>
        <w:footnoteReference w:id="2"/>
      </w:r>
      <w:r w:rsidR="0032798E" w:rsidRPr="00FC0CEB">
        <w:t xml:space="preserve">. </w:t>
      </w:r>
    </w:p>
    <w:p w14:paraId="7FA3A0A7" w14:textId="48098091" w:rsidR="0032798E" w:rsidRPr="00F2346E" w:rsidRDefault="0032798E" w:rsidP="0032798E">
      <w:pPr>
        <w:spacing w:line="228" w:lineRule="auto"/>
        <w:ind w:firstLine="720"/>
        <w:jc w:val="both"/>
        <w:rPr>
          <w:rFonts w:eastAsia="Times New Roman"/>
          <w:bCs/>
          <w:bdr w:val="none" w:sz="0" w:space="0" w:color="auto" w:frame="1"/>
          <w:lang w:eastAsia="uk-UA"/>
        </w:rPr>
      </w:pPr>
      <w:r w:rsidRPr="00FC0CEB">
        <w:rPr>
          <w:rFonts w:eastAsia="Times New Roman"/>
          <w:lang w:eastAsia="en-GB"/>
        </w:rPr>
        <w:t>Крім того, необхідно звернути увагу на</w:t>
      </w:r>
      <w:r w:rsidRPr="00F2346E">
        <w:rPr>
          <w:rFonts w:eastAsia="Times New Roman"/>
          <w:lang w:eastAsia="en-GB"/>
        </w:rPr>
        <w:t xml:space="preserve"> те, що Основний Закон України</w:t>
      </w:r>
      <w:r w:rsidRPr="00F2346E">
        <w:rPr>
          <w:rFonts w:eastAsia="Times New Roman"/>
          <w:b/>
          <w:lang w:eastAsia="en-GB"/>
        </w:rPr>
        <w:t xml:space="preserve"> </w:t>
      </w:r>
      <w:r w:rsidRPr="00F2346E">
        <w:rPr>
          <w:rFonts w:eastAsia="Times New Roman"/>
          <w:lang w:eastAsia="en-GB"/>
        </w:rPr>
        <w:t xml:space="preserve"> гарантує рівність усіх людей у своїй гідності та правах, п</w:t>
      </w:r>
      <w:r w:rsidRPr="00F2346E">
        <w:rPr>
          <w:rFonts w:eastAsia="Times New Roman"/>
          <w:shd w:val="clear" w:color="auto" w:fill="FFFFFF"/>
          <w:lang w:eastAsia="en-GB"/>
        </w:rPr>
        <w:t xml:space="preserve">рава і свободи </w:t>
      </w:r>
      <w:r w:rsidRPr="00F2346E">
        <w:rPr>
          <w:rFonts w:eastAsia="Times New Roman"/>
          <w:i/>
          <w:shd w:val="clear" w:color="auto" w:fill="FFFFFF"/>
          <w:lang w:eastAsia="en-GB"/>
        </w:rPr>
        <w:t>людини</w:t>
      </w:r>
      <w:r w:rsidRPr="00F2346E">
        <w:rPr>
          <w:rFonts w:eastAsia="Times New Roman"/>
          <w:shd w:val="clear" w:color="auto" w:fill="FFFFFF"/>
          <w:lang w:eastAsia="en-GB"/>
        </w:rPr>
        <w:t xml:space="preserve"> є невідчужуваними та непорушними (ст. 21). </w:t>
      </w:r>
    </w:p>
    <w:p w14:paraId="62649E9C" w14:textId="52FB00F8" w:rsidR="00A20842" w:rsidRPr="00FC0CEB" w:rsidRDefault="00A20842" w:rsidP="0032798E">
      <w:pPr>
        <w:spacing w:line="228" w:lineRule="auto"/>
        <w:ind w:firstLine="720"/>
        <w:jc w:val="both"/>
        <w:rPr>
          <w:rFonts w:eastAsia="Times New Roman"/>
          <w:bCs/>
          <w:bdr w:val="none" w:sz="0" w:space="0" w:color="auto" w:frame="1"/>
          <w:lang w:eastAsia="uk-UA"/>
        </w:rPr>
      </w:pPr>
      <w:r w:rsidRPr="00F2346E">
        <w:rPr>
          <w:rFonts w:eastAsia="Times New Roman"/>
          <w:bCs/>
          <w:bdr w:val="none" w:sz="0" w:space="0" w:color="auto" w:frame="1"/>
          <w:lang w:eastAsia="uk-UA"/>
        </w:rPr>
        <w:t xml:space="preserve">У зв’язку із зазначеним, вдосконалення чинного законодавства України щодо сприяння реалізації прав та свобод внутрішньо переміщених осіб повинно забезпечувати </w:t>
      </w:r>
      <w:r w:rsidRPr="00FC0CEB">
        <w:rPr>
          <w:rFonts w:eastAsia="Times New Roman"/>
          <w:bCs/>
          <w:bdr w:val="none" w:sz="0" w:space="0" w:color="auto" w:frame="1"/>
          <w:lang w:eastAsia="uk-UA"/>
        </w:rPr>
        <w:t xml:space="preserve">можливість реалізації </w:t>
      </w:r>
      <w:r w:rsidR="00980220" w:rsidRPr="00FC0CEB">
        <w:rPr>
          <w:rFonts w:eastAsia="Times New Roman"/>
          <w:bCs/>
          <w:bdr w:val="none" w:sz="0" w:space="0" w:color="auto" w:frame="1"/>
          <w:lang w:eastAsia="uk-UA"/>
        </w:rPr>
        <w:t xml:space="preserve">на рівних засадах </w:t>
      </w:r>
      <w:r w:rsidRPr="00FC0CEB">
        <w:rPr>
          <w:rFonts w:eastAsia="Times New Roman"/>
          <w:bCs/>
          <w:bdr w:val="none" w:sz="0" w:space="0" w:color="auto" w:frame="1"/>
          <w:lang w:eastAsia="uk-UA"/>
        </w:rPr>
        <w:t xml:space="preserve">цією категорії осіб прав і свобод, передбачених </w:t>
      </w:r>
      <w:r w:rsidR="00F2346E" w:rsidRPr="00FC0CEB">
        <w:rPr>
          <w:rFonts w:eastAsia="Times New Roman"/>
          <w:bCs/>
          <w:bdr w:val="none" w:sz="0" w:space="0" w:color="auto" w:frame="1"/>
          <w:lang w:eastAsia="uk-UA"/>
        </w:rPr>
        <w:t>у</w:t>
      </w:r>
      <w:r w:rsidRPr="00FC0CEB">
        <w:rPr>
          <w:rFonts w:eastAsia="Times New Roman"/>
          <w:bCs/>
          <w:bdr w:val="none" w:sz="0" w:space="0" w:color="auto" w:frame="1"/>
          <w:lang w:eastAsia="uk-UA"/>
        </w:rPr>
        <w:t xml:space="preserve"> Конституції України та відповідних міжнародно-правових актах.   </w:t>
      </w:r>
    </w:p>
    <w:p w14:paraId="206E5CB4" w14:textId="095F00C8" w:rsidR="0031441A" w:rsidRPr="00F2346E" w:rsidRDefault="0031441A" w:rsidP="0031441A">
      <w:pPr>
        <w:pStyle w:val="af0"/>
        <w:spacing w:after="0"/>
        <w:ind w:firstLine="709"/>
        <w:jc w:val="both"/>
        <w:rPr>
          <w:rFonts w:eastAsia="Times New Roman"/>
          <w:b/>
        </w:rPr>
      </w:pPr>
      <w:r w:rsidRPr="00FC0CEB">
        <w:rPr>
          <w:b/>
          <w:bCs/>
        </w:rPr>
        <w:t xml:space="preserve">2. </w:t>
      </w:r>
      <w:r w:rsidRPr="00FC0CEB">
        <w:rPr>
          <w:rFonts w:eastAsia="Times New Roman"/>
        </w:rPr>
        <w:t xml:space="preserve">До недоліків законопроекту слід віднести пропозиції щодо доповнення Закону положеннями, що адресовані державі (наприклад: «держава забезпечує рівний та безперешкодний доступ внутрішньо переміщених осіб до соціальних виплат та пенсій на рівних умовах та у відповідності до Конституції та </w:t>
      </w:r>
      <w:r w:rsidRPr="00FC0CEB">
        <w:rPr>
          <w:rFonts w:eastAsia="Times New Roman"/>
        </w:rPr>
        <w:lastRenderedPageBreak/>
        <w:t xml:space="preserve">законодавства України» (зміни до ч. 2 ст. 7); «держава забезпечує право внутрішньо переміщених осіб на житло …»; «держава сприяє реалізації права внутрішньо переміщених осіб на безоплатне тимчасове проживання …» </w:t>
      </w:r>
      <w:r w:rsidR="00F2346E" w:rsidRPr="00FC0CEB">
        <w:rPr>
          <w:rFonts w:eastAsia="Times New Roman"/>
        </w:rPr>
        <w:br/>
      </w:r>
      <w:r w:rsidRPr="00FC0CEB">
        <w:rPr>
          <w:rFonts w:eastAsia="Times New Roman"/>
        </w:rPr>
        <w:t>(ч.ч. 1, 2 нової ст. 9-2); «держава сприяє у поверненні на попереднє місце проживання та забезпечує безкоштовний проїзд для добровільного повернення до свого покинутого постійного місця проживання у всіх видах громадського транспорту у разі зникнення обставин, що спричинили</w:t>
      </w:r>
      <w:r w:rsidR="00F2346E" w:rsidRPr="00FC0CEB">
        <w:rPr>
          <w:rFonts w:eastAsia="Times New Roman"/>
        </w:rPr>
        <w:t xml:space="preserve"> таке переміщення» </w:t>
      </w:r>
      <w:r w:rsidR="009035E5">
        <w:rPr>
          <w:rFonts w:eastAsia="Times New Roman"/>
          <w:lang w:val="ru-RU"/>
        </w:rPr>
        <w:t xml:space="preserve">                </w:t>
      </w:r>
      <w:r w:rsidR="00F2346E" w:rsidRPr="00FC0CEB">
        <w:rPr>
          <w:rFonts w:eastAsia="Times New Roman"/>
        </w:rPr>
        <w:t xml:space="preserve">(ч. 3 нової </w:t>
      </w:r>
      <w:r w:rsidRPr="00FC0CEB">
        <w:rPr>
          <w:rFonts w:eastAsia="Times New Roman"/>
        </w:rPr>
        <w:t>ст. 9-3). Подібні формулювання притаманні здебільшого нормам Конституції, а не законам України, в яких мають визначатися конкретні повноваження державних органів, інших</w:t>
      </w:r>
      <w:r w:rsidRPr="00F2346E">
        <w:rPr>
          <w:rFonts w:eastAsia="Times New Roman"/>
        </w:rPr>
        <w:t xml:space="preserve"> учасників відповідних суспільних відносин, а не держави в цілому. Конституція України є актом установчої влади народу, а закон – актом органу законодавчої влади, який є складовою частиною (елементом) державного механізму, під яким у широкому значенні розуміють систему всіх органів державної влади та органів місцевого самоврядування, через які держава забезпечує здійснення своїх функцій та завдань. Тому відповідні приписи повинні адресуватися не державі, а конкретним органам державної влади, які є відповідальними за їх виконання.</w:t>
      </w:r>
    </w:p>
    <w:p w14:paraId="0258623B" w14:textId="4EABA9E3" w:rsidR="00157EE5" w:rsidRPr="00F2346E" w:rsidRDefault="0031441A" w:rsidP="00837AFE">
      <w:pPr>
        <w:tabs>
          <w:tab w:val="left" w:pos="720"/>
        </w:tabs>
        <w:ind w:firstLine="709"/>
        <w:jc w:val="both"/>
        <w:rPr>
          <w:bCs/>
        </w:rPr>
      </w:pPr>
      <w:r w:rsidRPr="00F2346E">
        <w:rPr>
          <w:b/>
        </w:rPr>
        <w:t>3</w:t>
      </w:r>
      <w:r w:rsidR="00341AE2" w:rsidRPr="00F2346E">
        <w:rPr>
          <w:b/>
        </w:rPr>
        <w:t>.</w:t>
      </w:r>
      <w:r w:rsidR="00341AE2" w:rsidRPr="00F2346E">
        <w:rPr>
          <w:bCs/>
        </w:rPr>
        <w:t xml:space="preserve"> </w:t>
      </w:r>
      <w:r w:rsidR="0033196D" w:rsidRPr="00F2346E">
        <w:rPr>
          <w:bCs/>
        </w:rPr>
        <w:t>Змінами до</w:t>
      </w:r>
      <w:r w:rsidR="00F43F21" w:rsidRPr="00F2346E">
        <w:rPr>
          <w:bCs/>
        </w:rPr>
        <w:t xml:space="preserve"> ст. 3 Закону пропонується </w:t>
      </w:r>
      <w:r w:rsidR="0033196D" w:rsidRPr="00F2346E">
        <w:rPr>
          <w:bCs/>
        </w:rPr>
        <w:t xml:space="preserve">закріпити право на захист від </w:t>
      </w:r>
      <w:r w:rsidR="0033196D" w:rsidRPr="00F2346E">
        <w:rPr>
          <w:bCs/>
          <w:i/>
          <w:iCs/>
        </w:rPr>
        <w:t>свавільного</w:t>
      </w:r>
      <w:r w:rsidR="0033196D" w:rsidRPr="00F2346E">
        <w:rPr>
          <w:bCs/>
        </w:rPr>
        <w:t xml:space="preserve"> внутрішнього переміщення, </w:t>
      </w:r>
      <w:r w:rsidR="0033196D" w:rsidRPr="00F2346E">
        <w:rPr>
          <w:bCs/>
          <w:i/>
          <w:iCs/>
        </w:rPr>
        <w:t>в тому числі</w:t>
      </w:r>
      <w:r w:rsidR="0033196D" w:rsidRPr="00F2346E">
        <w:rPr>
          <w:bCs/>
        </w:rPr>
        <w:t xml:space="preserve"> примусового повернення на покинуте місце проживання громадян України, іноземців або осіб без громадянства, які перебувають на території України на законних підставах та мають право на постійне проживання в Україні, за обставин, визначених </w:t>
      </w:r>
      <w:r w:rsidR="009035E5">
        <w:rPr>
          <w:bCs/>
          <w:lang w:val="ru-RU"/>
        </w:rPr>
        <w:t xml:space="preserve">                      </w:t>
      </w:r>
      <w:r w:rsidR="0033196D" w:rsidRPr="00F2346E">
        <w:rPr>
          <w:bCs/>
        </w:rPr>
        <w:t xml:space="preserve">у </w:t>
      </w:r>
      <w:r w:rsidR="00946A3B" w:rsidRPr="00F2346E">
        <w:rPr>
          <w:bCs/>
        </w:rPr>
        <w:t>ст</w:t>
      </w:r>
      <w:r w:rsidR="00946A3B" w:rsidRPr="00F2346E">
        <w:rPr>
          <w:bCs/>
          <w:lang w:val="ru-RU"/>
        </w:rPr>
        <w:t>.</w:t>
      </w:r>
      <w:r w:rsidR="0033196D" w:rsidRPr="00F2346E">
        <w:rPr>
          <w:bCs/>
        </w:rPr>
        <w:t xml:space="preserve"> 1 цього Закону.</w:t>
      </w:r>
    </w:p>
    <w:p w14:paraId="5798BA5B" w14:textId="7F08D629" w:rsidR="0031441A" w:rsidRPr="00F2346E" w:rsidRDefault="004A42FD" w:rsidP="0031441A">
      <w:pPr>
        <w:tabs>
          <w:tab w:val="left" w:pos="720"/>
        </w:tabs>
        <w:ind w:firstLine="709"/>
        <w:jc w:val="both"/>
        <w:rPr>
          <w:rFonts w:eastAsia="Times New Roman"/>
        </w:rPr>
      </w:pPr>
      <w:r w:rsidRPr="00F2346E">
        <w:rPr>
          <w:rFonts w:eastAsia="Times New Roman"/>
        </w:rPr>
        <w:t>На нашу думку, запропонован</w:t>
      </w:r>
      <w:r w:rsidR="00946A3B" w:rsidRPr="00F2346E">
        <w:rPr>
          <w:rFonts w:eastAsia="Times New Roman"/>
        </w:rPr>
        <w:t>і</w:t>
      </w:r>
      <w:r w:rsidRPr="00F2346E">
        <w:rPr>
          <w:rFonts w:eastAsia="Times New Roman"/>
        </w:rPr>
        <w:t xml:space="preserve"> зміни є не зовсім вдалими з огляду на те, що відповідно до загальновживаного значення, яке наводиться в тлумачному словнику української мови, «свавільний» означає</w:t>
      </w:r>
      <w:r w:rsidRPr="00F2346E">
        <w:t xml:space="preserve"> такий</w:t>
      </w:r>
      <w:r w:rsidR="00980220" w:rsidRPr="00F2346E">
        <w:t>,</w:t>
      </w:r>
      <w:r w:rsidRPr="00F2346E">
        <w:t xml:space="preserve"> «я</w:t>
      </w:r>
      <w:r w:rsidRPr="00F2346E">
        <w:rPr>
          <w:rFonts w:eastAsia="Times New Roman"/>
        </w:rPr>
        <w:t>кий діє на власний розсуд, не зважаючи на волю й думку інших» або «який суперечить установленим законам, позбавлений справедливості; беззаконний»</w:t>
      </w:r>
      <w:r w:rsidRPr="00F2346E">
        <w:rPr>
          <w:rFonts w:eastAsia="Times New Roman"/>
          <w:vertAlign w:val="superscript"/>
        </w:rPr>
        <w:footnoteReference w:id="3"/>
      </w:r>
      <w:r w:rsidR="00980220" w:rsidRPr="00F2346E">
        <w:rPr>
          <w:rFonts w:eastAsia="Times New Roman"/>
        </w:rPr>
        <w:t>.</w:t>
      </w:r>
      <w:r w:rsidRPr="00F2346E">
        <w:rPr>
          <w:rFonts w:eastAsia="Times New Roman"/>
        </w:rPr>
        <w:t xml:space="preserve"> Тобто, у разі прийняття відповідних змін до ст. 3 Закону, може допускатися ситуація, коли відповідні особи підлягатимуть</w:t>
      </w:r>
      <w:r w:rsidR="004D00D1" w:rsidRPr="00F2346E">
        <w:rPr>
          <w:rFonts w:eastAsia="Times New Roman"/>
        </w:rPr>
        <w:t xml:space="preserve"> примусовому внутрішньому переміщенню, наприклад, у разі закріплення на законодавчому рівні певних підстав для такого переміщення (що вже не буде</w:t>
      </w:r>
      <w:r w:rsidR="006D4921" w:rsidRPr="00F2346E">
        <w:rPr>
          <w:rFonts w:eastAsia="Times New Roman"/>
        </w:rPr>
        <w:t xml:space="preserve"> вважатися</w:t>
      </w:r>
      <w:r w:rsidR="004D00D1" w:rsidRPr="00F2346E">
        <w:rPr>
          <w:rFonts w:eastAsia="Times New Roman"/>
        </w:rPr>
        <w:t xml:space="preserve"> «свавільним»). Враховуючи викладене, вважаємо, що чинна редакція зазначеної статті є більш вдалою, адже вона закріплює захист від </w:t>
      </w:r>
      <w:r w:rsidR="004D00D1" w:rsidRPr="00F2346E">
        <w:rPr>
          <w:rFonts w:eastAsia="Times New Roman"/>
          <w:i/>
          <w:iCs/>
        </w:rPr>
        <w:t>примусового</w:t>
      </w:r>
      <w:r w:rsidR="004D00D1" w:rsidRPr="00F2346E">
        <w:rPr>
          <w:rFonts w:eastAsia="Times New Roman"/>
        </w:rPr>
        <w:t xml:space="preserve"> внутрішнього переміщення та </w:t>
      </w:r>
      <w:r w:rsidR="004D00D1" w:rsidRPr="00F2346E">
        <w:rPr>
          <w:rFonts w:eastAsia="Times New Roman"/>
          <w:i/>
          <w:iCs/>
        </w:rPr>
        <w:t>примусового</w:t>
      </w:r>
      <w:r w:rsidR="004D00D1" w:rsidRPr="00F2346E">
        <w:rPr>
          <w:rFonts w:eastAsia="Times New Roman"/>
        </w:rPr>
        <w:t xml:space="preserve"> повернення на попереднє місце проживання таких осіб.</w:t>
      </w:r>
    </w:p>
    <w:p w14:paraId="2CC20715" w14:textId="3BE828F9" w:rsidR="0031441A" w:rsidRPr="00FC0CEB" w:rsidRDefault="0031441A" w:rsidP="0031441A">
      <w:pPr>
        <w:tabs>
          <w:tab w:val="left" w:pos="720"/>
        </w:tabs>
        <w:ind w:firstLine="709"/>
        <w:jc w:val="both"/>
        <w:rPr>
          <w:rFonts w:eastAsiaTheme="minorHAnsi" w:cstheme="minorBidi"/>
          <w:lang w:eastAsia="en-US"/>
        </w:rPr>
      </w:pPr>
      <w:r w:rsidRPr="00F2346E">
        <w:rPr>
          <w:rFonts w:eastAsia="Times New Roman"/>
          <w:b/>
        </w:rPr>
        <w:t xml:space="preserve">4. </w:t>
      </w:r>
      <w:r w:rsidRPr="00F2346E">
        <w:rPr>
          <w:rFonts w:eastAsiaTheme="minorHAnsi" w:cstheme="minorBidi"/>
          <w:lang w:eastAsia="en-US"/>
        </w:rPr>
        <w:t xml:space="preserve">Конституцією України </w:t>
      </w:r>
      <w:r w:rsidRPr="00FC0CEB">
        <w:rPr>
          <w:rFonts w:eastAsiaTheme="minorHAnsi" w:cstheme="minorBidi"/>
          <w:lang w:eastAsia="en-US"/>
        </w:rPr>
        <w:t>проголошено, що Україна є правовою державою, у якій визнається і діє принцип верховенства права (ст. 1, ч.</w:t>
      </w:r>
      <w:r w:rsidR="00F2346E" w:rsidRPr="00FC0CEB">
        <w:rPr>
          <w:rFonts w:eastAsiaTheme="minorHAnsi" w:cstheme="minorBidi"/>
          <w:lang w:eastAsia="en-US"/>
        </w:rPr>
        <w:t xml:space="preserve"> </w:t>
      </w:r>
      <w:r w:rsidRPr="00FC0CEB">
        <w:rPr>
          <w:rFonts w:eastAsiaTheme="minorHAnsi" w:cstheme="minorBidi"/>
          <w:lang w:eastAsia="en-US"/>
        </w:rPr>
        <w:t xml:space="preserve">1 ст. 8). Конституційний Суд України в абз. 2 пп. 4.1 п. 4 мотивувальної частини Рішення </w:t>
      </w:r>
      <w:r w:rsidR="00F2346E" w:rsidRPr="00FC0CEB">
        <w:rPr>
          <w:rFonts w:eastAsiaTheme="minorHAnsi" w:cstheme="minorBidi"/>
          <w:lang w:eastAsia="en-US"/>
        </w:rPr>
        <w:t xml:space="preserve">від </w:t>
      </w:r>
      <w:r w:rsidR="00FC0CEB" w:rsidRPr="00FC0CEB">
        <w:rPr>
          <w:rFonts w:eastAsiaTheme="minorHAnsi" w:cstheme="minorBidi"/>
          <w:lang w:eastAsia="en-US"/>
        </w:rPr>
        <w:t xml:space="preserve">02.11.2004 </w:t>
      </w:r>
      <w:r w:rsidRPr="00FC0CEB">
        <w:rPr>
          <w:rFonts w:eastAsiaTheme="minorHAnsi" w:cstheme="minorBidi"/>
          <w:lang w:eastAsia="en-US"/>
        </w:rPr>
        <w:t xml:space="preserve">№ 15-рп/2004 зазначив, що верховенство </w:t>
      </w:r>
      <w:r w:rsidR="00F2346E" w:rsidRPr="00FC0CEB">
        <w:rPr>
          <w:rFonts w:eastAsiaTheme="minorHAnsi" w:cstheme="minorBidi"/>
          <w:lang w:eastAsia="en-US"/>
        </w:rPr>
        <w:br/>
        <w:t xml:space="preserve">права – </w:t>
      </w:r>
      <w:r w:rsidRPr="00FC0CEB">
        <w:rPr>
          <w:rFonts w:eastAsiaTheme="minorHAnsi" w:cstheme="minorBidi"/>
          <w:lang w:eastAsia="en-US"/>
        </w:rPr>
        <w:t xml:space="preserve">це панування права в суспільстві; верховенство права вимагає від держави його втілення у правотворчу та правозастосовну діяльність, зокрема у закони, які за своїм змістом мають бути проникнуті передусім ідеями </w:t>
      </w:r>
      <w:r w:rsidRPr="00FC0CEB">
        <w:rPr>
          <w:rFonts w:eastAsiaTheme="minorHAnsi" w:cstheme="minorBidi"/>
          <w:lang w:eastAsia="en-US"/>
        </w:rPr>
        <w:lastRenderedPageBreak/>
        <w:t>соціальної справедливості, свободи, рівності</w:t>
      </w:r>
      <w:r w:rsidRPr="00F2346E">
        <w:rPr>
          <w:rFonts w:eastAsiaTheme="minorHAnsi" w:cstheme="minorBidi"/>
          <w:lang w:eastAsia="en-US"/>
        </w:rPr>
        <w:t xml:space="preserve"> тощо. Із конституційних принципів рівності і справедливості випливає </w:t>
      </w:r>
      <w:r w:rsidRPr="00FC0CEB">
        <w:rPr>
          <w:rFonts w:eastAsiaTheme="minorHAnsi" w:cstheme="minorBidi"/>
          <w:lang w:eastAsia="en-US"/>
        </w:rPr>
        <w:t xml:space="preserve">вимога визначеності, </w:t>
      </w:r>
      <w:r w:rsidRPr="00FC0CEB">
        <w:rPr>
          <w:rFonts w:eastAsiaTheme="minorHAnsi" w:cstheme="minorBidi"/>
          <w:i/>
          <w:lang w:eastAsia="en-US"/>
        </w:rPr>
        <w:t>ясності і недвозначності правової норми</w:t>
      </w:r>
      <w:r w:rsidRPr="00FC0CEB">
        <w:rPr>
          <w:rFonts w:eastAsiaTheme="minorHAnsi" w:cstheme="minorBidi"/>
          <w:lang w:eastAsia="en-US"/>
        </w:rPr>
        <w:t>, оскільки інше не може забезпечити її однакове застосування, не виключає необмеженості трактування у правозастосовній практиці і неминуче призводить до сваволі (абз. 2 пп. 5.4 п. 5 мотивувальної частини Рішення Конституційного Суду України</w:t>
      </w:r>
      <w:r w:rsidR="00EA726B" w:rsidRPr="00FC0CEB">
        <w:rPr>
          <w:rFonts w:eastAsiaTheme="minorHAnsi" w:cstheme="minorBidi"/>
          <w:lang w:eastAsia="en-US"/>
        </w:rPr>
        <w:t xml:space="preserve"> від</w:t>
      </w:r>
      <w:r w:rsidR="00FC0CEB" w:rsidRPr="00FC0CEB">
        <w:rPr>
          <w:rFonts w:eastAsiaTheme="minorHAnsi" w:cstheme="minorBidi"/>
          <w:lang w:eastAsia="en-US"/>
        </w:rPr>
        <w:t xml:space="preserve"> 22.09.2005 № 5-рп/2005</w:t>
      </w:r>
      <w:r w:rsidRPr="00FC0CEB">
        <w:rPr>
          <w:rFonts w:eastAsiaTheme="minorHAnsi" w:cstheme="minorBidi"/>
          <w:lang w:eastAsia="en-US"/>
        </w:rPr>
        <w:t>).</w:t>
      </w:r>
    </w:p>
    <w:p w14:paraId="76E455DF" w14:textId="77B6C54D" w:rsidR="0031441A" w:rsidRPr="00FC0CEB" w:rsidRDefault="0031441A" w:rsidP="0031441A">
      <w:pPr>
        <w:tabs>
          <w:tab w:val="left" w:pos="720"/>
        </w:tabs>
        <w:ind w:firstLine="709"/>
        <w:jc w:val="both"/>
        <w:rPr>
          <w:rFonts w:eastAsiaTheme="minorHAnsi" w:cstheme="minorBidi"/>
          <w:lang w:eastAsia="en-US"/>
        </w:rPr>
      </w:pPr>
      <w:r w:rsidRPr="00FC0CEB">
        <w:rPr>
          <w:rFonts w:eastAsiaTheme="minorHAnsi" w:cstheme="minorBidi"/>
          <w:lang w:eastAsia="en-US"/>
        </w:rPr>
        <w:t xml:space="preserve">У зв’язку </w:t>
      </w:r>
      <w:r w:rsidR="00EA726B" w:rsidRPr="00FC0CEB">
        <w:rPr>
          <w:rFonts w:eastAsiaTheme="minorHAnsi" w:cstheme="minorBidi"/>
          <w:lang w:eastAsia="en-US"/>
        </w:rPr>
        <w:t>і</w:t>
      </w:r>
      <w:r w:rsidRPr="00FC0CEB">
        <w:rPr>
          <w:rFonts w:eastAsiaTheme="minorHAnsi" w:cstheme="minorBidi"/>
          <w:lang w:eastAsia="en-US"/>
        </w:rPr>
        <w:t>з зазначеним звертаємо увагу на абз. 2 ч. 4 нової ст. 9-2 Закону,</w:t>
      </w:r>
      <w:r w:rsidRPr="00F2346E">
        <w:rPr>
          <w:rFonts w:eastAsiaTheme="minorHAnsi" w:cstheme="minorBidi"/>
          <w:lang w:eastAsia="en-US"/>
        </w:rPr>
        <w:t xml:space="preserve"> відповідно до якого «надання внутрішньо переміщеним особам житла з фонду житла для тимчасового проживання внутрішньо переміщених осіб здійснюється в порядку </w:t>
      </w:r>
      <w:r w:rsidRPr="00FC0CEB">
        <w:rPr>
          <w:rFonts w:eastAsiaTheme="minorHAnsi" w:cstheme="minorBidi"/>
          <w:lang w:eastAsia="en-US"/>
        </w:rPr>
        <w:t xml:space="preserve">черговості з урахуванням </w:t>
      </w:r>
      <w:r w:rsidRPr="00FC0CEB">
        <w:rPr>
          <w:rFonts w:eastAsiaTheme="minorHAnsi" w:cstheme="minorBidi"/>
          <w:i/>
          <w:lang w:eastAsia="en-US"/>
        </w:rPr>
        <w:t>критеріїв вразливості</w:t>
      </w:r>
      <w:r w:rsidRPr="00FC0CEB">
        <w:rPr>
          <w:rFonts w:eastAsiaTheme="minorHAnsi" w:cstheme="minorBidi"/>
          <w:lang w:eastAsia="en-US"/>
        </w:rPr>
        <w:t xml:space="preserve"> цих осіб та членів їхніх сімей». Словосполучення «критерії вразливості» потребує </w:t>
      </w:r>
      <w:r w:rsidR="00831BBD" w:rsidRPr="00FC0CEB">
        <w:rPr>
          <w:rFonts w:eastAsiaTheme="minorHAnsi" w:cstheme="minorBidi"/>
          <w:lang w:eastAsia="en-US"/>
        </w:rPr>
        <w:t xml:space="preserve">додаткового уточнення та </w:t>
      </w:r>
      <w:r w:rsidRPr="00FC0CEB">
        <w:rPr>
          <w:rFonts w:eastAsiaTheme="minorHAnsi" w:cstheme="minorBidi"/>
          <w:lang w:eastAsia="en-US"/>
        </w:rPr>
        <w:t xml:space="preserve">деталізації. </w:t>
      </w:r>
    </w:p>
    <w:p w14:paraId="136198F5" w14:textId="706FA2DC" w:rsidR="00F735E2" w:rsidRPr="00FC0CEB" w:rsidRDefault="0031441A" w:rsidP="006D4921">
      <w:pPr>
        <w:pStyle w:val="af0"/>
        <w:spacing w:after="0"/>
        <w:ind w:firstLine="709"/>
        <w:jc w:val="both"/>
        <w:rPr>
          <w:rFonts w:eastAsia="Times New Roman"/>
        </w:rPr>
      </w:pPr>
      <w:r w:rsidRPr="00FC0CEB">
        <w:rPr>
          <w:rFonts w:eastAsia="Times New Roman"/>
          <w:b/>
        </w:rPr>
        <w:t>5</w:t>
      </w:r>
      <w:r w:rsidR="00A20842" w:rsidRPr="00FC0CEB">
        <w:rPr>
          <w:rFonts w:eastAsia="Times New Roman"/>
          <w:b/>
        </w:rPr>
        <w:t>.</w:t>
      </w:r>
      <w:r w:rsidR="00A20842" w:rsidRPr="00FC0CEB">
        <w:rPr>
          <w:rFonts w:eastAsia="Times New Roman"/>
        </w:rPr>
        <w:t xml:space="preserve"> </w:t>
      </w:r>
      <w:r w:rsidR="00F735E2" w:rsidRPr="00FC0CEB">
        <w:rPr>
          <w:rFonts w:eastAsia="Times New Roman"/>
        </w:rPr>
        <w:t>Виклика</w:t>
      </w:r>
      <w:r w:rsidR="00EA726B" w:rsidRPr="00FC0CEB">
        <w:rPr>
          <w:rFonts w:eastAsia="Times New Roman"/>
        </w:rPr>
        <w:t>є</w:t>
      </w:r>
      <w:r w:rsidR="00F735E2" w:rsidRPr="00FC0CEB">
        <w:rPr>
          <w:rFonts w:eastAsia="Times New Roman"/>
        </w:rPr>
        <w:t xml:space="preserve"> зауваження</w:t>
      </w:r>
      <w:r w:rsidR="00F735E2" w:rsidRPr="00F2346E">
        <w:rPr>
          <w:rFonts w:eastAsia="Times New Roman"/>
        </w:rPr>
        <w:t xml:space="preserve"> зміст деяких повноважень, якими пропонується наділити центральний орган виконавчої влади, що забезпечує формування, координацію та реалізацію державної політики з питань внутрішньо переміщених осіб.</w:t>
      </w:r>
      <w:r w:rsidR="00880D5D" w:rsidRPr="00F2346E">
        <w:rPr>
          <w:rFonts w:eastAsia="Times New Roman"/>
        </w:rPr>
        <w:t xml:space="preserve"> </w:t>
      </w:r>
      <w:r w:rsidR="00980220" w:rsidRPr="00F2346E">
        <w:rPr>
          <w:rFonts w:eastAsia="Times New Roman"/>
        </w:rPr>
        <w:t xml:space="preserve">Зокрема, </w:t>
      </w:r>
      <w:r w:rsidR="00C95AC8" w:rsidRPr="00F2346E">
        <w:rPr>
          <w:rFonts w:eastAsia="Times New Roman"/>
        </w:rPr>
        <w:t xml:space="preserve">пропозиції </w:t>
      </w:r>
      <w:r w:rsidR="00880D5D" w:rsidRPr="00F2346E">
        <w:rPr>
          <w:rFonts w:eastAsia="Times New Roman"/>
        </w:rPr>
        <w:t xml:space="preserve">щодо сприяння здобуттю внутрішньо переміщеними </w:t>
      </w:r>
      <w:r w:rsidR="00880D5D" w:rsidRPr="00FC0CEB">
        <w:rPr>
          <w:rFonts w:eastAsia="Times New Roman"/>
        </w:rPr>
        <w:t>особами дошкільної, повної загальної середньої, позашкільної, професійної (професійно-технічної), фахової передвищої, вищої освіти, освіти дорослих, зокрема</w:t>
      </w:r>
      <w:r w:rsidR="00EA726B" w:rsidRPr="00FC0CEB">
        <w:rPr>
          <w:rFonts w:eastAsia="Times New Roman"/>
        </w:rPr>
        <w:t>,</w:t>
      </w:r>
      <w:r w:rsidR="00880D5D" w:rsidRPr="00FC0CEB">
        <w:rPr>
          <w:rFonts w:eastAsia="Times New Roman"/>
        </w:rPr>
        <w:t xml:space="preserve"> післядипломної освіти (п. 8 ч. 1 ст. 10-1). </w:t>
      </w:r>
      <w:r w:rsidR="009929FD" w:rsidRPr="00FC0CEB">
        <w:rPr>
          <w:rFonts w:eastAsia="Times New Roman"/>
        </w:rPr>
        <w:t>При цьому</w:t>
      </w:r>
      <w:r w:rsidR="00880D5D" w:rsidRPr="00FC0CEB">
        <w:rPr>
          <w:rFonts w:eastAsia="Times New Roman"/>
        </w:rPr>
        <w:t>, таке повноваження фактично повторює повноваження</w:t>
      </w:r>
      <w:r w:rsidR="006D4921" w:rsidRPr="00FC0CEB">
        <w:rPr>
          <w:rFonts w:eastAsia="Times New Roman"/>
        </w:rPr>
        <w:t xml:space="preserve">, яким наділяється </w:t>
      </w:r>
      <w:r w:rsidR="00880D5D" w:rsidRPr="00FC0CEB">
        <w:rPr>
          <w:rFonts w:eastAsia="Times New Roman"/>
        </w:rPr>
        <w:t>центральн</w:t>
      </w:r>
      <w:r w:rsidR="006D4921" w:rsidRPr="00FC0CEB">
        <w:rPr>
          <w:rFonts w:eastAsia="Times New Roman"/>
        </w:rPr>
        <w:t>ий</w:t>
      </w:r>
      <w:r w:rsidR="00880D5D" w:rsidRPr="00FC0CEB">
        <w:rPr>
          <w:rFonts w:eastAsia="Times New Roman"/>
        </w:rPr>
        <w:t xml:space="preserve"> орган виконавчої влади, що реалізує державну політику у сферах </w:t>
      </w:r>
      <w:r w:rsidR="00013565" w:rsidRPr="00FC0CEB">
        <w:rPr>
          <w:rFonts w:eastAsia="Times New Roman"/>
        </w:rPr>
        <w:t>освіти і науки (нова редакція п. 1 ч. 4 ст. 11).</w:t>
      </w:r>
    </w:p>
    <w:p w14:paraId="245F0A58" w14:textId="135D3A44" w:rsidR="00C16F42" w:rsidRPr="00FC0CEB" w:rsidRDefault="00EA726B" w:rsidP="006D4921">
      <w:pPr>
        <w:pStyle w:val="af0"/>
        <w:spacing w:after="0"/>
        <w:ind w:firstLine="709"/>
        <w:jc w:val="both"/>
        <w:rPr>
          <w:rFonts w:eastAsia="Times New Roman"/>
        </w:rPr>
      </w:pPr>
      <w:r w:rsidRPr="00FC0CEB">
        <w:rPr>
          <w:rFonts w:eastAsia="Times New Roman"/>
        </w:rPr>
        <w:t>Крім того, не</w:t>
      </w:r>
      <w:r w:rsidR="00C16F42" w:rsidRPr="00FC0CEB">
        <w:rPr>
          <w:rFonts w:eastAsia="Times New Roman"/>
        </w:rPr>
        <w:t>зрозуміло в чому</w:t>
      </w:r>
      <w:r w:rsidR="006D4921" w:rsidRPr="00FC0CEB">
        <w:rPr>
          <w:rFonts w:eastAsia="Times New Roman"/>
        </w:rPr>
        <w:t xml:space="preserve"> саме</w:t>
      </w:r>
      <w:r w:rsidR="00C16F42" w:rsidRPr="00FC0CEB">
        <w:rPr>
          <w:rFonts w:eastAsia="Times New Roman"/>
        </w:rPr>
        <w:t xml:space="preserve"> полягають повноваження центрального органу виконавчої влади, що забезпечує формування, координацію та реалізацію державної політики з питань внутрішньо переміщених осіб</w:t>
      </w:r>
      <w:r w:rsidR="00C16F42" w:rsidRPr="00FC0CEB">
        <w:t xml:space="preserve"> щодо </w:t>
      </w:r>
      <w:r w:rsidR="00C16F42" w:rsidRPr="00FC0CEB">
        <w:rPr>
          <w:rFonts w:eastAsia="Times New Roman"/>
        </w:rPr>
        <w:t xml:space="preserve">координації здійснення заходів зі </w:t>
      </w:r>
      <w:r w:rsidR="00C16F42" w:rsidRPr="00FC0CEB">
        <w:rPr>
          <w:rFonts w:eastAsia="Times New Roman"/>
          <w:i/>
          <w:iCs/>
        </w:rPr>
        <w:t>зміцнення стійкості приймаючих територіальних громад</w:t>
      </w:r>
      <w:r w:rsidR="00C16F42" w:rsidRPr="00FC0CEB">
        <w:rPr>
          <w:rFonts w:eastAsia="Times New Roman"/>
        </w:rPr>
        <w:t xml:space="preserve"> (п. 4 ч. 1 ст. 10-1)</w:t>
      </w:r>
      <w:r w:rsidR="004607C3" w:rsidRPr="00FC0CEB">
        <w:rPr>
          <w:rFonts w:eastAsia="Times New Roman"/>
        </w:rPr>
        <w:t>.</w:t>
      </w:r>
    </w:p>
    <w:p w14:paraId="001F90A9" w14:textId="65636FED" w:rsidR="00980220" w:rsidRPr="00FC0CEB" w:rsidRDefault="0031441A" w:rsidP="00980220">
      <w:pPr>
        <w:tabs>
          <w:tab w:val="left" w:pos="720"/>
        </w:tabs>
        <w:ind w:firstLine="709"/>
        <w:jc w:val="both"/>
        <w:rPr>
          <w:rFonts w:eastAsiaTheme="minorHAnsi" w:cstheme="minorBidi"/>
          <w:lang w:eastAsia="en-US"/>
        </w:rPr>
      </w:pPr>
      <w:r w:rsidRPr="00FC0CEB">
        <w:rPr>
          <w:b/>
          <w:lang w:val="ru-RU"/>
        </w:rPr>
        <w:t>6</w:t>
      </w:r>
      <w:r w:rsidR="008434C6" w:rsidRPr="00FC0CEB">
        <w:rPr>
          <w:b/>
          <w:lang w:val="ru-RU"/>
        </w:rPr>
        <w:t>.</w:t>
      </w:r>
      <w:r w:rsidR="008434C6" w:rsidRPr="00FC0CEB">
        <w:rPr>
          <w:bCs/>
          <w:lang w:val="ru-RU"/>
        </w:rPr>
        <w:t xml:space="preserve"> </w:t>
      </w:r>
      <w:r w:rsidR="00980220" w:rsidRPr="00FC0CEB">
        <w:rPr>
          <w:rFonts w:eastAsiaTheme="minorHAnsi" w:cstheme="minorBidi"/>
          <w:lang w:eastAsia="en-US"/>
        </w:rPr>
        <w:t>У проекті пропонується передбачити</w:t>
      </w:r>
      <w:r w:rsidR="00980220" w:rsidRPr="00F2346E">
        <w:rPr>
          <w:rFonts w:eastAsiaTheme="minorHAnsi" w:cstheme="minorBidi"/>
          <w:lang w:eastAsia="en-US"/>
        </w:rPr>
        <w:t xml:space="preserve"> внутрішньо переміщеним особам додаткові соціальні гарантії, а саме, встановити для них право на: компенсацію за пошкоджене або зруйноване майно (доповнення до ч. 1 ст. 9); забезпечення житлом соціального і тимчасового призначення, надання низьковідсоткових кредитів для придбання житла, а також можливості викупу житла через фінансовий лізинг тощо (нова ст. 9-2); безкоштовний проїзд для добровільного повернення до свого покинутого постійного місця проживання у всіх видах громадського </w:t>
      </w:r>
      <w:r w:rsidR="00980220" w:rsidRPr="00FC0CEB">
        <w:rPr>
          <w:rFonts w:eastAsiaTheme="minorHAnsi" w:cstheme="minorBidi"/>
          <w:lang w:eastAsia="en-US"/>
        </w:rPr>
        <w:t>транспорту (нова ст. 9-3) тощо.</w:t>
      </w:r>
    </w:p>
    <w:p w14:paraId="55FD6628" w14:textId="070DE93D" w:rsidR="00980220" w:rsidRPr="00FC0CEB" w:rsidRDefault="00980220" w:rsidP="00980220">
      <w:pPr>
        <w:ind w:firstLine="709"/>
        <w:jc w:val="both"/>
      </w:pPr>
      <w:r w:rsidRPr="00FC0CEB">
        <w:rPr>
          <w:rFonts w:eastAsiaTheme="minorHAnsi" w:cstheme="minorBidi"/>
          <w:lang w:eastAsia="en-US"/>
        </w:rPr>
        <w:t>У зв’язку із зазначеним, звертаємо увагу на необхідність</w:t>
      </w:r>
      <w:r w:rsidRPr="00FC0CEB">
        <w:rPr>
          <w:rFonts w:eastAsia="Times New Roman"/>
        </w:rPr>
        <w:t xml:space="preserve"> надання належним чином оформленого фінансово-економічного обґрунтування. Так, </w:t>
      </w:r>
      <w:r w:rsidRPr="00FC0CEB">
        <w:t xml:space="preserve">варто зазначити, що згідно </w:t>
      </w:r>
      <w:r w:rsidR="00EA726B" w:rsidRPr="00FC0CEB">
        <w:t>зі</w:t>
      </w:r>
      <w:r w:rsidRPr="00FC0CEB">
        <w:t xml:space="preserve"> ст. 15 Закону </w:t>
      </w:r>
      <w:r w:rsidRPr="00FC0CEB">
        <w:rPr>
          <w:rFonts w:eastAsiaTheme="minorHAnsi" w:cstheme="minorBidi"/>
          <w:lang w:eastAsia="en-US"/>
        </w:rPr>
        <w:t>видатки на забезпечення прав і свобод внутрішньо переміщених осіб здійснюються за рахунок коштів державного та місцевих бюджетів</w:t>
      </w:r>
      <w:r w:rsidRPr="00FC0CEB">
        <w:t xml:space="preserve">. Виходячи з цього, </w:t>
      </w:r>
      <w:r w:rsidR="00EA726B" w:rsidRPr="00FC0CEB">
        <w:t xml:space="preserve">Головне </w:t>
      </w:r>
      <w:r w:rsidRPr="00FC0CEB">
        <w:t>управління вважає, що твердження про те, що «</w:t>
      </w:r>
      <w:r w:rsidRPr="00FC0CEB">
        <w:rPr>
          <w:rFonts w:eastAsia="Times New Roman"/>
          <w:lang w:eastAsia="en-US"/>
        </w:rPr>
        <w:t>реалізація цього законопроекту не потребує додаткових витрат з Державного бюджету України</w:t>
      </w:r>
      <w:r w:rsidRPr="00FC0CEB">
        <w:t xml:space="preserve">», яке міститься у п. 4 пояснювальної записки до проекту, не відповідає дійсності. У зв’язку з цим звертаємо увагу на те, що згідно </w:t>
      </w:r>
      <w:r w:rsidR="00EA726B" w:rsidRPr="00FC0CEB">
        <w:t>зі</w:t>
      </w:r>
      <w:r w:rsidRPr="00FC0CEB">
        <w:t xml:space="preserve"> ст. 91 Регламенту Верховної Ради України та ст. 27 Бюджетного кодексу України до законопроекту, прийняття якого </w:t>
      </w:r>
      <w:r w:rsidRPr="00FC0CEB">
        <w:lastRenderedPageBreak/>
        <w:t>призведе до зміни показників бюджету, суб'єкт</w:t>
      </w:r>
      <w:r w:rsidRPr="00F2346E">
        <w:t xml:space="preserve"> права законодавчої ініціативи зобов'язаний додати фінансово-економічне обґрунтування (включаючи </w:t>
      </w:r>
      <w:r w:rsidRPr="00FC0CEB">
        <w:t xml:space="preserve">відповідні розрахунки). Якщо такі зміни показників бюджету передбачають зменшення надходжень бюджету та/або збільшення витрат бюджету, до законопроекту подаються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 Відсутність такого обґрунтування і розрахунків, на думку </w:t>
      </w:r>
      <w:r w:rsidR="00EA726B" w:rsidRPr="00FC0CEB">
        <w:t xml:space="preserve">Головного </w:t>
      </w:r>
      <w:r w:rsidRPr="00FC0CEB">
        <w:t>управління, унеможливлює практичну реалізацію пропозицій, що містяться у законопроекті.</w:t>
      </w:r>
    </w:p>
    <w:p w14:paraId="47975FB8" w14:textId="4125BF4E" w:rsidR="00602C6A" w:rsidRPr="00FC0CEB" w:rsidRDefault="00933B60" w:rsidP="00933B60">
      <w:pPr>
        <w:tabs>
          <w:tab w:val="left" w:pos="720"/>
        </w:tabs>
        <w:ind w:firstLine="709"/>
        <w:jc w:val="both"/>
      </w:pPr>
      <w:r w:rsidRPr="00FC0CEB">
        <w:t>У контексті викладеного вище, потребує перегляду п. 1 розділу ІІ проекту Закону, відповідно до якого «цей Закон набирає чинності з дня, наступного за днем його опублікування» з урахуванням вимог ч. 3 ст. 27 Бюджетного кодексу України, згідно з якими «закони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приймаються: не пізніше 15 липня року, що передує плановому, вводяться в дію не раніше початку планового бюджетного періоду; після 15 липня року, що передує плановому, вводяться в дію не раніше початку бюджетного періоду, що настає за плановим».</w:t>
      </w:r>
    </w:p>
    <w:p w14:paraId="3E141C53" w14:textId="75CE77D1" w:rsidR="00F771B5" w:rsidRPr="00FC0CEB" w:rsidRDefault="0031441A" w:rsidP="00F771B5">
      <w:pPr>
        <w:pStyle w:val="a3"/>
        <w:ind w:right="-42" w:firstLine="709"/>
        <w:jc w:val="both"/>
      </w:pPr>
      <w:r w:rsidRPr="00FC0CEB">
        <w:rPr>
          <w:b/>
        </w:rPr>
        <w:t>7</w:t>
      </w:r>
      <w:r w:rsidR="00F771B5" w:rsidRPr="00FC0CEB">
        <w:rPr>
          <w:b/>
        </w:rPr>
        <w:t>.</w:t>
      </w:r>
      <w:r w:rsidR="00F771B5" w:rsidRPr="00FC0CEB">
        <w:t xml:space="preserve"> Законопроект має вади техніко-юридичного характеру. </w:t>
      </w:r>
    </w:p>
    <w:p w14:paraId="248F723F" w14:textId="29FC0F3A" w:rsidR="00F771B5" w:rsidRPr="00F2346E" w:rsidRDefault="0031441A" w:rsidP="00F771B5">
      <w:pPr>
        <w:pStyle w:val="a3"/>
        <w:ind w:right="-42" w:firstLine="709"/>
        <w:jc w:val="both"/>
      </w:pPr>
      <w:r w:rsidRPr="00FC0CEB">
        <w:t>7</w:t>
      </w:r>
      <w:r w:rsidR="00B76CD0" w:rsidRPr="00FC0CEB">
        <w:t xml:space="preserve">.1. </w:t>
      </w:r>
      <w:r w:rsidR="00F771B5" w:rsidRPr="00FC0CEB">
        <w:t>Потребує</w:t>
      </w:r>
      <w:r w:rsidR="00F771B5" w:rsidRPr="00F2346E">
        <w:t xml:space="preserve"> корегування назва проекту, оскільки відповідно до правил законодавчої техніки назва законопроекту, яким вносяться зміни до декількох статей закону або до декількох законів, має бути конкретизована.</w:t>
      </w:r>
    </w:p>
    <w:p w14:paraId="62DCA453" w14:textId="202509C0" w:rsidR="008434C6" w:rsidRPr="00F2346E" w:rsidRDefault="0031441A" w:rsidP="00F771B5">
      <w:pPr>
        <w:pStyle w:val="a3"/>
        <w:ind w:right="-42" w:firstLine="709"/>
        <w:jc w:val="both"/>
      </w:pPr>
      <w:r w:rsidRPr="00F2346E">
        <w:t>7</w:t>
      </w:r>
      <w:r w:rsidR="008434C6" w:rsidRPr="00F2346E">
        <w:t xml:space="preserve">.2. Загальною технічною вадою законопроекту є пропозиція щодо викладення деяких норм Закону у новій редакції. Зокрема, внесення змін у такій спосіб пропонується до ч. 2 ст. 1, ч. </w:t>
      </w:r>
      <w:r w:rsidR="00AE462B" w:rsidRPr="00F2346E">
        <w:t>1</w:t>
      </w:r>
      <w:r w:rsidR="008434C6" w:rsidRPr="00F2346E">
        <w:t xml:space="preserve"> ст. 2, </w:t>
      </w:r>
      <w:r w:rsidR="00AE462B" w:rsidRPr="00F2346E">
        <w:t>абз. 4 ч. 7 ст. 4</w:t>
      </w:r>
      <w:r w:rsidR="008434C6" w:rsidRPr="00F2346E">
        <w:t xml:space="preserve"> Закону, хоча з точки зору законодавчої техніки, зміни до цих положень більш правильно викладати як заміну одних слів на</w:t>
      </w:r>
      <w:r w:rsidR="00AE462B" w:rsidRPr="00F2346E">
        <w:t xml:space="preserve"> інші, виключення одних норм та доповнення іншими</w:t>
      </w:r>
      <w:r w:rsidR="008434C6" w:rsidRPr="00F2346E">
        <w:t>.</w:t>
      </w:r>
    </w:p>
    <w:p w14:paraId="22FE9562" w14:textId="42D5C409" w:rsidR="00D54E77" w:rsidRPr="00F2346E" w:rsidRDefault="0031441A" w:rsidP="00F771B5">
      <w:pPr>
        <w:pStyle w:val="a3"/>
        <w:ind w:right="-42" w:firstLine="709"/>
        <w:jc w:val="both"/>
      </w:pPr>
      <w:r w:rsidRPr="00F2346E">
        <w:t>7</w:t>
      </w:r>
      <w:r w:rsidR="00E97815" w:rsidRPr="00F2346E">
        <w:t xml:space="preserve">.3. </w:t>
      </w:r>
      <w:r w:rsidR="00D54E77" w:rsidRPr="00F2346E">
        <w:t xml:space="preserve">Згідно з ч. 6 ст. 91 Регламенту Верховної Ради України «до законопроекту про внесення змін до законів додається порівняльна таблиця, яка містить редакцію відповідних положень (статей, частин, пунктів, абзаців тощо) чинного закону та нову його редакцію з урахуванням запропонованих змін». Разом з тим, зміни до назви ст. 3 Закону не точно відтворені у порівняльній таблиці до законопроекту. </w:t>
      </w:r>
    </w:p>
    <w:p w14:paraId="45836ADC" w14:textId="7A09888E" w:rsidR="00B76CD0" w:rsidRPr="00F2346E" w:rsidRDefault="0031441A" w:rsidP="00F771B5">
      <w:pPr>
        <w:pStyle w:val="a3"/>
        <w:ind w:right="-42" w:firstLine="709"/>
        <w:jc w:val="both"/>
      </w:pPr>
      <w:r w:rsidRPr="00F2346E">
        <w:t>7</w:t>
      </w:r>
      <w:r w:rsidR="00B76CD0" w:rsidRPr="00F2346E">
        <w:t>.</w:t>
      </w:r>
      <w:r w:rsidR="000301EF" w:rsidRPr="00F2346E">
        <w:t>4</w:t>
      </w:r>
      <w:r w:rsidR="00B76CD0" w:rsidRPr="00F2346E">
        <w:t xml:space="preserve">. Згідно вимог законодавчої техніки перехідні положення законопроекту застосовуються у разі, якщо потрібно врегулювати відносини, пов’язані з переходом від існуючого правового регулювання до бажаного, того, яке має запроваджуватися з прийняттям нового закону. Перехідні положення не можуть міститися в законопроектах про внесення змін до інших законів. </w:t>
      </w:r>
      <w:r w:rsidR="00F31B19">
        <w:rPr>
          <w:lang w:val="ru-RU"/>
        </w:rPr>
        <w:t xml:space="preserve">                   </w:t>
      </w:r>
      <w:r w:rsidR="00B76CD0" w:rsidRPr="00F2346E">
        <w:t>З огляду на зазначене, назва розділу ІІ законопроекту потребує внесення відповідних змін.</w:t>
      </w:r>
    </w:p>
    <w:p w14:paraId="3FB64841" w14:textId="42EB0C7C" w:rsidR="00BD237B" w:rsidRDefault="00BD237B" w:rsidP="00837AFE">
      <w:pPr>
        <w:ind w:firstLine="709"/>
        <w:jc w:val="both"/>
      </w:pPr>
    </w:p>
    <w:p w14:paraId="69451428" w14:textId="77777777" w:rsidR="00F31B19" w:rsidRDefault="00F31B19" w:rsidP="00837AFE">
      <w:pPr>
        <w:tabs>
          <w:tab w:val="left" w:pos="6946"/>
        </w:tabs>
        <w:ind w:firstLine="709"/>
        <w:jc w:val="both"/>
        <w:rPr>
          <w:bCs/>
        </w:rPr>
      </w:pPr>
    </w:p>
    <w:p w14:paraId="4EFEB1F8" w14:textId="19E4600A" w:rsidR="007622B0" w:rsidRPr="00F2346E" w:rsidRDefault="00604E5A" w:rsidP="00F31B19">
      <w:pPr>
        <w:tabs>
          <w:tab w:val="left" w:pos="6946"/>
        </w:tabs>
        <w:spacing w:line="240" w:lineRule="exact"/>
        <w:ind w:firstLine="709"/>
        <w:jc w:val="both"/>
        <w:rPr>
          <w:bCs/>
        </w:rPr>
      </w:pPr>
      <w:r w:rsidRPr="00F2346E">
        <w:rPr>
          <w:bCs/>
        </w:rPr>
        <w:t>Керівник Головного управління                                              С. Тихонюк</w:t>
      </w:r>
    </w:p>
    <w:p w14:paraId="1BFE4519" w14:textId="75A2A167" w:rsidR="00604E5A" w:rsidRDefault="00604E5A" w:rsidP="00F31B19">
      <w:pPr>
        <w:tabs>
          <w:tab w:val="left" w:pos="6946"/>
        </w:tabs>
        <w:spacing w:line="240" w:lineRule="exact"/>
        <w:ind w:firstLine="709"/>
        <w:jc w:val="both"/>
      </w:pPr>
    </w:p>
    <w:p w14:paraId="7B16E4D3" w14:textId="77777777" w:rsidR="00F31B19" w:rsidRDefault="00F31B19" w:rsidP="00F31B19">
      <w:pPr>
        <w:tabs>
          <w:tab w:val="left" w:pos="6946"/>
        </w:tabs>
        <w:spacing w:line="240" w:lineRule="exact"/>
        <w:ind w:firstLine="709"/>
        <w:jc w:val="both"/>
      </w:pPr>
      <w:bookmarkStart w:id="0" w:name="_GoBack"/>
      <w:bookmarkEnd w:id="0"/>
    </w:p>
    <w:p w14:paraId="3A00400E" w14:textId="796FBC88" w:rsidR="00886EC1" w:rsidRPr="00BD237B" w:rsidRDefault="00953673" w:rsidP="00F31B19">
      <w:pPr>
        <w:spacing w:line="240" w:lineRule="exact"/>
        <w:ind w:firstLine="709"/>
        <w:rPr>
          <w:sz w:val="20"/>
          <w:szCs w:val="20"/>
          <w:lang w:eastAsia="en-US"/>
        </w:rPr>
      </w:pPr>
      <w:r w:rsidRPr="00BD237B">
        <w:rPr>
          <w:sz w:val="20"/>
          <w:szCs w:val="20"/>
        </w:rPr>
        <w:t xml:space="preserve">Вик.: </w:t>
      </w:r>
      <w:r w:rsidR="00604E5A" w:rsidRPr="00BD237B">
        <w:rPr>
          <w:sz w:val="20"/>
          <w:szCs w:val="20"/>
        </w:rPr>
        <w:t xml:space="preserve">В. </w:t>
      </w:r>
      <w:r w:rsidR="007622B0" w:rsidRPr="00BD237B">
        <w:rPr>
          <w:sz w:val="20"/>
          <w:szCs w:val="20"/>
        </w:rPr>
        <w:t>Грицак</w:t>
      </w:r>
      <w:r w:rsidR="00980220">
        <w:rPr>
          <w:sz w:val="20"/>
          <w:szCs w:val="20"/>
        </w:rPr>
        <w:t>,</w:t>
      </w:r>
      <w:r w:rsidR="00886EC1" w:rsidRPr="00886EC1">
        <w:rPr>
          <w:rFonts w:eastAsiaTheme="minorHAnsi" w:cstheme="minorBidi"/>
          <w:sz w:val="20"/>
          <w:szCs w:val="20"/>
          <w:lang w:eastAsia="en-US"/>
        </w:rPr>
        <w:t xml:space="preserve"> С. Бортнік, Т. Макійчук</w:t>
      </w:r>
    </w:p>
    <w:sectPr w:rsidR="00886EC1" w:rsidRPr="00BD237B" w:rsidSect="0037533E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08C7" w14:textId="77777777" w:rsidR="00115C4E" w:rsidRDefault="00115C4E" w:rsidP="00953673">
      <w:r>
        <w:separator/>
      </w:r>
    </w:p>
  </w:endnote>
  <w:endnote w:type="continuationSeparator" w:id="0">
    <w:p w14:paraId="704FDEA6" w14:textId="77777777" w:rsidR="00115C4E" w:rsidRDefault="00115C4E" w:rsidP="0095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B927F" w14:textId="77777777" w:rsidR="00115C4E" w:rsidRDefault="00115C4E" w:rsidP="00953673">
      <w:r>
        <w:separator/>
      </w:r>
    </w:p>
  </w:footnote>
  <w:footnote w:type="continuationSeparator" w:id="0">
    <w:p w14:paraId="713DE6B7" w14:textId="77777777" w:rsidR="00115C4E" w:rsidRDefault="00115C4E" w:rsidP="00953673">
      <w:r>
        <w:continuationSeparator/>
      </w:r>
    </w:p>
  </w:footnote>
  <w:footnote w:id="1">
    <w:p w14:paraId="2FA7BECC" w14:textId="26BCCE26" w:rsidR="00917006" w:rsidRPr="00917006" w:rsidRDefault="00917006" w:rsidP="00917006">
      <w:pPr>
        <w:pStyle w:val="ab"/>
        <w:ind w:firstLine="708"/>
        <w:rPr>
          <w:lang w:val="en-US"/>
        </w:rPr>
      </w:pPr>
      <w:r>
        <w:rPr>
          <w:rStyle w:val="ad"/>
        </w:rPr>
        <w:footnoteRef/>
      </w:r>
      <w:r w:rsidRPr="00917006">
        <w:rPr>
          <w:lang w:val="en-US"/>
        </w:rPr>
        <w:t xml:space="preserve"> </w:t>
      </w:r>
      <w:r>
        <w:rPr>
          <w:lang w:val="en-US"/>
        </w:rPr>
        <w:t>URL</w:t>
      </w:r>
      <w:r>
        <w:rPr>
          <w:lang w:val="uk-UA"/>
        </w:rPr>
        <w:t xml:space="preserve">: </w:t>
      </w:r>
      <w:r w:rsidRPr="00917006">
        <w:rPr>
          <w:lang w:val="en-US"/>
        </w:rPr>
        <w:t>https://search.coe.int/cm/Pages/result_details.aspx?ObjectID=09000016805d8265</w:t>
      </w:r>
    </w:p>
  </w:footnote>
  <w:footnote w:id="2">
    <w:p w14:paraId="3C113317" w14:textId="18ECC136" w:rsidR="0032798E" w:rsidRPr="0032798E" w:rsidRDefault="0032798E" w:rsidP="0032798E">
      <w:pPr>
        <w:pStyle w:val="ab"/>
        <w:ind w:firstLine="709"/>
        <w:rPr>
          <w:lang w:val="uk-UA"/>
        </w:rPr>
      </w:pPr>
      <w:r>
        <w:rPr>
          <w:rStyle w:val="ad"/>
        </w:rPr>
        <w:footnoteRef/>
      </w:r>
      <w:r w:rsidRPr="0032798E">
        <w:rPr>
          <w:lang w:val="en-US"/>
        </w:rPr>
        <w:t xml:space="preserve"> </w:t>
      </w:r>
      <w:r>
        <w:rPr>
          <w:lang w:val="en-US"/>
        </w:rPr>
        <w:t>URL</w:t>
      </w:r>
      <w:r w:rsidRPr="0032798E">
        <w:rPr>
          <w:lang w:val="en-US"/>
        </w:rPr>
        <w:t>: http://assembly.coe.int/nw/xml/XRef/Xref-XML2HTML-en.asp?fileid=24432</w:t>
      </w:r>
    </w:p>
  </w:footnote>
  <w:footnote w:id="3">
    <w:p w14:paraId="6CF9357C" w14:textId="0CAED267" w:rsidR="004A42FD" w:rsidRPr="00087674" w:rsidRDefault="004A42FD" w:rsidP="004A42FD">
      <w:pPr>
        <w:pStyle w:val="ab"/>
        <w:ind w:firstLine="709"/>
        <w:rPr>
          <w:lang w:val="uk-UA"/>
        </w:rPr>
      </w:pPr>
      <w:r>
        <w:rPr>
          <w:rStyle w:val="ad"/>
        </w:rPr>
        <w:footnoteRef/>
      </w:r>
      <w:r w:rsidRPr="00980220">
        <w:rPr>
          <w:lang w:val="en-US"/>
        </w:rPr>
        <w:t xml:space="preserve"> </w:t>
      </w:r>
      <w:r w:rsidR="00980220">
        <w:rPr>
          <w:lang w:val="en-US"/>
        </w:rPr>
        <w:t>URL</w:t>
      </w:r>
      <w:r w:rsidR="00980220">
        <w:rPr>
          <w:lang w:val="uk-UA"/>
        </w:rPr>
        <w:t xml:space="preserve">: </w:t>
      </w:r>
      <w:r w:rsidR="00980220">
        <w:rPr>
          <w:lang w:val="en-US"/>
        </w:rPr>
        <w:t xml:space="preserve"> </w:t>
      </w:r>
      <w:r w:rsidRPr="00980220">
        <w:rPr>
          <w:lang w:val="en-US"/>
        </w:rPr>
        <w:t>http://sum.in.ua/s/svaviljnyj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36B4" w14:textId="77777777" w:rsidR="00704D26" w:rsidRDefault="007B16E7" w:rsidP="004533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00A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225CA0" w14:textId="77777777" w:rsidR="00704D26" w:rsidRDefault="00115C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67724"/>
      <w:docPartObj>
        <w:docPartGallery w:val="Page Numbers (Top of Page)"/>
        <w:docPartUnique/>
      </w:docPartObj>
    </w:sdtPr>
    <w:sdtEndPr/>
    <w:sdtContent>
      <w:p w14:paraId="7FD94343" w14:textId="13932F29" w:rsidR="002B18ED" w:rsidRDefault="007B16E7" w:rsidP="0037533E">
        <w:pPr>
          <w:pStyle w:val="a3"/>
          <w:jc w:val="center"/>
        </w:pPr>
        <w:r>
          <w:fldChar w:fldCharType="begin"/>
        </w:r>
        <w:r w:rsidR="002B18ED">
          <w:instrText>PAGE   \* MERGEFORMAT</w:instrText>
        </w:r>
        <w:r>
          <w:fldChar w:fldCharType="separate"/>
        </w:r>
        <w:r w:rsidR="00876FE7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2278" w14:textId="01BDE283" w:rsidR="00704D26" w:rsidRPr="0054537A" w:rsidRDefault="006C00A2" w:rsidP="0065420A">
    <w:pPr>
      <w:tabs>
        <w:tab w:val="left" w:pos="6946"/>
      </w:tabs>
      <w:ind w:firstLine="709"/>
      <w:jc w:val="right"/>
      <w:rPr>
        <w:sz w:val="20"/>
        <w:szCs w:val="20"/>
      </w:rPr>
    </w:pPr>
    <w:r w:rsidRPr="0054537A">
      <w:rPr>
        <w:sz w:val="20"/>
        <w:szCs w:val="20"/>
      </w:rPr>
      <w:t xml:space="preserve">До реєстр. № </w:t>
    </w:r>
    <w:r w:rsidR="00235EE2">
      <w:rPr>
        <w:sz w:val="20"/>
        <w:szCs w:val="20"/>
      </w:rPr>
      <w:t>4</w:t>
    </w:r>
    <w:r w:rsidR="001574A2">
      <w:rPr>
        <w:sz w:val="20"/>
        <w:szCs w:val="20"/>
      </w:rPr>
      <w:t xml:space="preserve">487 </w:t>
    </w:r>
    <w:r w:rsidR="003107D5" w:rsidRPr="0054537A">
      <w:rPr>
        <w:sz w:val="20"/>
        <w:szCs w:val="20"/>
      </w:rPr>
      <w:t xml:space="preserve">від </w:t>
    </w:r>
    <w:r w:rsidR="001574A2">
      <w:rPr>
        <w:sz w:val="20"/>
        <w:szCs w:val="20"/>
      </w:rPr>
      <w:t>1</w:t>
    </w:r>
    <w:r w:rsidR="00235EE2">
      <w:rPr>
        <w:sz w:val="20"/>
        <w:szCs w:val="20"/>
      </w:rPr>
      <w:t>1</w:t>
    </w:r>
    <w:r w:rsidR="003107D5" w:rsidRPr="0054537A">
      <w:rPr>
        <w:sz w:val="20"/>
        <w:szCs w:val="20"/>
      </w:rPr>
      <w:t>.</w:t>
    </w:r>
    <w:r w:rsidR="00235EE2">
      <w:rPr>
        <w:sz w:val="20"/>
        <w:szCs w:val="20"/>
      </w:rPr>
      <w:t>12</w:t>
    </w:r>
    <w:r w:rsidR="003107D5" w:rsidRPr="0054537A">
      <w:rPr>
        <w:sz w:val="20"/>
        <w:szCs w:val="20"/>
      </w:rPr>
      <w:t>.20</w:t>
    </w:r>
    <w:r w:rsidR="0054537A" w:rsidRPr="0054537A">
      <w:rPr>
        <w:sz w:val="20"/>
        <w:szCs w:val="20"/>
      </w:rPr>
      <w:t>20</w:t>
    </w:r>
  </w:p>
  <w:p w14:paraId="3CA91D3A" w14:textId="77777777" w:rsidR="0065420A" w:rsidRPr="0054537A" w:rsidRDefault="00517BB4" w:rsidP="0065420A">
    <w:pPr>
      <w:tabs>
        <w:tab w:val="left" w:pos="6946"/>
      </w:tabs>
      <w:ind w:firstLine="709"/>
      <w:jc w:val="right"/>
      <w:rPr>
        <w:sz w:val="20"/>
        <w:szCs w:val="20"/>
      </w:rPr>
    </w:pPr>
    <w:r>
      <w:rPr>
        <w:sz w:val="20"/>
        <w:szCs w:val="20"/>
      </w:rPr>
      <w:t xml:space="preserve">Народні </w:t>
    </w:r>
    <w:r w:rsidR="003107D5" w:rsidRPr="0054537A">
      <w:rPr>
        <w:sz w:val="20"/>
        <w:szCs w:val="20"/>
      </w:rPr>
      <w:t>д</w:t>
    </w:r>
    <w:r w:rsidR="0054537A" w:rsidRPr="0054537A">
      <w:rPr>
        <w:sz w:val="20"/>
        <w:szCs w:val="20"/>
      </w:rPr>
      <w:t>епутат</w:t>
    </w:r>
    <w:r>
      <w:rPr>
        <w:sz w:val="20"/>
        <w:szCs w:val="20"/>
      </w:rPr>
      <w:t>и</w:t>
    </w:r>
    <w:r w:rsidR="003107D5" w:rsidRPr="0054537A">
      <w:rPr>
        <w:sz w:val="20"/>
        <w:szCs w:val="20"/>
      </w:rPr>
      <w:t xml:space="preserve"> України</w:t>
    </w:r>
    <w:r w:rsidR="002B2D2A">
      <w:rPr>
        <w:sz w:val="20"/>
        <w:szCs w:val="20"/>
      </w:rPr>
      <w:br/>
    </w:r>
    <w:r w:rsidR="00F02901">
      <w:rPr>
        <w:sz w:val="20"/>
        <w:szCs w:val="20"/>
      </w:rPr>
      <w:t>Д</w:t>
    </w:r>
    <w:r w:rsidR="00D860F5">
      <w:rPr>
        <w:sz w:val="20"/>
        <w:szCs w:val="20"/>
      </w:rPr>
      <w:t xml:space="preserve">. </w:t>
    </w:r>
    <w:r w:rsidR="00F02901">
      <w:rPr>
        <w:sz w:val="20"/>
        <w:szCs w:val="20"/>
      </w:rPr>
      <w:t>Лубінець</w:t>
    </w:r>
    <w:r>
      <w:rPr>
        <w:sz w:val="20"/>
        <w:szCs w:val="20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042"/>
    <w:multiLevelType w:val="hybridMultilevel"/>
    <w:tmpl w:val="ECBEEE26"/>
    <w:lvl w:ilvl="0" w:tplc="77C06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0A5740"/>
    <w:multiLevelType w:val="hybridMultilevel"/>
    <w:tmpl w:val="722EB174"/>
    <w:lvl w:ilvl="0" w:tplc="46D0EBE6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9F50D9"/>
    <w:multiLevelType w:val="hybridMultilevel"/>
    <w:tmpl w:val="78F28022"/>
    <w:lvl w:ilvl="0" w:tplc="0A4A31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73"/>
    <w:rsid w:val="0000117D"/>
    <w:rsid w:val="00013565"/>
    <w:rsid w:val="00021997"/>
    <w:rsid w:val="00027607"/>
    <w:rsid w:val="000301EF"/>
    <w:rsid w:val="00035FC9"/>
    <w:rsid w:val="00041F9E"/>
    <w:rsid w:val="0004447D"/>
    <w:rsid w:val="00046D38"/>
    <w:rsid w:val="00062911"/>
    <w:rsid w:val="000642E1"/>
    <w:rsid w:val="000660D5"/>
    <w:rsid w:val="000721D3"/>
    <w:rsid w:val="00080B54"/>
    <w:rsid w:val="00081785"/>
    <w:rsid w:val="00081811"/>
    <w:rsid w:val="000863D3"/>
    <w:rsid w:val="00087D45"/>
    <w:rsid w:val="0009223D"/>
    <w:rsid w:val="000A0417"/>
    <w:rsid w:val="000A609B"/>
    <w:rsid w:val="000B0454"/>
    <w:rsid w:val="000B4CB3"/>
    <w:rsid w:val="000C34F4"/>
    <w:rsid w:val="000D0CCE"/>
    <w:rsid w:val="000E03E7"/>
    <w:rsid w:val="000E162A"/>
    <w:rsid w:val="000E7CAF"/>
    <w:rsid w:val="000F5B0C"/>
    <w:rsid w:val="00115C4E"/>
    <w:rsid w:val="001264C9"/>
    <w:rsid w:val="001336AC"/>
    <w:rsid w:val="001357F2"/>
    <w:rsid w:val="00142368"/>
    <w:rsid w:val="00151016"/>
    <w:rsid w:val="001574A2"/>
    <w:rsid w:val="00157EE5"/>
    <w:rsid w:val="0016679B"/>
    <w:rsid w:val="00183E70"/>
    <w:rsid w:val="00187A2B"/>
    <w:rsid w:val="001912EE"/>
    <w:rsid w:val="00192BD8"/>
    <w:rsid w:val="001A4302"/>
    <w:rsid w:val="001A6364"/>
    <w:rsid w:val="001A6E6F"/>
    <w:rsid w:val="001B0DC6"/>
    <w:rsid w:val="001B0E88"/>
    <w:rsid w:val="001B34F2"/>
    <w:rsid w:val="001B40AD"/>
    <w:rsid w:val="001B7E96"/>
    <w:rsid w:val="001C0F72"/>
    <w:rsid w:val="001C6A24"/>
    <w:rsid w:val="001E07ED"/>
    <w:rsid w:val="001E49F6"/>
    <w:rsid w:val="001E6936"/>
    <w:rsid w:val="00200963"/>
    <w:rsid w:val="00203ADC"/>
    <w:rsid w:val="00210B4D"/>
    <w:rsid w:val="00225531"/>
    <w:rsid w:val="00235EE2"/>
    <w:rsid w:val="00245529"/>
    <w:rsid w:val="002517AE"/>
    <w:rsid w:val="00251F8B"/>
    <w:rsid w:val="00264AFA"/>
    <w:rsid w:val="00267FAC"/>
    <w:rsid w:val="00270BB7"/>
    <w:rsid w:val="0027376C"/>
    <w:rsid w:val="0028060A"/>
    <w:rsid w:val="00284E6A"/>
    <w:rsid w:val="0028588B"/>
    <w:rsid w:val="002910D6"/>
    <w:rsid w:val="002A4E20"/>
    <w:rsid w:val="002B02B1"/>
    <w:rsid w:val="002B18ED"/>
    <w:rsid w:val="002B2D2A"/>
    <w:rsid w:val="002B5C8E"/>
    <w:rsid w:val="002C471A"/>
    <w:rsid w:val="002E2BC3"/>
    <w:rsid w:val="002E4398"/>
    <w:rsid w:val="002E477C"/>
    <w:rsid w:val="002F06FB"/>
    <w:rsid w:val="002F193A"/>
    <w:rsid w:val="002F4CF8"/>
    <w:rsid w:val="002F5698"/>
    <w:rsid w:val="002F5F99"/>
    <w:rsid w:val="00300461"/>
    <w:rsid w:val="00302CBF"/>
    <w:rsid w:val="0030348B"/>
    <w:rsid w:val="003107D5"/>
    <w:rsid w:val="0031441A"/>
    <w:rsid w:val="00317759"/>
    <w:rsid w:val="003268D7"/>
    <w:rsid w:val="0032798E"/>
    <w:rsid w:val="0033196D"/>
    <w:rsid w:val="00332D8B"/>
    <w:rsid w:val="003415BF"/>
    <w:rsid w:val="00341AE2"/>
    <w:rsid w:val="00354D53"/>
    <w:rsid w:val="0037533E"/>
    <w:rsid w:val="00377537"/>
    <w:rsid w:val="0038033E"/>
    <w:rsid w:val="0039142F"/>
    <w:rsid w:val="00391545"/>
    <w:rsid w:val="00396D11"/>
    <w:rsid w:val="003A732B"/>
    <w:rsid w:val="003A7E0C"/>
    <w:rsid w:val="003B349F"/>
    <w:rsid w:val="003C0B39"/>
    <w:rsid w:val="003C739A"/>
    <w:rsid w:val="003D3E3E"/>
    <w:rsid w:val="003D7165"/>
    <w:rsid w:val="003F558A"/>
    <w:rsid w:val="003F6575"/>
    <w:rsid w:val="003F75B5"/>
    <w:rsid w:val="00404A83"/>
    <w:rsid w:val="00412A0C"/>
    <w:rsid w:val="0043276F"/>
    <w:rsid w:val="004338C8"/>
    <w:rsid w:val="00437F9B"/>
    <w:rsid w:val="00445B58"/>
    <w:rsid w:val="00447CFC"/>
    <w:rsid w:val="004607C3"/>
    <w:rsid w:val="00463B7E"/>
    <w:rsid w:val="004702FA"/>
    <w:rsid w:val="00476930"/>
    <w:rsid w:val="004A42FD"/>
    <w:rsid w:val="004B18F4"/>
    <w:rsid w:val="004B2885"/>
    <w:rsid w:val="004B7088"/>
    <w:rsid w:val="004C0FFD"/>
    <w:rsid w:val="004C1084"/>
    <w:rsid w:val="004C623A"/>
    <w:rsid w:val="004D00D1"/>
    <w:rsid w:val="004D29EA"/>
    <w:rsid w:val="004D705B"/>
    <w:rsid w:val="004D787D"/>
    <w:rsid w:val="004F2179"/>
    <w:rsid w:val="004F3E5B"/>
    <w:rsid w:val="004F56E3"/>
    <w:rsid w:val="00500A5A"/>
    <w:rsid w:val="00501828"/>
    <w:rsid w:val="005020FC"/>
    <w:rsid w:val="00503376"/>
    <w:rsid w:val="005049DE"/>
    <w:rsid w:val="005053E4"/>
    <w:rsid w:val="00517BB4"/>
    <w:rsid w:val="005204CF"/>
    <w:rsid w:val="0052112B"/>
    <w:rsid w:val="005251BE"/>
    <w:rsid w:val="0053602E"/>
    <w:rsid w:val="00543D10"/>
    <w:rsid w:val="00544DE5"/>
    <w:rsid w:val="00544FB1"/>
    <w:rsid w:val="0054537A"/>
    <w:rsid w:val="00547EE5"/>
    <w:rsid w:val="005527E4"/>
    <w:rsid w:val="00553FD7"/>
    <w:rsid w:val="0058620C"/>
    <w:rsid w:val="0059024F"/>
    <w:rsid w:val="0059114F"/>
    <w:rsid w:val="00593A2F"/>
    <w:rsid w:val="0059500E"/>
    <w:rsid w:val="005B197B"/>
    <w:rsid w:val="005B1E65"/>
    <w:rsid w:val="005B1F92"/>
    <w:rsid w:val="005B411E"/>
    <w:rsid w:val="005B53CA"/>
    <w:rsid w:val="005C3EB7"/>
    <w:rsid w:val="005D4789"/>
    <w:rsid w:val="005F5514"/>
    <w:rsid w:val="005F574F"/>
    <w:rsid w:val="005F75B0"/>
    <w:rsid w:val="00602C6A"/>
    <w:rsid w:val="00604E5A"/>
    <w:rsid w:val="00611C47"/>
    <w:rsid w:val="006141D1"/>
    <w:rsid w:val="0061697A"/>
    <w:rsid w:val="00620DE9"/>
    <w:rsid w:val="00623122"/>
    <w:rsid w:val="00630828"/>
    <w:rsid w:val="00631A9A"/>
    <w:rsid w:val="00631FAA"/>
    <w:rsid w:val="0063231A"/>
    <w:rsid w:val="0065121D"/>
    <w:rsid w:val="006517E1"/>
    <w:rsid w:val="006657BB"/>
    <w:rsid w:val="00666637"/>
    <w:rsid w:val="006704F1"/>
    <w:rsid w:val="00671600"/>
    <w:rsid w:val="006805E9"/>
    <w:rsid w:val="006A63E7"/>
    <w:rsid w:val="006A6D00"/>
    <w:rsid w:val="006B1046"/>
    <w:rsid w:val="006B4563"/>
    <w:rsid w:val="006B55F6"/>
    <w:rsid w:val="006B7330"/>
    <w:rsid w:val="006B7FCA"/>
    <w:rsid w:val="006C00A2"/>
    <w:rsid w:val="006C1722"/>
    <w:rsid w:val="006C1829"/>
    <w:rsid w:val="006C6FFE"/>
    <w:rsid w:val="006D2AFF"/>
    <w:rsid w:val="006D4921"/>
    <w:rsid w:val="006D6637"/>
    <w:rsid w:val="006F1C3C"/>
    <w:rsid w:val="006F3593"/>
    <w:rsid w:val="00700996"/>
    <w:rsid w:val="00706C6F"/>
    <w:rsid w:val="00710DBF"/>
    <w:rsid w:val="00710FB2"/>
    <w:rsid w:val="007139BB"/>
    <w:rsid w:val="00713E61"/>
    <w:rsid w:val="00715CDD"/>
    <w:rsid w:val="0072152E"/>
    <w:rsid w:val="00723081"/>
    <w:rsid w:val="00727159"/>
    <w:rsid w:val="00727CAE"/>
    <w:rsid w:val="00731FD4"/>
    <w:rsid w:val="00732F20"/>
    <w:rsid w:val="00742CAA"/>
    <w:rsid w:val="00753A06"/>
    <w:rsid w:val="00756A2B"/>
    <w:rsid w:val="0076116E"/>
    <w:rsid w:val="007622B0"/>
    <w:rsid w:val="00777702"/>
    <w:rsid w:val="0078569F"/>
    <w:rsid w:val="00790FA8"/>
    <w:rsid w:val="007B16E7"/>
    <w:rsid w:val="007C1266"/>
    <w:rsid w:val="007C347B"/>
    <w:rsid w:val="007D14C4"/>
    <w:rsid w:val="007D4805"/>
    <w:rsid w:val="007D68CB"/>
    <w:rsid w:val="007E025C"/>
    <w:rsid w:val="007E386F"/>
    <w:rsid w:val="007F3077"/>
    <w:rsid w:val="00802C24"/>
    <w:rsid w:val="00814C2B"/>
    <w:rsid w:val="00825FF8"/>
    <w:rsid w:val="00831BBD"/>
    <w:rsid w:val="00837AFE"/>
    <w:rsid w:val="008434C6"/>
    <w:rsid w:val="00843776"/>
    <w:rsid w:val="00845AED"/>
    <w:rsid w:val="0085273B"/>
    <w:rsid w:val="00856F7F"/>
    <w:rsid w:val="00862544"/>
    <w:rsid w:val="00871B69"/>
    <w:rsid w:val="00873954"/>
    <w:rsid w:val="00876FE7"/>
    <w:rsid w:val="00880797"/>
    <w:rsid w:val="00880D5D"/>
    <w:rsid w:val="00886EC1"/>
    <w:rsid w:val="008A49A6"/>
    <w:rsid w:val="008A7BBA"/>
    <w:rsid w:val="008D0C4D"/>
    <w:rsid w:val="008E05D3"/>
    <w:rsid w:val="008E2AA3"/>
    <w:rsid w:val="008E433F"/>
    <w:rsid w:val="008F7485"/>
    <w:rsid w:val="008F7AF2"/>
    <w:rsid w:val="009035E5"/>
    <w:rsid w:val="009078D0"/>
    <w:rsid w:val="00916052"/>
    <w:rsid w:val="00917006"/>
    <w:rsid w:val="00921AE1"/>
    <w:rsid w:val="0093261F"/>
    <w:rsid w:val="00933B60"/>
    <w:rsid w:val="00940537"/>
    <w:rsid w:val="00940A33"/>
    <w:rsid w:val="009464AE"/>
    <w:rsid w:val="00946A3B"/>
    <w:rsid w:val="0095272A"/>
    <w:rsid w:val="00953673"/>
    <w:rsid w:val="00967F7F"/>
    <w:rsid w:val="0097020A"/>
    <w:rsid w:val="00974229"/>
    <w:rsid w:val="00980220"/>
    <w:rsid w:val="00986691"/>
    <w:rsid w:val="009929FD"/>
    <w:rsid w:val="009939F1"/>
    <w:rsid w:val="00997AC1"/>
    <w:rsid w:val="009B6730"/>
    <w:rsid w:val="009C12A6"/>
    <w:rsid w:val="009C3679"/>
    <w:rsid w:val="009C636B"/>
    <w:rsid w:val="009F7D52"/>
    <w:rsid w:val="00A039D5"/>
    <w:rsid w:val="00A07E20"/>
    <w:rsid w:val="00A16AA9"/>
    <w:rsid w:val="00A16C18"/>
    <w:rsid w:val="00A20842"/>
    <w:rsid w:val="00A2303D"/>
    <w:rsid w:val="00A25CDA"/>
    <w:rsid w:val="00A26308"/>
    <w:rsid w:val="00A32F86"/>
    <w:rsid w:val="00A5616C"/>
    <w:rsid w:val="00A63F89"/>
    <w:rsid w:val="00A64602"/>
    <w:rsid w:val="00A65ABB"/>
    <w:rsid w:val="00A8345C"/>
    <w:rsid w:val="00A8519F"/>
    <w:rsid w:val="00A901D3"/>
    <w:rsid w:val="00A93C1E"/>
    <w:rsid w:val="00A975D7"/>
    <w:rsid w:val="00AA0286"/>
    <w:rsid w:val="00AA13D9"/>
    <w:rsid w:val="00AA3C52"/>
    <w:rsid w:val="00AA42B5"/>
    <w:rsid w:val="00AB09FD"/>
    <w:rsid w:val="00AB48BA"/>
    <w:rsid w:val="00AE462B"/>
    <w:rsid w:val="00AF01BB"/>
    <w:rsid w:val="00AF2ABD"/>
    <w:rsid w:val="00AF34DF"/>
    <w:rsid w:val="00B0338A"/>
    <w:rsid w:val="00B06D47"/>
    <w:rsid w:val="00B07768"/>
    <w:rsid w:val="00B161A2"/>
    <w:rsid w:val="00B1708A"/>
    <w:rsid w:val="00B27126"/>
    <w:rsid w:val="00B27ED4"/>
    <w:rsid w:val="00B33AE1"/>
    <w:rsid w:val="00B3708C"/>
    <w:rsid w:val="00B478B1"/>
    <w:rsid w:val="00B50805"/>
    <w:rsid w:val="00B56BC2"/>
    <w:rsid w:val="00B614BA"/>
    <w:rsid w:val="00B63667"/>
    <w:rsid w:val="00B76CD0"/>
    <w:rsid w:val="00B804FE"/>
    <w:rsid w:val="00B80E00"/>
    <w:rsid w:val="00B815D7"/>
    <w:rsid w:val="00B9101A"/>
    <w:rsid w:val="00B914C2"/>
    <w:rsid w:val="00B9225D"/>
    <w:rsid w:val="00B93BC1"/>
    <w:rsid w:val="00BA2CCD"/>
    <w:rsid w:val="00BB783D"/>
    <w:rsid w:val="00BC0786"/>
    <w:rsid w:val="00BC2D14"/>
    <w:rsid w:val="00BD237B"/>
    <w:rsid w:val="00BD58A1"/>
    <w:rsid w:val="00BD69BC"/>
    <w:rsid w:val="00BE56AF"/>
    <w:rsid w:val="00C120E9"/>
    <w:rsid w:val="00C15E3F"/>
    <w:rsid w:val="00C16F42"/>
    <w:rsid w:val="00C302D2"/>
    <w:rsid w:val="00C34CE9"/>
    <w:rsid w:val="00C42FF7"/>
    <w:rsid w:val="00C47736"/>
    <w:rsid w:val="00C50C35"/>
    <w:rsid w:val="00C530CB"/>
    <w:rsid w:val="00C54D93"/>
    <w:rsid w:val="00C825B9"/>
    <w:rsid w:val="00C93285"/>
    <w:rsid w:val="00C936DC"/>
    <w:rsid w:val="00C95AC8"/>
    <w:rsid w:val="00CA32D2"/>
    <w:rsid w:val="00CA357B"/>
    <w:rsid w:val="00CA37D4"/>
    <w:rsid w:val="00CA5486"/>
    <w:rsid w:val="00CB0E88"/>
    <w:rsid w:val="00CB145C"/>
    <w:rsid w:val="00CB39A1"/>
    <w:rsid w:val="00CC3B95"/>
    <w:rsid w:val="00CE44F8"/>
    <w:rsid w:val="00CE7D07"/>
    <w:rsid w:val="00CF3EA5"/>
    <w:rsid w:val="00CF7A3C"/>
    <w:rsid w:val="00D03F0F"/>
    <w:rsid w:val="00D0483E"/>
    <w:rsid w:val="00D106DA"/>
    <w:rsid w:val="00D15239"/>
    <w:rsid w:val="00D20CEE"/>
    <w:rsid w:val="00D2727C"/>
    <w:rsid w:val="00D340C8"/>
    <w:rsid w:val="00D355DE"/>
    <w:rsid w:val="00D41BFF"/>
    <w:rsid w:val="00D43765"/>
    <w:rsid w:val="00D51657"/>
    <w:rsid w:val="00D54E77"/>
    <w:rsid w:val="00D561D7"/>
    <w:rsid w:val="00D65C1A"/>
    <w:rsid w:val="00D67BAD"/>
    <w:rsid w:val="00D739EF"/>
    <w:rsid w:val="00D77E90"/>
    <w:rsid w:val="00D77FF2"/>
    <w:rsid w:val="00D82A04"/>
    <w:rsid w:val="00D860F5"/>
    <w:rsid w:val="00DB347D"/>
    <w:rsid w:val="00DB4874"/>
    <w:rsid w:val="00DD20C0"/>
    <w:rsid w:val="00DD6188"/>
    <w:rsid w:val="00DE0463"/>
    <w:rsid w:val="00DE1C29"/>
    <w:rsid w:val="00DE4B73"/>
    <w:rsid w:val="00DE6A3B"/>
    <w:rsid w:val="00E023AA"/>
    <w:rsid w:val="00E06234"/>
    <w:rsid w:val="00E0790A"/>
    <w:rsid w:val="00E10C9E"/>
    <w:rsid w:val="00E129BE"/>
    <w:rsid w:val="00E14777"/>
    <w:rsid w:val="00E26032"/>
    <w:rsid w:val="00E317C8"/>
    <w:rsid w:val="00E331CB"/>
    <w:rsid w:val="00E33503"/>
    <w:rsid w:val="00E33538"/>
    <w:rsid w:val="00E336EC"/>
    <w:rsid w:val="00E36CCF"/>
    <w:rsid w:val="00E43B9F"/>
    <w:rsid w:val="00E51AF6"/>
    <w:rsid w:val="00E647CF"/>
    <w:rsid w:val="00E746AE"/>
    <w:rsid w:val="00E80C1F"/>
    <w:rsid w:val="00E84A53"/>
    <w:rsid w:val="00E90C44"/>
    <w:rsid w:val="00E93F41"/>
    <w:rsid w:val="00E96BE6"/>
    <w:rsid w:val="00E96C15"/>
    <w:rsid w:val="00E97815"/>
    <w:rsid w:val="00EA468F"/>
    <w:rsid w:val="00EA726B"/>
    <w:rsid w:val="00EB293B"/>
    <w:rsid w:val="00EC1BC3"/>
    <w:rsid w:val="00EC314E"/>
    <w:rsid w:val="00EC480A"/>
    <w:rsid w:val="00ED7D68"/>
    <w:rsid w:val="00EF2316"/>
    <w:rsid w:val="00EF2576"/>
    <w:rsid w:val="00F02901"/>
    <w:rsid w:val="00F076B7"/>
    <w:rsid w:val="00F1184F"/>
    <w:rsid w:val="00F16D3F"/>
    <w:rsid w:val="00F2346E"/>
    <w:rsid w:val="00F234CB"/>
    <w:rsid w:val="00F31B19"/>
    <w:rsid w:val="00F35171"/>
    <w:rsid w:val="00F3677E"/>
    <w:rsid w:val="00F370E0"/>
    <w:rsid w:val="00F43F21"/>
    <w:rsid w:val="00F43FBA"/>
    <w:rsid w:val="00F45533"/>
    <w:rsid w:val="00F57788"/>
    <w:rsid w:val="00F735E2"/>
    <w:rsid w:val="00F771B5"/>
    <w:rsid w:val="00F77234"/>
    <w:rsid w:val="00F93AA5"/>
    <w:rsid w:val="00F951EF"/>
    <w:rsid w:val="00F971AB"/>
    <w:rsid w:val="00FA4D42"/>
    <w:rsid w:val="00FB7DA3"/>
    <w:rsid w:val="00FC0CEB"/>
    <w:rsid w:val="00FC64CB"/>
    <w:rsid w:val="00FD3B97"/>
    <w:rsid w:val="00FE2CD3"/>
    <w:rsid w:val="00FE4439"/>
    <w:rsid w:val="00FE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F6"/>
    <w:pPr>
      <w:spacing w:line="240" w:lineRule="auto"/>
      <w:ind w:firstLine="0"/>
      <w:jc w:val="left"/>
    </w:pPr>
    <w:rPr>
      <w:rFonts w:eastAsia="Calibri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3B9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67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953673"/>
    <w:rPr>
      <w:rFonts w:eastAsia="Calibri" w:cs="Times New Roman"/>
      <w:szCs w:val="28"/>
      <w:lang w:eastAsia="ru-RU"/>
    </w:rPr>
  </w:style>
  <w:style w:type="character" w:styleId="a5">
    <w:name w:val="page number"/>
    <w:uiPriority w:val="99"/>
    <w:rsid w:val="00953673"/>
    <w:rPr>
      <w:rFonts w:cs="Times New Roman"/>
    </w:rPr>
  </w:style>
  <w:style w:type="paragraph" w:customStyle="1" w:styleId="Igor">
    <w:name w:val="Igor"/>
    <w:basedOn w:val="a"/>
    <w:autoRedefine/>
    <w:uiPriority w:val="99"/>
    <w:rsid w:val="00953673"/>
    <w:pPr>
      <w:jc w:val="both"/>
    </w:pPr>
    <w:rPr>
      <w:bCs/>
      <w:sz w:val="20"/>
      <w:szCs w:val="20"/>
    </w:rPr>
  </w:style>
  <w:style w:type="character" w:customStyle="1" w:styleId="rvts0">
    <w:name w:val="rvts0"/>
    <w:basedOn w:val="a0"/>
    <w:rsid w:val="00953673"/>
  </w:style>
  <w:style w:type="paragraph" w:styleId="a6">
    <w:name w:val="footer"/>
    <w:basedOn w:val="a"/>
    <w:link w:val="a7"/>
    <w:uiPriority w:val="99"/>
    <w:unhideWhenUsed/>
    <w:rsid w:val="0095367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53673"/>
    <w:rPr>
      <w:rFonts w:eastAsia="Calibri" w:cs="Times New Roman"/>
      <w:szCs w:val="28"/>
      <w:lang w:eastAsia="ru-RU"/>
    </w:rPr>
  </w:style>
  <w:style w:type="paragraph" w:styleId="a8">
    <w:name w:val="List Paragraph"/>
    <w:basedOn w:val="a"/>
    <w:uiPriority w:val="34"/>
    <w:qFormat/>
    <w:rsid w:val="00CA35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708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7088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rsid w:val="00183E70"/>
    <w:rPr>
      <w:rFonts w:eastAsia="Times New Roman"/>
      <w:sz w:val="20"/>
      <w:szCs w:val="20"/>
      <w:lang w:val="ru-RU"/>
    </w:rPr>
  </w:style>
  <w:style w:type="character" w:customStyle="1" w:styleId="ac">
    <w:name w:val="Текст виноски Знак"/>
    <w:basedOn w:val="a0"/>
    <w:link w:val="ab"/>
    <w:rsid w:val="00183E70"/>
    <w:rPr>
      <w:rFonts w:eastAsia="Times New Roman" w:cs="Times New Roman"/>
      <w:sz w:val="20"/>
      <w:szCs w:val="20"/>
      <w:lang w:val="ru-RU" w:eastAsia="ru-RU"/>
    </w:rPr>
  </w:style>
  <w:style w:type="character" w:styleId="ad">
    <w:name w:val="footnote reference"/>
    <w:rsid w:val="00183E70"/>
    <w:rPr>
      <w:vertAlign w:val="superscript"/>
    </w:rPr>
  </w:style>
  <w:style w:type="character" w:styleId="ae">
    <w:name w:val="Strong"/>
    <w:basedOn w:val="a0"/>
    <w:uiPriority w:val="99"/>
    <w:qFormat/>
    <w:rsid w:val="007622B0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C15E3F"/>
    <w:pPr>
      <w:spacing w:before="100" w:beforeAutospacing="1" w:after="100" w:afterAutospacing="1"/>
    </w:pPr>
    <w:rPr>
      <w:rFonts w:eastAsia="MS ??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D3B97"/>
    <w:rPr>
      <w:rFonts w:eastAsia="Times New Roman" w:cs="Times New Roman"/>
      <w:b/>
      <w:bCs/>
      <w:sz w:val="27"/>
      <w:szCs w:val="27"/>
      <w:lang w:val="ru-RU" w:eastAsia="ru-RU"/>
    </w:rPr>
  </w:style>
  <w:style w:type="character" w:customStyle="1" w:styleId="rvts15">
    <w:name w:val="rvts15"/>
    <w:rsid w:val="002B02B1"/>
  </w:style>
  <w:style w:type="paragraph" w:styleId="HTML">
    <w:name w:val="HTML Preformatted"/>
    <w:basedOn w:val="a"/>
    <w:link w:val="HTML0"/>
    <w:rsid w:val="00DD2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DD20C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D20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rvts9">
    <w:name w:val="rvts9"/>
    <w:basedOn w:val="a0"/>
    <w:rsid w:val="00F02901"/>
  </w:style>
  <w:style w:type="paragraph" w:styleId="af">
    <w:name w:val="No Spacing"/>
    <w:uiPriority w:val="1"/>
    <w:qFormat/>
    <w:rsid w:val="00D0483E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af0">
    <w:name w:val="Body Text"/>
    <w:basedOn w:val="a"/>
    <w:link w:val="af1"/>
    <w:uiPriority w:val="99"/>
    <w:semiHidden/>
    <w:unhideWhenUsed/>
    <w:rsid w:val="002F5698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2F5698"/>
    <w:rPr>
      <w:rFonts w:eastAsia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100E-BC02-4655-80A4-382A9860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9317</Words>
  <Characters>5312</Characters>
  <Application>Microsoft Office Word</Application>
  <DocSecurity>0</DocSecurity>
  <Lines>44</Lines>
  <Paragraphs>29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2021-05-06T12:41:00Z</dcterms:created>
  <dcterms:modified xsi:type="dcterms:W3CDTF">2021-05-06T12:41:00Z</dcterms:modified>
</cp:coreProperties>
</file>