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F3" w:rsidRDefault="006F38F3" w:rsidP="00376511">
      <w:pPr>
        <w:spacing w:after="0" w:line="264" w:lineRule="auto"/>
        <w:rPr>
          <w:rFonts w:ascii="Times New Roman" w:eastAsia="Times New Roman" w:hAnsi="Times New Roman"/>
          <w:b/>
          <w:sz w:val="28"/>
          <w:szCs w:val="27"/>
          <w:lang w:val="uk-UA" w:eastAsia="ru-RU"/>
        </w:rPr>
      </w:pPr>
    </w:p>
    <w:p w:rsidR="0064551B" w:rsidRPr="00656245" w:rsidRDefault="0064551B" w:rsidP="00376511">
      <w:pPr>
        <w:spacing w:after="0" w:line="264" w:lineRule="auto"/>
        <w:rPr>
          <w:rFonts w:ascii="Times New Roman" w:eastAsia="Times New Roman" w:hAnsi="Times New Roman"/>
          <w:b/>
          <w:sz w:val="28"/>
          <w:szCs w:val="27"/>
          <w:lang w:val="uk-UA" w:eastAsia="ru-RU"/>
        </w:rPr>
      </w:pPr>
    </w:p>
    <w:p w:rsidR="00773D69" w:rsidRDefault="00773D69" w:rsidP="0064551B">
      <w:pPr>
        <w:spacing w:after="0" w:line="276" w:lineRule="auto"/>
        <w:ind w:left="2835" w:firstLine="2126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23E50" w:rsidRPr="00656245" w:rsidRDefault="00923E50" w:rsidP="0064551B">
      <w:pPr>
        <w:spacing w:after="0" w:line="276" w:lineRule="auto"/>
        <w:ind w:left="2835" w:firstLine="2126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562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Комітет Верховної Ради України</w:t>
      </w:r>
    </w:p>
    <w:p w:rsidR="00923E50" w:rsidRPr="00656245" w:rsidRDefault="00923E50" w:rsidP="0064551B">
      <w:pPr>
        <w:spacing w:after="0" w:line="276" w:lineRule="auto"/>
        <w:ind w:left="2835" w:firstLine="2126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562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 питань </w:t>
      </w:r>
      <w:r w:rsidR="00656245" w:rsidRPr="006562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аграрної та земельної політики</w:t>
      </w:r>
    </w:p>
    <w:p w:rsidR="00923E50" w:rsidRDefault="00923E50" w:rsidP="00923E50">
      <w:pPr>
        <w:spacing w:after="0" w:line="240" w:lineRule="auto"/>
        <w:ind w:firstLine="709"/>
        <w:rPr>
          <w:rFonts w:ascii="Times New Roman" w:eastAsia="Times New Roman" w:hAnsi="Times New Roman"/>
          <w:i/>
          <w:lang w:val="uk-UA" w:eastAsia="ru-RU"/>
        </w:rPr>
      </w:pPr>
    </w:p>
    <w:p w:rsidR="0064551B" w:rsidRPr="00366B35" w:rsidRDefault="0064551B" w:rsidP="00923E50">
      <w:pPr>
        <w:spacing w:after="0" w:line="240" w:lineRule="auto"/>
        <w:ind w:firstLine="709"/>
        <w:rPr>
          <w:rFonts w:ascii="Times New Roman" w:eastAsia="Times New Roman" w:hAnsi="Times New Roman"/>
          <w:i/>
          <w:lang w:val="uk-UA" w:eastAsia="ru-RU"/>
        </w:rPr>
      </w:pPr>
    </w:p>
    <w:p w:rsidR="00923E50" w:rsidRPr="00742153" w:rsidRDefault="00923E50" w:rsidP="00923E50">
      <w:pPr>
        <w:spacing w:after="0" w:line="240" w:lineRule="auto"/>
        <w:ind w:firstLine="708"/>
        <w:rPr>
          <w:rFonts w:ascii="Times New Roman" w:eastAsia="Times New Roman" w:hAnsi="Times New Roman"/>
          <w:i/>
          <w:sz w:val="24"/>
          <w:lang w:val="uk-UA" w:eastAsia="ru-RU"/>
        </w:rPr>
      </w:pPr>
      <w:r w:rsidRPr="00742153">
        <w:rPr>
          <w:rFonts w:ascii="Times New Roman" w:eastAsia="Times New Roman" w:hAnsi="Times New Roman"/>
          <w:i/>
          <w:sz w:val="24"/>
          <w:lang w:val="uk-UA" w:eastAsia="ru-RU"/>
        </w:rPr>
        <w:t>Про розгляд законопроекту</w:t>
      </w:r>
    </w:p>
    <w:p w:rsidR="00923E50" w:rsidRPr="00100031" w:rsidRDefault="00923E50" w:rsidP="00923E50">
      <w:pPr>
        <w:spacing w:after="0" w:line="240" w:lineRule="auto"/>
        <w:ind w:firstLine="708"/>
        <w:rPr>
          <w:rFonts w:ascii="Times New Roman" w:eastAsia="Times New Roman" w:hAnsi="Times New Roman"/>
          <w:i/>
          <w:sz w:val="24"/>
          <w:lang w:val="uk-UA" w:eastAsia="ru-RU"/>
        </w:rPr>
      </w:pPr>
      <w:r w:rsidRPr="00742153">
        <w:rPr>
          <w:rFonts w:ascii="Times New Roman" w:eastAsia="Times New Roman" w:hAnsi="Times New Roman"/>
          <w:i/>
          <w:sz w:val="24"/>
          <w:lang w:val="uk-UA" w:eastAsia="ru-RU"/>
        </w:rPr>
        <w:t xml:space="preserve">за реєстр. № </w:t>
      </w:r>
      <w:r w:rsidR="00100031" w:rsidRPr="00100031">
        <w:rPr>
          <w:rFonts w:ascii="Times New Roman" w:eastAsia="Times New Roman" w:hAnsi="Times New Roman"/>
          <w:i/>
          <w:sz w:val="24"/>
          <w:lang w:val="uk-UA" w:eastAsia="ru-RU"/>
        </w:rPr>
        <w:t>4515 від 18.12.2020</w:t>
      </w:r>
    </w:p>
    <w:p w:rsidR="00923E50" w:rsidRPr="00366B35" w:rsidRDefault="00923E50" w:rsidP="00923E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00031" w:rsidRDefault="00923E50" w:rsidP="00773D69">
      <w:pPr>
        <w:spacing w:after="0" w:line="30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66B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Комітет Верховної Ради України з питань бюджету на своєму засіданні </w:t>
      </w:r>
      <w:r w:rsidR="002E370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17 березня 2021 року (протокол № 80)</w:t>
      </w:r>
      <w:bookmarkStart w:id="0" w:name="_GoBack"/>
      <w:bookmarkEnd w:id="0"/>
      <w:r w:rsidR="001D480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відповідно до статей 27 і 109</w:t>
      </w:r>
      <w:r w:rsidR="00EB149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 </w:t>
      </w:r>
      <w:r w:rsidRPr="00366B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Бюджетного кодексу України та статті 93 Регламенту Верховної Ради України розглянув проект Закону України </w:t>
      </w:r>
      <w:r w:rsidR="0010003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«П</w:t>
      </w:r>
      <w:r w:rsidR="00100031" w:rsidRPr="0010003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ро внесення змін до Закону України </w:t>
      </w:r>
      <w:r w:rsidR="0010003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</w:t>
      </w:r>
      <w:r w:rsidR="00100031" w:rsidRPr="0010003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 землеустрій</w:t>
      </w:r>
      <w:r w:rsidR="0010003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</w:t>
      </w:r>
      <w:r w:rsidR="00100031" w:rsidRPr="0010003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щодо уніфікації деяких видів документації із землеустрою</w:t>
      </w:r>
      <w:r w:rsidR="0010003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 (</w:t>
      </w:r>
      <w:r w:rsidR="00100031" w:rsidRPr="0010003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реєстр. № 4515 від 18.12.2020</w:t>
      </w:r>
      <w:r w:rsidR="0010003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),  поданий </w:t>
      </w:r>
      <w:r w:rsidR="00100031" w:rsidRPr="0010003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Кабінетом Міністрів України</w:t>
      </w:r>
      <w:r w:rsidR="0010003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r w:rsidR="00100031" w:rsidRPr="0010003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 повідомляє наступне.</w:t>
      </w:r>
    </w:p>
    <w:p w:rsidR="004C0EF3" w:rsidRDefault="004C0EF3" w:rsidP="00773D69">
      <w:pPr>
        <w:spacing w:after="0" w:line="30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C0EF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Відповідно до фінансово-економічного обґрунтування, наведеного у пояснювальній записці до цього законопроекту, підготовленій Міністерством розвитку економіки, торгівлі та сільського господарства України, та експертного висновку Міністерства фінансів України реалізація положень законопроекту не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впливатиме </w:t>
      </w:r>
      <w:r w:rsidR="001500D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на показники державного та </w:t>
      </w:r>
      <w:r w:rsidR="001500D6" w:rsidRPr="001500D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місцевих бюджетів</w:t>
      </w:r>
      <w:r w:rsidR="001500D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</w:t>
      </w:r>
      <w:r w:rsidR="00852DB5" w:rsidRPr="00852DB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Водночас, Мінфін відмічає, що реалізація положень законопроекту не потребує додаткового фінансового забезпечення у поточному бюджетному періоді</w:t>
      </w:r>
      <w:r w:rsidR="00852DB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1500D6" w:rsidRDefault="001500D6" w:rsidP="00773D69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7436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Проте,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законопроектом, серед іншого, пропонується:</w:t>
      </w:r>
      <w:r w:rsidRPr="001500D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500D6" w:rsidRDefault="001500D6" w:rsidP="00773D69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1500D6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розширити коло осіб, які можуть виступ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ати замовниками документації із </w:t>
      </w:r>
      <w:r w:rsidRPr="001500D6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землеустрою (</w:t>
      </w:r>
      <w:r w:rsidRPr="001500D6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>не лише органи державної влади, органи місцевого самоврядування, землевласники і землекористувачі, а й інші заінтересовані особи у здійсненні землеустрою</w:t>
      </w:r>
      <w:r w:rsidRPr="001500D6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)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;</w:t>
      </w:r>
    </w:p>
    <w:p w:rsidR="008E230F" w:rsidRDefault="008E230F" w:rsidP="008E230F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8E230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визначити вимоги до електронної форми документації із землеустрою із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8E230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застосуванням кваліфікованого електронного підпису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;</w:t>
      </w:r>
    </w:p>
    <w:p w:rsidR="001500D6" w:rsidRDefault="001500D6" w:rsidP="00773D69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1500D6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запровадити новий 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ид документації із землеустрою, а саме технічну документацію</w:t>
      </w:r>
      <w:r w:rsidRPr="001500D6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із землеустрою щодо встановлення меж режимоутворюючих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об’єктів культурної спадщини;</w:t>
      </w:r>
    </w:p>
    <w:p w:rsidR="001500D6" w:rsidRDefault="001500D6" w:rsidP="00773D69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lastRenderedPageBreak/>
        <w:t>визнач</w:t>
      </w:r>
      <w:r w:rsidR="008E230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ити перелік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відомостей, що має містити пояснювальна записка, що є складовою текстових матеріалів документації із землеустрою</w:t>
      </w:r>
      <w:r w:rsidR="00DC30C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5459E5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(</w:t>
      </w:r>
      <w:r w:rsidR="005459E5" w:rsidRPr="005459E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>до прикладу,</w:t>
      </w:r>
      <w:r w:rsidR="005459E5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5459E5" w:rsidRPr="005459E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>відомості про ґрунти</w:t>
      </w:r>
      <w:r w:rsidR="005459E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 xml:space="preserve">, </w:t>
      </w:r>
      <w:r w:rsidR="005459E5" w:rsidRPr="005459E5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 відновлення земель</w:t>
      </w:r>
      <w:r w:rsidR="005459E5" w:rsidRPr="005459E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 xml:space="preserve">, </w:t>
      </w:r>
      <w:r w:rsidR="005459E5" w:rsidRPr="005459E5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 зелені насадження</w:t>
      </w:r>
      <w:r w:rsidR="005459E5" w:rsidRPr="005459E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 xml:space="preserve"> тощо</w:t>
      </w:r>
      <w:r w:rsidR="005459E5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) </w:t>
      </w:r>
      <w:r w:rsidR="00DC30C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та окремі види технічної документації</w:t>
      </w:r>
      <w:r w:rsidR="005459E5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(</w:t>
      </w:r>
      <w:r w:rsidR="005459E5" w:rsidRPr="005459E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 xml:space="preserve">до прикладу, розрахунки розмірів втрат </w:t>
      </w:r>
      <w:r w:rsidR="005459E5" w:rsidRPr="005459E5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сільськогосподарського та лісогосподарського виробництва </w:t>
      </w:r>
      <w:r w:rsidR="005459E5" w:rsidRPr="005459E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 xml:space="preserve">та збитків </w:t>
      </w:r>
      <w:r w:rsidR="005459E5" w:rsidRPr="005459E5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власників землі та землекористувачів тощо</w:t>
      </w:r>
      <w:r w:rsidR="005459E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)</w:t>
      </w:r>
      <w:r w:rsidR="005459E5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 П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ри цьому відмічається, що </w:t>
      </w:r>
      <w:r w:rsidRPr="001500D6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інформація та документи, що мають міститись в документації із землеустрою та які перебувають у володінні державних органів, органів місцевого самоврядування отримуються центральним органом виконавчої влади, що реалізує державну політику у сфері землеустрою через систему електронної взаємодії державних еле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ктронних інформаційних ресурсів;</w:t>
      </w:r>
    </w:p>
    <w:p w:rsidR="001500D6" w:rsidRDefault="001500D6" w:rsidP="00773D69">
      <w:pPr>
        <w:spacing w:after="0" w:line="30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включ</w:t>
      </w:r>
      <w:r w:rsidR="008E230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ити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до переліку документів,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що є складовою </w:t>
      </w:r>
      <w:r w:rsidR="005459E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документації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проектів землеустрою</w:t>
      </w:r>
      <w:r w:rsidR="00E97C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1500D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витягу із Державного земельного кадастру про земельну ділянку (у разі наявності відомостей у Державному земельному кадастрі).</w:t>
      </w:r>
    </w:p>
    <w:p w:rsidR="00A65032" w:rsidRDefault="00A65032" w:rsidP="00773D69">
      <w:pPr>
        <w:spacing w:after="0" w:line="30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Щодо вищезазначеного варто відмітити наступне.</w:t>
      </w:r>
    </w:p>
    <w:p w:rsidR="00654AFD" w:rsidRDefault="00A65032" w:rsidP="00773D69">
      <w:pPr>
        <w:spacing w:after="0" w:line="30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6503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Документація із землеустрою, що включена до Державного фонду документації</w:t>
      </w:r>
      <w:r w:rsidR="00E97C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</w:t>
      </w:r>
      <w:r w:rsidRPr="00A65032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 xml:space="preserve"> </w:t>
      </w:r>
      <w:r w:rsidR="00E97C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надає</w:t>
      </w:r>
      <w:r w:rsidRPr="00A6503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ться в електронному вигляді на безоплатній основі органам державної влади, органам місцевого самоврядування, юридичним та фізичним особам після отримання відповідного запиту. При цьому</w:t>
      </w:r>
      <w:r w:rsidR="00E97C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</w:t>
      </w:r>
      <w:r w:rsidRPr="00A6503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надання відомостей з Державного земельного кадастру у формі копій документів, що створюються під час ведення Державного земельного кадастру та у формі витягів з Державного земельного кадастру про земельну ділянку</w:t>
      </w:r>
      <w:r w:rsidR="00A2509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здійснюється на платні основі. </w:t>
      </w:r>
    </w:p>
    <w:p w:rsidR="00E97C8A" w:rsidRDefault="00A25095" w:rsidP="00773D69">
      <w:pPr>
        <w:spacing w:after="0" w:line="30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2509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Відтак, плата за надання відомостей з Державного земельного кадастру у формі копій документів та у формі</w:t>
      </w:r>
      <w:r w:rsidRPr="00A25095">
        <w:t xml:space="preserve"> </w:t>
      </w:r>
      <w:r w:rsidRPr="00A2509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витягів становить відповідно 0,03 та 0,05 розміру прожиткового мінімуму для працездатних громадян, встановленого законом на 1</w:t>
      </w:r>
      <w:r w:rsidR="00654AF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 </w:t>
      </w:r>
      <w:r w:rsidRPr="00A2509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січня календарного року (</w:t>
      </w:r>
      <w:r w:rsidRPr="00A25095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станом на 01.01.2021 – </w:t>
      </w:r>
      <w:r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це </w:t>
      </w:r>
      <w:r w:rsidRPr="00A25095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2 270 грн</w:t>
      </w:r>
      <w:r w:rsidRPr="00A2509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), в якому надається відповідна адміністративна послуга, </w:t>
      </w:r>
      <w:r w:rsidR="00E97C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тобто розмір такої плати становитиме </w:t>
      </w:r>
      <w:r w:rsidR="00E97C8A" w:rsidRPr="00A2509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68,1</w:t>
      </w:r>
      <w:r w:rsidR="0045751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 </w:t>
      </w:r>
      <w:r w:rsidR="00E97C8A" w:rsidRPr="00A2509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та</w:t>
      </w:r>
      <w:r w:rsidR="0045751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 </w:t>
      </w:r>
      <w:r w:rsidR="00E97C8A" w:rsidRPr="00A2509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113,5 гривень</w:t>
      </w:r>
      <w:r w:rsidR="008B63E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відповідно</w:t>
      </w:r>
      <w:r w:rsidR="00E97C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A9128C" w:rsidRDefault="00A9128C" w:rsidP="00773D69">
      <w:pPr>
        <w:spacing w:after="0" w:line="30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9128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Таким чином, реалізація запропонованих вище положень законопроекту може зумовити збільшення надходжень державного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бюджету</w:t>
      </w:r>
      <w:r w:rsidRPr="00A9128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від плати за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надання відповідних адміністративних послуг</w:t>
      </w:r>
      <w:r w:rsidR="00E97C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а оцінка такого впливу на показники державного бюджету визначатиметься кількістю запитів на </w:t>
      </w:r>
      <w:r w:rsidR="00E97C8A" w:rsidRPr="00E97C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надання відомостей з Державного земельного кадастру за наслідками практичної реалізації положень законопроекту</w:t>
      </w:r>
      <w:r w:rsidR="00E97C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650A3E" w:rsidRDefault="008726C7" w:rsidP="00773D69">
      <w:pPr>
        <w:spacing w:after="0" w:line="30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Крім того, </w:t>
      </w:r>
      <w:r w:rsidR="00650A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керуючись положеннями частини другої статті 26 </w:t>
      </w:r>
      <w:r w:rsidR="00650A3E" w:rsidRPr="00650A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Закону України «Про землеустрій»</w:t>
      </w:r>
      <w:r w:rsidR="00650A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розробка технічної</w:t>
      </w:r>
      <w:r w:rsidRPr="008726C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документації</w:t>
      </w:r>
      <w:r w:rsidRPr="008726C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із землеустрою щодо встановлення меж режимоутворюючих об’єктів культурної спадщини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650A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здійснюватиметься сертифікованими інженерами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-землевпорядники</w:t>
      </w:r>
      <w:r w:rsidR="00650A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</w:t>
      </w:r>
      <w:r w:rsidR="00654AFD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фізичними особами-</w:t>
      </w:r>
      <w:r w:rsidR="00650A3E" w:rsidRPr="00650A3E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підприємцями та юридичними особами, які  володіють необхідним технічним і технологічним забезпеченням</w:t>
      </w:r>
      <w:r w:rsidR="00650A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) на умовах договору, що </w:t>
      </w:r>
      <w:r w:rsidR="00650A3E" w:rsidRPr="00650A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може призвести до зміни </w:t>
      </w:r>
      <w:r w:rsidR="00650A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їх </w:t>
      </w:r>
      <w:r w:rsidR="00650A3E" w:rsidRPr="00650A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фінансово-економічного стану та податкоспроможності та до відповідного збільшення надходжень державного і місцевих бюджетів від сплачених ними податків і зборів.</w:t>
      </w:r>
    </w:p>
    <w:p w:rsidR="00773D69" w:rsidRDefault="00773D69" w:rsidP="00773D69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91044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підсумками</w:t>
      </w:r>
      <w:r w:rsidRPr="0091044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розгляду Комітет прийняв рішення, що проект </w:t>
      </w:r>
      <w:r w:rsidRPr="00773D6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Закону України «Про внесення змін до Закону України «Про землеустрій» щодо уніфікації деяких видів документації із землеустрою» (</w:t>
      </w:r>
      <w:r w:rsidR="0088430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реєстр. № 4515 від 18.12.2020),</w:t>
      </w:r>
      <w:r w:rsidRPr="00773D6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поданий Кабінетом Міністрів України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r w:rsidRPr="00773D6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мож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е</w:t>
      </w:r>
      <w:r w:rsidRPr="00773D6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мати опосередкований вплив на показники бюджетів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(</w:t>
      </w:r>
      <w:r w:rsidR="00E97C8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може зумовити збільшення надходжень державного та місцевих бюджетів залежно від результатів практичної реалізації положень законопроекту).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842505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У разі прийняття відповідного закону він може набирати чинності згідно із законодавством.</w:t>
      </w:r>
    </w:p>
    <w:p w:rsidR="00773D69" w:rsidRDefault="00773D69" w:rsidP="00773D69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773D69" w:rsidRPr="00910449" w:rsidRDefault="00773D69" w:rsidP="00773D69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773D69" w:rsidRPr="006B567D" w:rsidRDefault="00773D69" w:rsidP="00773D69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z w:val="16"/>
          <w:szCs w:val="28"/>
          <w:highlight w:val="yellow"/>
          <w:shd w:val="clear" w:color="auto" w:fill="FFFFFF"/>
          <w:lang w:val="uk-UA" w:eastAsia="ru-RU"/>
        </w:rPr>
      </w:pPr>
    </w:p>
    <w:p w:rsidR="00773D69" w:rsidRPr="00072559" w:rsidRDefault="00773D69" w:rsidP="00773D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32"/>
          <w:szCs w:val="28"/>
          <w:shd w:val="clear" w:color="auto" w:fill="FFFFFF"/>
          <w:lang w:val="uk-UA" w:eastAsia="ru-RU"/>
        </w:rPr>
      </w:pPr>
      <w:r w:rsidRPr="00072559">
        <w:rPr>
          <w:rFonts w:ascii="Times New Roman" w:eastAsia="Times New Roman" w:hAnsi="Times New Roman"/>
          <w:b/>
          <w:sz w:val="28"/>
          <w:szCs w:val="27"/>
          <w:lang w:eastAsia="ru-RU"/>
        </w:rPr>
        <w:t xml:space="preserve">Голова Комітету                                                                               </w:t>
      </w:r>
      <w:r w:rsidRPr="00072559">
        <w:rPr>
          <w:rFonts w:ascii="Times New Roman" w:eastAsia="Times New Roman" w:hAnsi="Times New Roman"/>
          <w:b/>
          <w:sz w:val="28"/>
          <w:szCs w:val="27"/>
          <w:lang w:val="uk-UA" w:eastAsia="ru-RU"/>
        </w:rPr>
        <w:t xml:space="preserve">           </w:t>
      </w:r>
      <w:r>
        <w:rPr>
          <w:rFonts w:ascii="Times New Roman" w:eastAsia="Times New Roman" w:hAnsi="Times New Roman"/>
          <w:b/>
          <w:sz w:val="28"/>
          <w:szCs w:val="27"/>
          <w:lang w:val="uk-UA" w:eastAsia="ru-RU"/>
        </w:rPr>
        <w:t xml:space="preserve">    </w:t>
      </w:r>
      <w:r w:rsidRPr="00072559">
        <w:rPr>
          <w:rFonts w:ascii="Times New Roman" w:eastAsia="Times New Roman" w:hAnsi="Times New Roman"/>
          <w:b/>
          <w:sz w:val="28"/>
          <w:szCs w:val="27"/>
          <w:lang w:eastAsia="ru-RU"/>
        </w:rPr>
        <w:t>Ю.Ю. А</w:t>
      </w:r>
      <w:r w:rsidRPr="00072559">
        <w:rPr>
          <w:rFonts w:ascii="Times New Roman" w:eastAsia="Times New Roman" w:hAnsi="Times New Roman"/>
          <w:b/>
          <w:sz w:val="28"/>
          <w:szCs w:val="27"/>
          <w:lang w:val="uk-UA" w:eastAsia="ru-RU"/>
        </w:rPr>
        <w:t>рістов</w:t>
      </w:r>
    </w:p>
    <w:p w:rsidR="00773D69" w:rsidRDefault="00773D69" w:rsidP="008726C7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94B52" w:rsidRDefault="00294B52" w:rsidP="008726C7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650A3E" w:rsidRDefault="00650A3E" w:rsidP="008726C7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17168A" w:rsidRDefault="0017168A" w:rsidP="00742153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17168A" w:rsidRDefault="0017168A" w:rsidP="00742153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17168A" w:rsidRDefault="0017168A" w:rsidP="00742153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9A2663" w:rsidRDefault="009A2663" w:rsidP="00773D69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F349D9" w:rsidRPr="00144A36" w:rsidRDefault="00F349D9" w:rsidP="00144A3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sectPr w:rsidR="00F349D9" w:rsidRPr="00144A36" w:rsidSect="006E2E2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737" w:bottom="993" w:left="96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742" w:rsidRDefault="00FE2742" w:rsidP="005E306B">
      <w:pPr>
        <w:spacing w:after="0" w:line="240" w:lineRule="auto"/>
      </w:pPr>
      <w:r>
        <w:separator/>
      </w:r>
    </w:p>
  </w:endnote>
  <w:endnote w:type="continuationSeparator" w:id="0">
    <w:p w:rsidR="00FE2742" w:rsidRDefault="00FE2742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80033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15D77" w:rsidRPr="000E61EA" w:rsidRDefault="00815D77">
        <w:pPr>
          <w:pStyle w:val="a5"/>
          <w:jc w:val="right"/>
          <w:rPr>
            <w:rFonts w:ascii="Times New Roman" w:hAnsi="Times New Roman"/>
            <w:sz w:val="24"/>
          </w:rPr>
        </w:pPr>
        <w:r w:rsidRPr="000E61EA">
          <w:rPr>
            <w:rFonts w:ascii="Times New Roman" w:hAnsi="Times New Roman"/>
            <w:sz w:val="24"/>
          </w:rPr>
          <w:fldChar w:fldCharType="begin"/>
        </w:r>
        <w:r w:rsidRPr="000E61EA">
          <w:rPr>
            <w:rFonts w:ascii="Times New Roman" w:hAnsi="Times New Roman"/>
            <w:sz w:val="24"/>
          </w:rPr>
          <w:instrText>PAGE   \* MERGEFORMAT</w:instrText>
        </w:r>
        <w:r w:rsidRPr="000E61EA">
          <w:rPr>
            <w:rFonts w:ascii="Times New Roman" w:hAnsi="Times New Roman"/>
            <w:sz w:val="24"/>
          </w:rPr>
          <w:fldChar w:fldCharType="separate"/>
        </w:r>
        <w:r w:rsidR="002E3703" w:rsidRPr="002E3703">
          <w:rPr>
            <w:rFonts w:ascii="Times New Roman" w:hAnsi="Times New Roman"/>
            <w:noProof/>
            <w:sz w:val="24"/>
            <w:lang w:val="uk-UA"/>
          </w:rPr>
          <w:t>3</w:t>
        </w:r>
        <w:r w:rsidRPr="000E61EA">
          <w:rPr>
            <w:rFonts w:ascii="Times New Roman" w:hAnsi="Times New Roman"/>
            <w:sz w:val="24"/>
          </w:rPr>
          <w:fldChar w:fldCharType="end"/>
        </w:r>
      </w:p>
    </w:sdtContent>
  </w:sdt>
  <w:p w:rsidR="00815D77" w:rsidRDefault="00815D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FE2742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742" w:rsidRDefault="00FE2742" w:rsidP="005E306B">
      <w:pPr>
        <w:spacing w:after="0" w:line="240" w:lineRule="auto"/>
      </w:pPr>
      <w:r>
        <w:separator/>
      </w:r>
    </w:p>
  </w:footnote>
  <w:footnote w:type="continuationSeparator" w:id="0">
    <w:p w:rsidR="00FE2742" w:rsidRDefault="00FE2742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E6F0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914E4E" w:rsidP="00C86EE5">
          <w:pPr>
            <w:pStyle w:val="a3"/>
            <w:tabs>
              <w:tab w:val="clear" w:pos="4677"/>
              <w:tab w:val="clear" w:pos="9355"/>
            </w:tabs>
            <w:ind w:left="180"/>
            <w:rPr>
              <w:rFonts w:ascii="Times New Roman" w:hAnsi="Times New Roman"/>
              <w:color w:val="002060"/>
              <w:sz w:val="32"/>
              <w:szCs w:val="32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3306887</wp:posOffset>
                </wp:positionH>
                <wp:positionV relativeFrom="paragraph">
                  <wp:posOffset>15543</wp:posOffset>
                </wp:positionV>
                <wp:extent cx="461010" cy="636905"/>
                <wp:effectExtent l="0" t="0" r="0" b="0"/>
                <wp:wrapSquare wrapText="bothSides"/>
                <wp:docPr id="4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C27AE9" w:rsidP="00914E4E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тел.: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2144" w:type="dxa"/>
      <w:tblInd w:w="-993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971"/>
      <w:gridCol w:w="1086"/>
    </w:tblGrid>
    <w:tr w:rsidR="00811821" w:rsidRPr="00053776" w:rsidTr="00B3465D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971" w:type="dxa"/>
        </w:tcPr>
        <w:p w:rsidR="00811821" w:rsidRPr="00053776" w:rsidRDefault="00811821" w:rsidP="00B3465D">
          <w:pPr>
            <w:pStyle w:val="a3"/>
            <w:tabs>
              <w:tab w:val="clear" w:pos="4677"/>
              <w:tab w:val="clear" w:pos="9355"/>
            </w:tabs>
            <w:ind w:right="-365"/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A0587"/>
    <w:multiLevelType w:val="hybridMultilevel"/>
    <w:tmpl w:val="7B0E5162"/>
    <w:lvl w:ilvl="0" w:tplc="2E8E4DC4">
      <w:start w:val="1"/>
      <w:numFmt w:val="decimal"/>
      <w:lvlText w:val="%1."/>
      <w:lvlJc w:val="left"/>
      <w:pPr>
        <w:ind w:left="748" w:hanging="1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3F1C"/>
    <w:rsid w:val="00010805"/>
    <w:rsid w:val="000163C3"/>
    <w:rsid w:val="00022D5A"/>
    <w:rsid w:val="0002665B"/>
    <w:rsid w:val="000267AB"/>
    <w:rsid w:val="0004046F"/>
    <w:rsid w:val="000408C2"/>
    <w:rsid w:val="00042E19"/>
    <w:rsid w:val="000504F7"/>
    <w:rsid w:val="0005492B"/>
    <w:rsid w:val="00054F3F"/>
    <w:rsid w:val="00062DF2"/>
    <w:rsid w:val="00064136"/>
    <w:rsid w:val="000719CF"/>
    <w:rsid w:val="0009487C"/>
    <w:rsid w:val="0009535C"/>
    <w:rsid w:val="0009755E"/>
    <w:rsid w:val="000A35CC"/>
    <w:rsid w:val="000A6A3B"/>
    <w:rsid w:val="000B3917"/>
    <w:rsid w:val="000C5062"/>
    <w:rsid w:val="000D1B46"/>
    <w:rsid w:val="000E61EA"/>
    <w:rsid w:val="000E6221"/>
    <w:rsid w:val="000F1586"/>
    <w:rsid w:val="000F7782"/>
    <w:rsid w:val="00100031"/>
    <w:rsid w:val="00101582"/>
    <w:rsid w:val="001027FE"/>
    <w:rsid w:val="00103605"/>
    <w:rsid w:val="0010442E"/>
    <w:rsid w:val="00112363"/>
    <w:rsid w:val="00132CCF"/>
    <w:rsid w:val="00134CDC"/>
    <w:rsid w:val="00134E1D"/>
    <w:rsid w:val="001371A7"/>
    <w:rsid w:val="00137ACF"/>
    <w:rsid w:val="00141617"/>
    <w:rsid w:val="00143874"/>
    <w:rsid w:val="00144A36"/>
    <w:rsid w:val="0014679E"/>
    <w:rsid w:val="00147A2D"/>
    <w:rsid w:val="001500D6"/>
    <w:rsid w:val="001617CF"/>
    <w:rsid w:val="001627D8"/>
    <w:rsid w:val="0016687B"/>
    <w:rsid w:val="0017168A"/>
    <w:rsid w:val="001744D5"/>
    <w:rsid w:val="00176695"/>
    <w:rsid w:val="00187C65"/>
    <w:rsid w:val="00190419"/>
    <w:rsid w:val="0019108F"/>
    <w:rsid w:val="0019231B"/>
    <w:rsid w:val="00195A86"/>
    <w:rsid w:val="00195FA8"/>
    <w:rsid w:val="001960E0"/>
    <w:rsid w:val="001966F0"/>
    <w:rsid w:val="001A5C9B"/>
    <w:rsid w:val="001A7C91"/>
    <w:rsid w:val="001B6FC1"/>
    <w:rsid w:val="001C619E"/>
    <w:rsid w:val="001D0C84"/>
    <w:rsid w:val="001D3C24"/>
    <w:rsid w:val="001D4805"/>
    <w:rsid w:val="001E72E1"/>
    <w:rsid w:val="001F4976"/>
    <w:rsid w:val="001F6485"/>
    <w:rsid w:val="001F6A3C"/>
    <w:rsid w:val="002058CB"/>
    <w:rsid w:val="00207756"/>
    <w:rsid w:val="0021032F"/>
    <w:rsid w:val="0021338C"/>
    <w:rsid w:val="00217320"/>
    <w:rsid w:val="00220319"/>
    <w:rsid w:val="00220A14"/>
    <w:rsid w:val="00222001"/>
    <w:rsid w:val="0022684E"/>
    <w:rsid w:val="002274D0"/>
    <w:rsid w:val="00235111"/>
    <w:rsid w:val="00235CD7"/>
    <w:rsid w:val="0023739B"/>
    <w:rsid w:val="00243D4F"/>
    <w:rsid w:val="00255217"/>
    <w:rsid w:val="0026232A"/>
    <w:rsid w:val="0026760C"/>
    <w:rsid w:val="00272170"/>
    <w:rsid w:val="00273233"/>
    <w:rsid w:val="0028129D"/>
    <w:rsid w:val="00293C71"/>
    <w:rsid w:val="00294133"/>
    <w:rsid w:val="00294B52"/>
    <w:rsid w:val="00296C67"/>
    <w:rsid w:val="002A1F65"/>
    <w:rsid w:val="002A2985"/>
    <w:rsid w:val="002A53AD"/>
    <w:rsid w:val="002A5D4C"/>
    <w:rsid w:val="002B179D"/>
    <w:rsid w:val="002B4054"/>
    <w:rsid w:val="002B5CCE"/>
    <w:rsid w:val="002B5FC1"/>
    <w:rsid w:val="002C158A"/>
    <w:rsid w:val="002C2E27"/>
    <w:rsid w:val="002C3A72"/>
    <w:rsid w:val="002D0561"/>
    <w:rsid w:val="002D3568"/>
    <w:rsid w:val="002D6824"/>
    <w:rsid w:val="002E0A18"/>
    <w:rsid w:val="002E2837"/>
    <w:rsid w:val="002E31BF"/>
    <w:rsid w:val="002E3703"/>
    <w:rsid w:val="002E42AD"/>
    <w:rsid w:val="002E44DA"/>
    <w:rsid w:val="00311A36"/>
    <w:rsid w:val="0031593F"/>
    <w:rsid w:val="00322EB6"/>
    <w:rsid w:val="00323BA0"/>
    <w:rsid w:val="00324CDE"/>
    <w:rsid w:val="00326F25"/>
    <w:rsid w:val="003278CC"/>
    <w:rsid w:val="00330578"/>
    <w:rsid w:val="0033131D"/>
    <w:rsid w:val="00336D79"/>
    <w:rsid w:val="0034149A"/>
    <w:rsid w:val="00343316"/>
    <w:rsid w:val="00344B36"/>
    <w:rsid w:val="003572E4"/>
    <w:rsid w:val="00362441"/>
    <w:rsid w:val="00363AFD"/>
    <w:rsid w:val="00365483"/>
    <w:rsid w:val="003672EA"/>
    <w:rsid w:val="0037159F"/>
    <w:rsid w:val="00376511"/>
    <w:rsid w:val="00380A7B"/>
    <w:rsid w:val="003A61AC"/>
    <w:rsid w:val="003A78F9"/>
    <w:rsid w:val="003A7FA3"/>
    <w:rsid w:val="003B037A"/>
    <w:rsid w:val="003C390C"/>
    <w:rsid w:val="003C3D70"/>
    <w:rsid w:val="003C5A19"/>
    <w:rsid w:val="003D0996"/>
    <w:rsid w:val="003D1CBA"/>
    <w:rsid w:val="003D2E95"/>
    <w:rsid w:val="003E29E7"/>
    <w:rsid w:val="003E6565"/>
    <w:rsid w:val="003F2FB3"/>
    <w:rsid w:val="003F6756"/>
    <w:rsid w:val="003F7601"/>
    <w:rsid w:val="00406F0E"/>
    <w:rsid w:val="00410125"/>
    <w:rsid w:val="004104F6"/>
    <w:rsid w:val="00411B1B"/>
    <w:rsid w:val="00412EA7"/>
    <w:rsid w:val="004168C8"/>
    <w:rsid w:val="004176C3"/>
    <w:rsid w:val="00431DB9"/>
    <w:rsid w:val="004321FC"/>
    <w:rsid w:val="00432DD5"/>
    <w:rsid w:val="004331B1"/>
    <w:rsid w:val="00442805"/>
    <w:rsid w:val="0044517F"/>
    <w:rsid w:val="00445C8F"/>
    <w:rsid w:val="00451750"/>
    <w:rsid w:val="004525AC"/>
    <w:rsid w:val="0045637E"/>
    <w:rsid w:val="0045751F"/>
    <w:rsid w:val="00462588"/>
    <w:rsid w:val="00462C0E"/>
    <w:rsid w:val="0046566E"/>
    <w:rsid w:val="004717F5"/>
    <w:rsid w:val="00481EB8"/>
    <w:rsid w:val="00485249"/>
    <w:rsid w:val="004852FA"/>
    <w:rsid w:val="0048685B"/>
    <w:rsid w:val="00487248"/>
    <w:rsid w:val="00493045"/>
    <w:rsid w:val="0049793E"/>
    <w:rsid w:val="004A29F5"/>
    <w:rsid w:val="004A6899"/>
    <w:rsid w:val="004B030A"/>
    <w:rsid w:val="004B3546"/>
    <w:rsid w:val="004C0EF3"/>
    <w:rsid w:val="004C53C1"/>
    <w:rsid w:val="004D341B"/>
    <w:rsid w:val="004E4F5C"/>
    <w:rsid w:val="004E5BF3"/>
    <w:rsid w:val="004F2081"/>
    <w:rsid w:val="004F5034"/>
    <w:rsid w:val="004F7B8A"/>
    <w:rsid w:val="00500CE7"/>
    <w:rsid w:val="00501AA0"/>
    <w:rsid w:val="00502510"/>
    <w:rsid w:val="005035AA"/>
    <w:rsid w:val="0050620F"/>
    <w:rsid w:val="005120D1"/>
    <w:rsid w:val="00512F05"/>
    <w:rsid w:val="0051614E"/>
    <w:rsid w:val="0051642D"/>
    <w:rsid w:val="00516766"/>
    <w:rsid w:val="005242D4"/>
    <w:rsid w:val="00530987"/>
    <w:rsid w:val="00534241"/>
    <w:rsid w:val="005403A4"/>
    <w:rsid w:val="005413DF"/>
    <w:rsid w:val="00541B95"/>
    <w:rsid w:val="00545919"/>
    <w:rsid w:val="005459E5"/>
    <w:rsid w:val="00545B9C"/>
    <w:rsid w:val="0055005A"/>
    <w:rsid w:val="0055020B"/>
    <w:rsid w:val="0055188E"/>
    <w:rsid w:val="0055611A"/>
    <w:rsid w:val="0056039F"/>
    <w:rsid w:val="0056352F"/>
    <w:rsid w:val="005640C8"/>
    <w:rsid w:val="00565E7B"/>
    <w:rsid w:val="00566D12"/>
    <w:rsid w:val="00576533"/>
    <w:rsid w:val="00576A1B"/>
    <w:rsid w:val="00585DC7"/>
    <w:rsid w:val="005870A8"/>
    <w:rsid w:val="00592932"/>
    <w:rsid w:val="00592C72"/>
    <w:rsid w:val="00592EC1"/>
    <w:rsid w:val="005931F6"/>
    <w:rsid w:val="005948E2"/>
    <w:rsid w:val="00595908"/>
    <w:rsid w:val="00596E7B"/>
    <w:rsid w:val="005973A6"/>
    <w:rsid w:val="005A4728"/>
    <w:rsid w:val="005B12D8"/>
    <w:rsid w:val="005B6347"/>
    <w:rsid w:val="005B6D0D"/>
    <w:rsid w:val="005B71F5"/>
    <w:rsid w:val="005C19E0"/>
    <w:rsid w:val="005C1C0F"/>
    <w:rsid w:val="005C2471"/>
    <w:rsid w:val="005C674D"/>
    <w:rsid w:val="005E255E"/>
    <w:rsid w:val="005E306B"/>
    <w:rsid w:val="005E4A22"/>
    <w:rsid w:val="005E5952"/>
    <w:rsid w:val="005F20B5"/>
    <w:rsid w:val="005F671E"/>
    <w:rsid w:val="005F712C"/>
    <w:rsid w:val="005F79FD"/>
    <w:rsid w:val="006015B7"/>
    <w:rsid w:val="006025B8"/>
    <w:rsid w:val="00605628"/>
    <w:rsid w:val="00611884"/>
    <w:rsid w:val="00613C84"/>
    <w:rsid w:val="00617BCF"/>
    <w:rsid w:val="00626A3E"/>
    <w:rsid w:val="0064181B"/>
    <w:rsid w:val="0064551B"/>
    <w:rsid w:val="006508E4"/>
    <w:rsid w:val="00650A3E"/>
    <w:rsid w:val="00651D86"/>
    <w:rsid w:val="00654265"/>
    <w:rsid w:val="00654AFD"/>
    <w:rsid w:val="00654B67"/>
    <w:rsid w:val="00656245"/>
    <w:rsid w:val="00660A04"/>
    <w:rsid w:val="00660B13"/>
    <w:rsid w:val="00660DF7"/>
    <w:rsid w:val="0066504D"/>
    <w:rsid w:val="0066623D"/>
    <w:rsid w:val="00666E03"/>
    <w:rsid w:val="00675C83"/>
    <w:rsid w:val="00675D3F"/>
    <w:rsid w:val="00680FEC"/>
    <w:rsid w:val="0068225F"/>
    <w:rsid w:val="00683A23"/>
    <w:rsid w:val="00684937"/>
    <w:rsid w:val="00694D19"/>
    <w:rsid w:val="006973F2"/>
    <w:rsid w:val="006A17C1"/>
    <w:rsid w:val="006A1BB2"/>
    <w:rsid w:val="006B0193"/>
    <w:rsid w:val="006B321E"/>
    <w:rsid w:val="006B68E1"/>
    <w:rsid w:val="006B6B93"/>
    <w:rsid w:val="006B6F63"/>
    <w:rsid w:val="006B7BDE"/>
    <w:rsid w:val="006C3AD0"/>
    <w:rsid w:val="006C5897"/>
    <w:rsid w:val="006C7FFD"/>
    <w:rsid w:val="006D2AC2"/>
    <w:rsid w:val="006D6E39"/>
    <w:rsid w:val="006D6F6F"/>
    <w:rsid w:val="006D710B"/>
    <w:rsid w:val="006E27E8"/>
    <w:rsid w:val="006E2E2F"/>
    <w:rsid w:val="006E39F4"/>
    <w:rsid w:val="006E6DAC"/>
    <w:rsid w:val="006F10E8"/>
    <w:rsid w:val="006F38F3"/>
    <w:rsid w:val="006F3A3F"/>
    <w:rsid w:val="006F6619"/>
    <w:rsid w:val="007044AA"/>
    <w:rsid w:val="00704F36"/>
    <w:rsid w:val="007134D9"/>
    <w:rsid w:val="00713E93"/>
    <w:rsid w:val="00721779"/>
    <w:rsid w:val="00723AD3"/>
    <w:rsid w:val="0073224C"/>
    <w:rsid w:val="00741826"/>
    <w:rsid w:val="00741A35"/>
    <w:rsid w:val="00742153"/>
    <w:rsid w:val="00752EA6"/>
    <w:rsid w:val="00755A72"/>
    <w:rsid w:val="00756D91"/>
    <w:rsid w:val="00763930"/>
    <w:rsid w:val="007649F3"/>
    <w:rsid w:val="00767A9E"/>
    <w:rsid w:val="00773D69"/>
    <w:rsid w:val="007856CB"/>
    <w:rsid w:val="00785FF2"/>
    <w:rsid w:val="007871B0"/>
    <w:rsid w:val="00787FC5"/>
    <w:rsid w:val="0079185A"/>
    <w:rsid w:val="007A0252"/>
    <w:rsid w:val="007A3250"/>
    <w:rsid w:val="007B040B"/>
    <w:rsid w:val="007B1A71"/>
    <w:rsid w:val="007B31A3"/>
    <w:rsid w:val="007B321E"/>
    <w:rsid w:val="007B5348"/>
    <w:rsid w:val="007B5CB5"/>
    <w:rsid w:val="007C47AA"/>
    <w:rsid w:val="007D24BA"/>
    <w:rsid w:val="007D2B6C"/>
    <w:rsid w:val="007E0B79"/>
    <w:rsid w:val="007E7B8D"/>
    <w:rsid w:val="007F387A"/>
    <w:rsid w:val="007F5D91"/>
    <w:rsid w:val="00801CA1"/>
    <w:rsid w:val="0080545D"/>
    <w:rsid w:val="00805C05"/>
    <w:rsid w:val="00805DCA"/>
    <w:rsid w:val="00810A43"/>
    <w:rsid w:val="00811540"/>
    <w:rsid w:val="00811821"/>
    <w:rsid w:val="00813C69"/>
    <w:rsid w:val="00815D77"/>
    <w:rsid w:val="00824039"/>
    <w:rsid w:val="00824194"/>
    <w:rsid w:val="00827CD6"/>
    <w:rsid w:val="008313D8"/>
    <w:rsid w:val="00836B22"/>
    <w:rsid w:val="0084269F"/>
    <w:rsid w:val="00852DB5"/>
    <w:rsid w:val="00855B2D"/>
    <w:rsid w:val="00866693"/>
    <w:rsid w:val="00867576"/>
    <w:rsid w:val="008726C7"/>
    <w:rsid w:val="00881226"/>
    <w:rsid w:val="00881448"/>
    <w:rsid w:val="0088430E"/>
    <w:rsid w:val="00886B59"/>
    <w:rsid w:val="00890166"/>
    <w:rsid w:val="00891080"/>
    <w:rsid w:val="00891865"/>
    <w:rsid w:val="00892603"/>
    <w:rsid w:val="008A3886"/>
    <w:rsid w:val="008B63E1"/>
    <w:rsid w:val="008B75DC"/>
    <w:rsid w:val="008C288A"/>
    <w:rsid w:val="008C5659"/>
    <w:rsid w:val="008D0011"/>
    <w:rsid w:val="008D0D96"/>
    <w:rsid w:val="008D3392"/>
    <w:rsid w:val="008D7BBE"/>
    <w:rsid w:val="008E230F"/>
    <w:rsid w:val="008E23A4"/>
    <w:rsid w:val="008F36F0"/>
    <w:rsid w:val="00902980"/>
    <w:rsid w:val="009034AB"/>
    <w:rsid w:val="00910EFE"/>
    <w:rsid w:val="0091118B"/>
    <w:rsid w:val="00912D5B"/>
    <w:rsid w:val="009140D6"/>
    <w:rsid w:val="00914E4E"/>
    <w:rsid w:val="00920410"/>
    <w:rsid w:val="00923E50"/>
    <w:rsid w:val="0093147A"/>
    <w:rsid w:val="0093499E"/>
    <w:rsid w:val="00940F85"/>
    <w:rsid w:val="00945B68"/>
    <w:rsid w:val="00947943"/>
    <w:rsid w:val="00947A2D"/>
    <w:rsid w:val="00953189"/>
    <w:rsid w:val="00955F66"/>
    <w:rsid w:val="00957D31"/>
    <w:rsid w:val="0096433F"/>
    <w:rsid w:val="009709BA"/>
    <w:rsid w:val="00972232"/>
    <w:rsid w:val="00973A5A"/>
    <w:rsid w:val="009745BC"/>
    <w:rsid w:val="0097686D"/>
    <w:rsid w:val="009849A8"/>
    <w:rsid w:val="009865D4"/>
    <w:rsid w:val="009907E9"/>
    <w:rsid w:val="009907FB"/>
    <w:rsid w:val="00994255"/>
    <w:rsid w:val="009A2663"/>
    <w:rsid w:val="009A406D"/>
    <w:rsid w:val="009A720A"/>
    <w:rsid w:val="009B6AA8"/>
    <w:rsid w:val="009B7A96"/>
    <w:rsid w:val="009B7D88"/>
    <w:rsid w:val="009C1A3A"/>
    <w:rsid w:val="009D1C27"/>
    <w:rsid w:val="009E0041"/>
    <w:rsid w:val="009E682D"/>
    <w:rsid w:val="009F0913"/>
    <w:rsid w:val="009F7357"/>
    <w:rsid w:val="00A00059"/>
    <w:rsid w:val="00A16BAE"/>
    <w:rsid w:val="00A201A8"/>
    <w:rsid w:val="00A25095"/>
    <w:rsid w:val="00A302D2"/>
    <w:rsid w:val="00A36703"/>
    <w:rsid w:val="00A37B29"/>
    <w:rsid w:val="00A41322"/>
    <w:rsid w:val="00A42787"/>
    <w:rsid w:val="00A42C73"/>
    <w:rsid w:val="00A44054"/>
    <w:rsid w:val="00A47B07"/>
    <w:rsid w:val="00A508EA"/>
    <w:rsid w:val="00A5364F"/>
    <w:rsid w:val="00A54836"/>
    <w:rsid w:val="00A60747"/>
    <w:rsid w:val="00A60C03"/>
    <w:rsid w:val="00A6184A"/>
    <w:rsid w:val="00A627EB"/>
    <w:rsid w:val="00A65032"/>
    <w:rsid w:val="00A66B1C"/>
    <w:rsid w:val="00A71A38"/>
    <w:rsid w:val="00A72F00"/>
    <w:rsid w:val="00A749EF"/>
    <w:rsid w:val="00A75ABF"/>
    <w:rsid w:val="00A761B3"/>
    <w:rsid w:val="00A7635E"/>
    <w:rsid w:val="00A76A60"/>
    <w:rsid w:val="00A833C8"/>
    <w:rsid w:val="00A85870"/>
    <w:rsid w:val="00A865A7"/>
    <w:rsid w:val="00A90267"/>
    <w:rsid w:val="00A9128C"/>
    <w:rsid w:val="00A92009"/>
    <w:rsid w:val="00A94E39"/>
    <w:rsid w:val="00AA3935"/>
    <w:rsid w:val="00AA5498"/>
    <w:rsid w:val="00AA5BD1"/>
    <w:rsid w:val="00AB0C38"/>
    <w:rsid w:val="00AB489F"/>
    <w:rsid w:val="00AB5FDC"/>
    <w:rsid w:val="00AC04A8"/>
    <w:rsid w:val="00AC0BD5"/>
    <w:rsid w:val="00AC152B"/>
    <w:rsid w:val="00AC4571"/>
    <w:rsid w:val="00AC598D"/>
    <w:rsid w:val="00AC7113"/>
    <w:rsid w:val="00AD5712"/>
    <w:rsid w:val="00AD7F82"/>
    <w:rsid w:val="00AE5416"/>
    <w:rsid w:val="00AE5DD8"/>
    <w:rsid w:val="00AF0BED"/>
    <w:rsid w:val="00AF1840"/>
    <w:rsid w:val="00B00C80"/>
    <w:rsid w:val="00B04ECA"/>
    <w:rsid w:val="00B07453"/>
    <w:rsid w:val="00B1045A"/>
    <w:rsid w:val="00B17DFD"/>
    <w:rsid w:val="00B234BC"/>
    <w:rsid w:val="00B23B0B"/>
    <w:rsid w:val="00B24FC3"/>
    <w:rsid w:val="00B26423"/>
    <w:rsid w:val="00B27952"/>
    <w:rsid w:val="00B311E8"/>
    <w:rsid w:val="00B32F7C"/>
    <w:rsid w:val="00B3423D"/>
    <w:rsid w:val="00B3465D"/>
    <w:rsid w:val="00B35473"/>
    <w:rsid w:val="00B37FD3"/>
    <w:rsid w:val="00B4342D"/>
    <w:rsid w:val="00B4446E"/>
    <w:rsid w:val="00B45761"/>
    <w:rsid w:val="00B4612B"/>
    <w:rsid w:val="00B47204"/>
    <w:rsid w:val="00B4780C"/>
    <w:rsid w:val="00B50277"/>
    <w:rsid w:val="00B51A21"/>
    <w:rsid w:val="00B53A6F"/>
    <w:rsid w:val="00B67896"/>
    <w:rsid w:val="00B701B6"/>
    <w:rsid w:val="00B756CC"/>
    <w:rsid w:val="00B85BE9"/>
    <w:rsid w:val="00B96D6E"/>
    <w:rsid w:val="00BA451F"/>
    <w:rsid w:val="00BA62CD"/>
    <w:rsid w:val="00BB1400"/>
    <w:rsid w:val="00BB23CB"/>
    <w:rsid w:val="00BB2832"/>
    <w:rsid w:val="00BC1214"/>
    <w:rsid w:val="00BC7E14"/>
    <w:rsid w:val="00BD0801"/>
    <w:rsid w:val="00BD0AB6"/>
    <w:rsid w:val="00BD10B5"/>
    <w:rsid w:val="00BD2515"/>
    <w:rsid w:val="00BE18FC"/>
    <w:rsid w:val="00BE5AA5"/>
    <w:rsid w:val="00BE6F00"/>
    <w:rsid w:val="00BE7D77"/>
    <w:rsid w:val="00BE7FB9"/>
    <w:rsid w:val="00BF1E95"/>
    <w:rsid w:val="00C04CFB"/>
    <w:rsid w:val="00C07C93"/>
    <w:rsid w:val="00C10857"/>
    <w:rsid w:val="00C11C27"/>
    <w:rsid w:val="00C11FB6"/>
    <w:rsid w:val="00C13838"/>
    <w:rsid w:val="00C224B7"/>
    <w:rsid w:val="00C2558E"/>
    <w:rsid w:val="00C276BE"/>
    <w:rsid w:val="00C27AE9"/>
    <w:rsid w:val="00C30182"/>
    <w:rsid w:val="00C3195C"/>
    <w:rsid w:val="00C33B99"/>
    <w:rsid w:val="00C434B6"/>
    <w:rsid w:val="00C449D3"/>
    <w:rsid w:val="00C54F30"/>
    <w:rsid w:val="00C558AC"/>
    <w:rsid w:val="00C57464"/>
    <w:rsid w:val="00C61B53"/>
    <w:rsid w:val="00C63EFB"/>
    <w:rsid w:val="00C65F1A"/>
    <w:rsid w:val="00C76BC1"/>
    <w:rsid w:val="00C805B1"/>
    <w:rsid w:val="00C851B2"/>
    <w:rsid w:val="00C86266"/>
    <w:rsid w:val="00C863AC"/>
    <w:rsid w:val="00C86EE5"/>
    <w:rsid w:val="00C90864"/>
    <w:rsid w:val="00C92F3D"/>
    <w:rsid w:val="00C94293"/>
    <w:rsid w:val="00CA1748"/>
    <w:rsid w:val="00CA2C8B"/>
    <w:rsid w:val="00CA489C"/>
    <w:rsid w:val="00CA5949"/>
    <w:rsid w:val="00CA7044"/>
    <w:rsid w:val="00CA71B6"/>
    <w:rsid w:val="00CB0708"/>
    <w:rsid w:val="00CC108C"/>
    <w:rsid w:val="00CC15F5"/>
    <w:rsid w:val="00CC39A1"/>
    <w:rsid w:val="00CC4CD5"/>
    <w:rsid w:val="00CC722D"/>
    <w:rsid w:val="00CD32C8"/>
    <w:rsid w:val="00CD4A38"/>
    <w:rsid w:val="00CE324D"/>
    <w:rsid w:val="00CE3E1B"/>
    <w:rsid w:val="00CE6A4B"/>
    <w:rsid w:val="00CF35D4"/>
    <w:rsid w:val="00D00DCB"/>
    <w:rsid w:val="00D01667"/>
    <w:rsid w:val="00D13100"/>
    <w:rsid w:val="00D208F6"/>
    <w:rsid w:val="00D22048"/>
    <w:rsid w:val="00D242C2"/>
    <w:rsid w:val="00D36C51"/>
    <w:rsid w:val="00D37FA2"/>
    <w:rsid w:val="00D52549"/>
    <w:rsid w:val="00D57E1B"/>
    <w:rsid w:val="00D6683A"/>
    <w:rsid w:val="00D71DD4"/>
    <w:rsid w:val="00D84E6D"/>
    <w:rsid w:val="00D85A8E"/>
    <w:rsid w:val="00D8677C"/>
    <w:rsid w:val="00D93BAB"/>
    <w:rsid w:val="00D95D1D"/>
    <w:rsid w:val="00DA03B2"/>
    <w:rsid w:val="00DA279F"/>
    <w:rsid w:val="00DA2D2A"/>
    <w:rsid w:val="00DA677B"/>
    <w:rsid w:val="00DB1DB6"/>
    <w:rsid w:val="00DB51A2"/>
    <w:rsid w:val="00DB73C6"/>
    <w:rsid w:val="00DC048F"/>
    <w:rsid w:val="00DC0B98"/>
    <w:rsid w:val="00DC30C7"/>
    <w:rsid w:val="00DD291F"/>
    <w:rsid w:val="00DD7E2E"/>
    <w:rsid w:val="00DE7AF4"/>
    <w:rsid w:val="00DF0115"/>
    <w:rsid w:val="00DF2079"/>
    <w:rsid w:val="00DF391B"/>
    <w:rsid w:val="00DF3CBE"/>
    <w:rsid w:val="00DF7F8F"/>
    <w:rsid w:val="00E00139"/>
    <w:rsid w:val="00E01038"/>
    <w:rsid w:val="00E05ED5"/>
    <w:rsid w:val="00E16B90"/>
    <w:rsid w:val="00E21FE0"/>
    <w:rsid w:val="00E22BBF"/>
    <w:rsid w:val="00E27796"/>
    <w:rsid w:val="00E30B75"/>
    <w:rsid w:val="00E355DA"/>
    <w:rsid w:val="00E37915"/>
    <w:rsid w:val="00E41F3C"/>
    <w:rsid w:val="00E45180"/>
    <w:rsid w:val="00E4653D"/>
    <w:rsid w:val="00E56DC2"/>
    <w:rsid w:val="00E82139"/>
    <w:rsid w:val="00E84085"/>
    <w:rsid w:val="00E843B6"/>
    <w:rsid w:val="00E870E6"/>
    <w:rsid w:val="00E93AD6"/>
    <w:rsid w:val="00E97C8A"/>
    <w:rsid w:val="00EA00DA"/>
    <w:rsid w:val="00EA6699"/>
    <w:rsid w:val="00EB1156"/>
    <w:rsid w:val="00EB1495"/>
    <w:rsid w:val="00EB3217"/>
    <w:rsid w:val="00EE5484"/>
    <w:rsid w:val="00EF0FAE"/>
    <w:rsid w:val="00EF22E4"/>
    <w:rsid w:val="00EF267E"/>
    <w:rsid w:val="00EF5BA4"/>
    <w:rsid w:val="00F001C1"/>
    <w:rsid w:val="00F067DF"/>
    <w:rsid w:val="00F1365B"/>
    <w:rsid w:val="00F20448"/>
    <w:rsid w:val="00F211FD"/>
    <w:rsid w:val="00F2429E"/>
    <w:rsid w:val="00F33AC7"/>
    <w:rsid w:val="00F349D9"/>
    <w:rsid w:val="00F34C57"/>
    <w:rsid w:val="00F356E6"/>
    <w:rsid w:val="00F4254B"/>
    <w:rsid w:val="00F45463"/>
    <w:rsid w:val="00F45EE5"/>
    <w:rsid w:val="00F47A5D"/>
    <w:rsid w:val="00F500D3"/>
    <w:rsid w:val="00F5254C"/>
    <w:rsid w:val="00F5357C"/>
    <w:rsid w:val="00F55423"/>
    <w:rsid w:val="00F571FC"/>
    <w:rsid w:val="00F64337"/>
    <w:rsid w:val="00F7122D"/>
    <w:rsid w:val="00F726BA"/>
    <w:rsid w:val="00F72C19"/>
    <w:rsid w:val="00F75824"/>
    <w:rsid w:val="00F766F9"/>
    <w:rsid w:val="00F76883"/>
    <w:rsid w:val="00F77336"/>
    <w:rsid w:val="00F80721"/>
    <w:rsid w:val="00F80D83"/>
    <w:rsid w:val="00F91DD3"/>
    <w:rsid w:val="00F94042"/>
    <w:rsid w:val="00F946BA"/>
    <w:rsid w:val="00F96DA4"/>
    <w:rsid w:val="00F97E8C"/>
    <w:rsid w:val="00F97EB1"/>
    <w:rsid w:val="00F97F5F"/>
    <w:rsid w:val="00FA02EB"/>
    <w:rsid w:val="00FA364B"/>
    <w:rsid w:val="00FB0D15"/>
    <w:rsid w:val="00FB26CC"/>
    <w:rsid w:val="00FB51F2"/>
    <w:rsid w:val="00FC150B"/>
    <w:rsid w:val="00FC3DF4"/>
    <w:rsid w:val="00FC4728"/>
    <w:rsid w:val="00FE1B79"/>
    <w:rsid w:val="00FE2558"/>
    <w:rsid w:val="00FE2742"/>
    <w:rsid w:val="00FE3210"/>
    <w:rsid w:val="00FE7182"/>
    <w:rsid w:val="00FF1F77"/>
    <w:rsid w:val="00FF3963"/>
    <w:rsid w:val="00FF548D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F53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96D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F79F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5B12D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12D8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5B12D8"/>
    <w:rPr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12D8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5B12D8"/>
    <w:rPr>
      <w:b/>
      <w:bCs/>
      <w:sz w:val="20"/>
      <w:szCs w:val="20"/>
      <w:lang w:val="ru-RU"/>
    </w:rPr>
  </w:style>
  <w:style w:type="paragraph" w:customStyle="1" w:styleId="rvps2">
    <w:name w:val="rvps2"/>
    <w:basedOn w:val="a"/>
    <w:rsid w:val="001C6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96D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F5357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37197-929D-4A0C-BC8E-BF9E119E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4566</TotalTime>
  <Pages>3</Pages>
  <Words>3361</Words>
  <Characters>1917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Стадник Марина Вікторівна</cp:lastModifiedBy>
  <cp:revision>393</cp:revision>
  <cp:lastPrinted>2021-02-24T11:11:00Z</cp:lastPrinted>
  <dcterms:created xsi:type="dcterms:W3CDTF">2020-02-07T09:35:00Z</dcterms:created>
  <dcterms:modified xsi:type="dcterms:W3CDTF">2021-03-16T15:24:00Z</dcterms:modified>
</cp:coreProperties>
</file>