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B532A" w14:textId="77777777" w:rsidR="00CC6A86" w:rsidRPr="00BD7461" w:rsidRDefault="000B0F26" w:rsidP="00037B8D">
      <w:pPr>
        <w:pStyle w:val="rvps6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4D6FFB">
        <w:rPr>
          <w:b/>
          <w:sz w:val="28"/>
          <w:szCs w:val="28"/>
        </w:rPr>
        <w:t>ПОЯСНЮВАЛЬНА ЗАПИСКА</w:t>
      </w:r>
      <w:r w:rsidRPr="004D6FFB">
        <w:rPr>
          <w:b/>
          <w:sz w:val="28"/>
          <w:szCs w:val="28"/>
        </w:rPr>
        <w:br/>
      </w:r>
      <w:r w:rsidR="00635340" w:rsidRPr="007E6804">
        <w:rPr>
          <w:b/>
          <w:sz w:val="28"/>
          <w:szCs w:val="28"/>
        </w:rPr>
        <w:t>до про</w:t>
      </w:r>
      <w:r w:rsidR="00BD7461">
        <w:rPr>
          <w:b/>
          <w:sz w:val="28"/>
          <w:szCs w:val="28"/>
        </w:rPr>
        <w:t>є</w:t>
      </w:r>
      <w:r w:rsidR="00635340" w:rsidRPr="007E6804">
        <w:rPr>
          <w:b/>
          <w:sz w:val="28"/>
          <w:szCs w:val="28"/>
        </w:rPr>
        <w:t>кту Закону України</w:t>
      </w:r>
    </w:p>
    <w:p w14:paraId="17923878" w14:textId="77777777" w:rsidR="00635340" w:rsidRDefault="00635340" w:rsidP="00037B8D">
      <w:pPr>
        <w:pStyle w:val="rvps6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Style w:val="rvts23"/>
          <w:b/>
          <w:bCs/>
        </w:rPr>
      </w:pPr>
      <w:r w:rsidRPr="007E6804">
        <w:rPr>
          <w:b/>
          <w:sz w:val="28"/>
          <w:szCs w:val="28"/>
        </w:rPr>
        <w:t>«</w:t>
      </w:r>
      <w:r w:rsidR="00D93910" w:rsidRPr="00D93910">
        <w:rPr>
          <w:rStyle w:val="rvts23"/>
          <w:b/>
          <w:bCs/>
          <w:color w:val="000000"/>
          <w:sz w:val="28"/>
          <w:szCs w:val="28"/>
        </w:rPr>
        <w:t>Про внесення змін до Кодексу України про адміністративні правопорушення та Кримінального процесуального кодексу України стосовно удосконалення державної політики управління об’єктами державної і комунальної власності</w:t>
      </w:r>
      <w:r w:rsidR="00CC6A86" w:rsidRPr="00CC6A86">
        <w:rPr>
          <w:rStyle w:val="rvts23"/>
          <w:b/>
          <w:bCs/>
        </w:rPr>
        <w:t>»</w:t>
      </w:r>
    </w:p>
    <w:p w14:paraId="5F8D0EA3" w14:textId="77777777" w:rsidR="0053407D" w:rsidRPr="00CC6A86" w:rsidRDefault="0053407D" w:rsidP="00037B8D">
      <w:pPr>
        <w:widowControl w:val="0"/>
        <w:spacing w:line="240" w:lineRule="auto"/>
        <w:ind w:firstLine="709"/>
        <w:jc w:val="center"/>
        <w:rPr>
          <w:b/>
        </w:rPr>
      </w:pPr>
    </w:p>
    <w:p w14:paraId="41776226" w14:textId="77777777" w:rsidR="00FF2146" w:rsidRPr="00FF2146" w:rsidRDefault="00FF2146" w:rsidP="00037B8D">
      <w:pPr>
        <w:spacing w:line="240" w:lineRule="auto"/>
        <w:ind w:firstLine="709"/>
        <w:jc w:val="left"/>
        <w:outlineLvl w:val="1"/>
        <w:rPr>
          <w:rFonts w:eastAsia="Calibri"/>
          <w:b/>
          <w:lang w:eastAsia="uk-UA"/>
        </w:rPr>
      </w:pPr>
      <w:r w:rsidRPr="00FF2146">
        <w:rPr>
          <w:rFonts w:eastAsia="Calibri"/>
          <w:b/>
          <w:lang w:eastAsia="uk-UA"/>
        </w:rPr>
        <w:t>1. Обґрунтування необхідності прийняття акту</w:t>
      </w:r>
    </w:p>
    <w:p w14:paraId="1BFD2AF7" w14:textId="77777777" w:rsidR="00CC6A86" w:rsidRPr="00FF2146" w:rsidRDefault="00CC6A86" w:rsidP="00037B8D">
      <w:pPr>
        <w:spacing w:line="240" w:lineRule="auto"/>
        <w:ind w:firstLine="709"/>
      </w:pPr>
      <w:r w:rsidRPr="00FF2146">
        <w:t xml:space="preserve">На сьогодні в Україні у державній власності залишається найбільша в Європі частка державних підприємств. </w:t>
      </w:r>
      <w:r w:rsidR="003B67E7" w:rsidRPr="00FF2146">
        <w:t xml:space="preserve">Із більше ніж 3 тис. державних підприємств майже половина працює неефективно або не веде господарської діяльності. </w:t>
      </w:r>
      <w:r w:rsidRPr="00FF2146">
        <w:t xml:space="preserve">Аналіз результатів діяльності підприємств </w:t>
      </w:r>
      <w:r w:rsidR="003B67E7" w:rsidRPr="00FF2146">
        <w:t xml:space="preserve">державного сектору економіки засвідчує </w:t>
      </w:r>
      <w:r w:rsidRPr="00FF2146">
        <w:t xml:space="preserve">низьку ефективність системи державного управління, </w:t>
      </w:r>
      <w:r w:rsidR="008728F8" w:rsidRPr="00FF2146">
        <w:t xml:space="preserve">високий ризик створення і існування корупційних схем, </w:t>
      </w:r>
      <w:r w:rsidR="003B67E7" w:rsidRPr="00FF2146">
        <w:t xml:space="preserve">нагальну </w:t>
      </w:r>
      <w:r w:rsidRPr="00FF2146">
        <w:t xml:space="preserve">необхідність інвестування </w:t>
      </w:r>
      <w:r w:rsidR="003B67E7" w:rsidRPr="00FF2146">
        <w:t xml:space="preserve">в ці підприємства </w:t>
      </w:r>
      <w:r w:rsidRPr="00FF2146">
        <w:t xml:space="preserve">з метою модернізації </w:t>
      </w:r>
      <w:r w:rsidR="003B67E7" w:rsidRPr="00FF2146">
        <w:t xml:space="preserve">їх </w:t>
      </w:r>
      <w:r w:rsidRPr="00FF2146">
        <w:t>застарілих технологічних процесів</w:t>
      </w:r>
      <w:r w:rsidR="008728F8" w:rsidRPr="00FF2146">
        <w:t>, перебудови системи управління ними із застосуванням кращих міжнародних практик</w:t>
      </w:r>
      <w:r w:rsidRPr="00FF2146">
        <w:t>. Поряд з цим державні ресурси є вкрай обмеженими, тому пошук ефективного власника, залучення інвестицій у ці підприємства в процесі приватизації є першочерговим завданням для забезпечення ефективності функціонування економіки</w:t>
      </w:r>
      <w:r w:rsidR="008728F8" w:rsidRPr="00FF2146">
        <w:t>, сприяння сталому розвитку держави</w:t>
      </w:r>
      <w:r w:rsidRPr="00FF2146">
        <w:t>.</w:t>
      </w:r>
    </w:p>
    <w:p w14:paraId="5A66136E" w14:textId="77777777" w:rsidR="00CC6A86" w:rsidRDefault="00CC6A86" w:rsidP="00037B8D">
      <w:pPr>
        <w:spacing w:line="240" w:lineRule="auto"/>
        <w:ind w:firstLine="709"/>
      </w:pPr>
      <w:r>
        <w:t>Указом Президента України від 20 вересня 2019 року №</w:t>
      </w:r>
      <w:r w:rsidR="00BD7461">
        <w:t xml:space="preserve"> </w:t>
      </w:r>
      <w:r>
        <w:t>713/2019 «Про невідкладні заходи щодо забезпечення економічного зростання, стимулювання розвитку регіонів та запобігання корупції» передбачено активізацію приватизації державного майна, пошук ефективного власника, і як наслідок, залучення інвестицій та забезпечення зростання ефективності економіки України.</w:t>
      </w:r>
    </w:p>
    <w:p w14:paraId="19044AAA" w14:textId="77777777" w:rsidR="007B22D5" w:rsidRDefault="007B22D5" w:rsidP="00037B8D">
      <w:pPr>
        <w:spacing w:line="240" w:lineRule="auto"/>
        <w:ind w:firstLine="709"/>
      </w:pPr>
      <w:r>
        <w:t>Проте, з</w:t>
      </w:r>
      <w:r w:rsidRPr="007B22D5">
        <w:t>ловживання процесуальними правами та ініціювання судових спорів є розповсюдженим способом зупинення процесу приватизації. Це суперечить державній політиці у сфері приватизації, зменшує надходження до державного бюджету та сприяє незаконному відчуженню об’єктів державної та комунальної власності. Ефективних засобів правового захисту проти зловживання правами в доктрині права України не існує, відповідно, у органів приватизації відсутні можливості, окрім втягнення в судові спори, для протидії очевидним спробам загальмувати продаж об’єкт</w:t>
      </w:r>
      <w:r w:rsidR="00D176E2">
        <w:t>ів</w:t>
      </w:r>
      <w:r w:rsidRPr="007B22D5">
        <w:t xml:space="preserve"> приватизації. </w:t>
      </w:r>
    </w:p>
    <w:p w14:paraId="54B11E38" w14:textId="77777777" w:rsidR="006A611E" w:rsidRPr="006A611E" w:rsidRDefault="006A611E" w:rsidP="00037B8D">
      <w:pPr>
        <w:spacing w:line="240" w:lineRule="auto"/>
        <w:ind w:firstLine="709"/>
        <w:rPr>
          <w:position w:val="-1"/>
        </w:rPr>
      </w:pPr>
      <w:r w:rsidRPr="006A611E">
        <w:rPr>
          <w:position w:val="-1"/>
        </w:rPr>
        <w:t>При здійсненні функцій орендодавця державного майна Фонд державного майна України проводить перевірки орендованого майна. В процесі перевірок виявляються факти неправомірної передачі майна в суборенду, непередачі інформації Фонду державного майна України про майно, яке не використовується як потенційні об</w:t>
      </w:r>
      <w:r w:rsidRPr="006A611E">
        <w:rPr>
          <w:position w:val="-1"/>
          <w:lang w:val="ru-RU"/>
        </w:rPr>
        <w:t>’</w:t>
      </w:r>
      <w:r w:rsidRPr="006A611E">
        <w:rPr>
          <w:position w:val="-1"/>
        </w:rPr>
        <w:t xml:space="preserve">єкти оренди. </w:t>
      </w:r>
    </w:p>
    <w:p w14:paraId="439C1053" w14:textId="5E967B24" w:rsidR="0007275D" w:rsidRPr="00037B8D" w:rsidRDefault="007B22D5" w:rsidP="00037B8D">
      <w:pPr>
        <w:spacing w:line="240" w:lineRule="auto"/>
        <w:ind w:firstLine="709"/>
      </w:pPr>
      <w:r w:rsidRPr="00D64332">
        <w:t xml:space="preserve">Кількість юридичних осіб державної власності, облік яких потребує упорядкування протягом останніх років не змінювалася. </w:t>
      </w:r>
      <w:r w:rsidR="00C766CD">
        <w:t>Не всі</w:t>
      </w:r>
      <w:r w:rsidRPr="00D64332">
        <w:t xml:space="preserve"> уповноважен</w:t>
      </w:r>
      <w:r w:rsidR="00C766CD">
        <w:t>і</w:t>
      </w:r>
      <w:r w:rsidRPr="00D64332">
        <w:t xml:space="preserve"> орган</w:t>
      </w:r>
      <w:r w:rsidR="00C766CD">
        <w:t>и</w:t>
      </w:r>
      <w:r w:rsidRPr="00D64332">
        <w:t xml:space="preserve"> управління вчасн</w:t>
      </w:r>
      <w:r w:rsidR="00C766CD">
        <w:t xml:space="preserve">о та </w:t>
      </w:r>
      <w:r w:rsidRPr="00D64332">
        <w:t xml:space="preserve"> достовірн</w:t>
      </w:r>
      <w:r w:rsidR="00C766CD">
        <w:t>о</w:t>
      </w:r>
      <w:r w:rsidRPr="00D64332">
        <w:t xml:space="preserve"> нада</w:t>
      </w:r>
      <w:r w:rsidR="00D176E2">
        <w:t>ють</w:t>
      </w:r>
      <w:r w:rsidRPr="00D64332">
        <w:t xml:space="preserve"> інформаці</w:t>
      </w:r>
      <w:r w:rsidR="00D176E2">
        <w:t>ю</w:t>
      </w:r>
      <w:r w:rsidRPr="00D64332">
        <w:t xml:space="preserve"> про об’єкти державної власності до Єдиного державного реєстру об’єктів державної власності.</w:t>
      </w:r>
    </w:p>
    <w:p w14:paraId="552B247B" w14:textId="77777777" w:rsidR="0007275D" w:rsidRDefault="0007275D" w:rsidP="00037B8D">
      <w:pPr>
        <w:spacing w:line="240" w:lineRule="auto"/>
        <w:ind w:firstLine="709"/>
        <w:rPr>
          <w:rFonts w:eastAsia="Calibri"/>
          <w:b/>
          <w:bCs/>
          <w:lang w:eastAsia="uk-UA"/>
        </w:rPr>
      </w:pPr>
    </w:p>
    <w:p w14:paraId="732364D6" w14:textId="77777777" w:rsidR="00FF2146" w:rsidRPr="00FF2146" w:rsidRDefault="00FF2146" w:rsidP="00037B8D">
      <w:pPr>
        <w:spacing w:line="240" w:lineRule="auto"/>
        <w:ind w:firstLine="709"/>
        <w:rPr>
          <w:rFonts w:eastAsia="Calibri"/>
          <w:b/>
          <w:bCs/>
          <w:lang w:eastAsia="uk-UA"/>
        </w:rPr>
      </w:pPr>
      <w:r w:rsidRPr="00FF2146">
        <w:rPr>
          <w:rFonts w:eastAsia="Calibri"/>
          <w:b/>
          <w:bCs/>
          <w:lang w:eastAsia="uk-UA"/>
        </w:rPr>
        <w:t>2. Мета і шляхи її досягнення</w:t>
      </w:r>
    </w:p>
    <w:p w14:paraId="2FE063FF" w14:textId="77777777" w:rsidR="00FF2146" w:rsidRDefault="00FF2146" w:rsidP="00037B8D">
      <w:pPr>
        <w:spacing w:line="240" w:lineRule="auto"/>
        <w:ind w:firstLine="709"/>
        <w:contextualSpacing/>
        <w:rPr>
          <w:b/>
          <w:color w:val="000000"/>
        </w:rPr>
      </w:pPr>
      <w:r>
        <w:rPr>
          <w:lang w:eastAsia="ru-RU"/>
        </w:rPr>
        <w:t>Метою законопроєкту є активізація процесу передачі уповноваженими органами управління державних об</w:t>
      </w:r>
      <w:r w:rsidRPr="007F67D8">
        <w:rPr>
          <w:lang w:eastAsia="ru-RU"/>
        </w:rPr>
        <w:t>’</w:t>
      </w:r>
      <w:r>
        <w:rPr>
          <w:lang w:eastAsia="ru-RU"/>
        </w:rPr>
        <w:t>єктів на приватизацію та оренду, забезпечення контролю Фондом державного майна України задля  недопущення зловживань балансоутримувачами та орендарями у процесах оренди державного майна, посилення контролю за актуалізацією</w:t>
      </w:r>
      <w:r w:rsidRPr="00272416">
        <w:t xml:space="preserve"> відомостей про об’єкти державної власності</w:t>
      </w:r>
      <w:r>
        <w:t xml:space="preserve"> для внесення до </w:t>
      </w:r>
      <w:r w:rsidRPr="00272416">
        <w:t>Єдиного реєстру об’єктів державної власності</w:t>
      </w:r>
      <w:r>
        <w:t>.</w:t>
      </w:r>
    </w:p>
    <w:p w14:paraId="4E690A06" w14:textId="77777777" w:rsidR="00FF2146" w:rsidRDefault="00FF2146" w:rsidP="00037B8D">
      <w:pPr>
        <w:spacing w:line="240" w:lineRule="auto"/>
        <w:ind w:firstLine="709"/>
        <w:rPr>
          <w:rFonts w:eastAsia="Calibri"/>
          <w:b/>
          <w:bCs/>
          <w:lang w:eastAsia="uk-UA"/>
        </w:rPr>
      </w:pPr>
    </w:p>
    <w:p w14:paraId="2EB26099" w14:textId="77777777" w:rsidR="00FF2146" w:rsidRPr="00FF2146" w:rsidRDefault="00FF2146" w:rsidP="00037B8D">
      <w:pPr>
        <w:spacing w:line="240" w:lineRule="auto"/>
        <w:ind w:firstLine="709"/>
        <w:rPr>
          <w:rFonts w:eastAsia="Calibri"/>
          <w:b/>
          <w:bCs/>
          <w:lang w:eastAsia="uk-UA"/>
        </w:rPr>
      </w:pPr>
      <w:r w:rsidRPr="00FF2146">
        <w:rPr>
          <w:rFonts w:eastAsia="Calibri"/>
          <w:b/>
          <w:bCs/>
          <w:lang w:eastAsia="uk-UA"/>
        </w:rPr>
        <w:t>3. Загальна характеристика і основні положення проєкту Закону</w:t>
      </w:r>
    </w:p>
    <w:p w14:paraId="0C308DF3" w14:textId="77777777" w:rsidR="00BD72F2" w:rsidRPr="004F35B2" w:rsidRDefault="00BD72F2" w:rsidP="00037B8D">
      <w:pPr>
        <w:spacing w:line="240" w:lineRule="auto"/>
        <w:ind w:firstLine="709"/>
      </w:pPr>
      <w:r w:rsidRPr="004F35B2">
        <w:rPr>
          <w:bCs/>
        </w:rPr>
        <w:t>Проєктом пропонується</w:t>
      </w:r>
      <w:r w:rsidRPr="004F35B2">
        <w:t xml:space="preserve"> внести зміни до Кодекса України про адміністративні правопорушення та розширити коло осіб, які мають право складати протоколи про адміністративні правопорушення уповноваженими на те посадовими особами  Фонду державного майна України.</w:t>
      </w:r>
    </w:p>
    <w:p w14:paraId="3DC257E1" w14:textId="77777777" w:rsidR="004F35B2" w:rsidRPr="004F35B2" w:rsidRDefault="00BD72F2" w:rsidP="00037B8D">
      <w:pPr>
        <w:spacing w:line="240" w:lineRule="auto"/>
        <w:ind w:firstLine="709"/>
      </w:pPr>
      <w:r w:rsidRPr="004F35B2">
        <w:t xml:space="preserve">Проєктом </w:t>
      </w:r>
      <w:r w:rsidR="00745CB1" w:rsidRPr="004F35B2">
        <w:t xml:space="preserve">доповнено Кодекс України про адміністративні правопорушення </w:t>
      </w:r>
      <w:r w:rsidR="004F35B2" w:rsidRPr="004F35B2">
        <w:rPr>
          <w:rStyle w:val="rvts9"/>
          <w:bCs/>
        </w:rPr>
        <w:t>с</w:t>
      </w:r>
      <w:r w:rsidR="00745CB1" w:rsidRPr="004F35B2">
        <w:rPr>
          <w:rStyle w:val="rvts9"/>
          <w:bCs/>
        </w:rPr>
        <w:t>татт</w:t>
      </w:r>
      <w:r w:rsidR="004F35B2">
        <w:rPr>
          <w:rStyle w:val="rvts9"/>
          <w:bCs/>
        </w:rPr>
        <w:t>єю</w:t>
      </w:r>
      <w:r w:rsidR="00745CB1" w:rsidRPr="004F35B2">
        <w:rPr>
          <w:rStyle w:val="rvts9"/>
          <w:bCs/>
        </w:rPr>
        <w:t xml:space="preserve"> </w:t>
      </w:r>
      <w:r w:rsidR="00745CB1" w:rsidRPr="004F35B2">
        <w:t>164</w:t>
      </w:r>
      <w:r w:rsidR="00745CB1" w:rsidRPr="004F35B2">
        <w:rPr>
          <w:vertAlign w:val="superscript"/>
        </w:rPr>
        <w:t>20</w:t>
      </w:r>
      <w:r w:rsidR="004F35B2" w:rsidRPr="004F35B2">
        <w:t xml:space="preserve"> «</w:t>
      </w:r>
      <w:r w:rsidR="00745CB1" w:rsidRPr="004F35B2">
        <w:t>Порушення порядку використання державного майна</w:t>
      </w:r>
      <w:r w:rsidR="004F35B2" w:rsidRPr="004F35B2">
        <w:t>», якою</w:t>
      </w:r>
      <w:r w:rsidR="00745CB1" w:rsidRPr="004F35B2">
        <w:t xml:space="preserve"> </w:t>
      </w:r>
      <w:r w:rsidRPr="004F35B2">
        <w:t>визначаються розміри  штрафів за</w:t>
      </w:r>
      <w:r w:rsidR="004F35B2">
        <w:t>:</w:t>
      </w:r>
    </w:p>
    <w:p w14:paraId="63B219D8" w14:textId="77777777" w:rsidR="004F35B2" w:rsidRDefault="004F35B2" w:rsidP="00037B8D">
      <w:pPr>
        <w:numPr>
          <w:ilvl w:val="0"/>
          <w:numId w:val="6"/>
        </w:numPr>
        <w:spacing w:line="240" w:lineRule="auto"/>
        <w:ind w:left="0" w:firstLine="709"/>
      </w:pPr>
      <w:r w:rsidRPr="004F35B2">
        <w:t>неподання інформації про об’єкти державного або комунального майна, які підлягають приватизації або можуть бути передані в оренду, у тому числі про об’єкти, які не використовуються державними або комунальними підприємствами і не пропонуються як потенційні об’єкти</w:t>
      </w:r>
      <w:bookmarkStart w:id="1" w:name="bookmark=id.30j0zll" w:colFirst="0" w:colLast="0"/>
      <w:bookmarkEnd w:id="1"/>
      <w:r w:rsidRPr="004F35B2">
        <w:t xml:space="preserve"> оренди або приватизації;</w:t>
      </w:r>
    </w:p>
    <w:p w14:paraId="42965BC5" w14:textId="77777777" w:rsidR="00A555E5" w:rsidRPr="004F35B2" w:rsidRDefault="00A555E5" w:rsidP="00037B8D">
      <w:pPr>
        <w:numPr>
          <w:ilvl w:val="0"/>
          <w:numId w:val="6"/>
        </w:numPr>
        <w:spacing w:line="240" w:lineRule="auto"/>
        <w:ind w:left="0" w:firstLine="709"/>
      </w:pPr>
      <w:r>
        <w:t>у</w:t>
      </w:r>
      <w:r w:rsidRPr="00272416">
        <w:t>кладення балансоутримувачем майна договору оренди  щодо об’єкта оренди, загальна площа якого перевищує розмір, визначений Законом України “Про оренду державного та комунального майна”</w:t>
      </w:r>
    </w:p>
    <w:p w14:paraId="1D4B686A" w14:textId="77777777" w:rsidR="00A555E5" w:rsidRDefault="00A555E5" w:rsidP="00037B8D">
      <w:pPr>
        <w:numPr>
          <w:ilvl w:val="0"/>
          <w:numId w:val="6"/>
        </w:numPr>
        <w:spacing w:line="240" w:lineRule="auto"/>
        <w:ind w:left="0" w:firstLine="709"/>
      </w:pPr>
      <w:r>
        <w:t>у</w:t>
      </w:r>
      <w:r w:rsidRPr="00272416">
        <w:t>кладення орендарем договору суборенди з порушенням вимог Закону України “Про оренду державного та комунального майна”</w:t>
      </w:r>
      <w:r>
        <w:t>;</w:t>
      </w:r>
    </w:p>
    <w:p w14:paraId="70F167CC" w14:textId="77777777" w:rsidR="004F35B2" w:rsidRDefault="004F35B2" w:rsidP="00037B8D">
      <w:pPr>
        <w:numPr>
          <w:ilvl w:val="0"/>
          <w:numId w:val="6"/>
        </w:numPr>
        <w:spacing w:line="240" w:lineRule="auto"/>
        <w:ind w:left="0" w:firstLine="709"/>
      </w:pPr>
      <w:r>
        <w:t>н</w:t>
      </w:r>
      <w:r w:rsidRPr="004F35B2">
        <w:t>еподання інформації суб’єктами управління об’єктами державної власності розпоряднику Єдиного реєстру об’єктів державної власності відомостей про об’єкти державної власності, які перебувають у сфері їх управління, для формування і ведення зазначеного реєстру</w:t>
      </w:r>
      <w:r>
        <w:t>;</w:t>
      </w:r>
    </w:p>
    <w:p w14:paraId="7827ED46" w14:textId="77777777" w:rsidR="00A555E5" w:rsidRDefault="0059226A" w:rsidP="00037B8D">
      <w:pPr>
        <w:numPr>
          <w:ilvl w:val="0"/>
          <w:numId w:val="6"/>
        </w:numPr>
        <w:spacing w:line="240" w:lineRule="auto"/>
        <w:ind w:left="0" w:firstLine="709"/>
      </w:pPr>
      <w:r>
        <w:t>н</w:t>
      </w:r>
      <w:r w:rsidRPr="00272416">
        <w:t>езабезпечення доступу потенційних орендарів до об’єкту оренди орендарем, який має намір продовжити договір оренди нерухомого майна, що підлягає продовженню за результатами проведення аукціону</w:t>
      </w:r>
      <w:r>
        <w:t>;</w:t>
      </w:r>
    </w:p>
    <w:p w14:paraId="2EC6937D" w14:textId="77777777" w:rsidR="0059226A" w:rsidRDefault="0059226A" w:rsidP="00037B8D">
      <w:pPr>
        <w:numPr>
          <w:ilvl w:val="0"/>
          <w:numId w:val="6"/>
        </w:numPr>
        <w:spacing w:line="240" w:lineRule="auto"/>
        <w:ind w:left="0" w:firstLine="709"/>
      </w:pPr>
      <w:r>
        <w:t>н</w:t>
      </w:r>
      <w:r w:rsidRPr="00272416">
        <w:t>ерозкриття інформації орендарем, який має намір продовжити договір оренди єдиного майнового комплексу, що підлягає продовженню за результатами проведення аукціону, інформації про об’єкт оренди та/або незабезпечення доступу до такого об’єкту оренди потенційних орендарів у супроводі представника орендодавця</w:t>
      </w:r>
      <w:r>
        <w:t>;</w:t>
      </w:r>
    </w:p>
    <w:p w14:paraId="1314DC08" w14:textId="77777777" w:rsidR="0059226A" w:rsidRDefault="0059226A" w:rsidP="00037B8D">
      <w:pPr>
        <w:numPr>
          <w:ilvl w:val="0"/>
          <w:numId w:val="6"/>
        </w:numPr>
        <w:spacing w:line="240" w:lineRule="auto"/>
        <w:ind w:left="0" w:firstLine="709"/>
      </w:pPr>
      <w:r>
        <w:t>у</w:t>
      </w:r>
      <w:r w:rsidRPr="00272416">
        <w:t>кладення балансоутримувачем майна договорів про передачу права на експлуатацію, зберігання (крім договорів публічного зберігання), якщо місцем зберігання майна третьої особи є індивідуально визначене нерухоме майно державної або комунальної власності, що передбачені Законом України “Про оренду державного та комунального майна”</w:t>
      </w:r>
      <w:r>
        <w:t>.</w:t>
      </w:r>
    </w:p>
    <w:p w14:paraId="2249EC89" w14:textId="77777777" w:rsidR="007A2448" w:rsidRPr="004F35B2" w:rsidRDefault="007A2448" w:rsidP="00037B8D">
      <w:pPr>
        <w:spacing w:line="240" w:lineRule="auto"/>
        <w:ind w:firstLine="709"/>
      </w:pPr>
      <w:r>
        <w:lastRenderedPageBreak/>
        <w:t xml:space="preserve">Статтю 221 </w:t>
      </w:r>
      <w:r w:rsidRPr="007A2448">
        <w:t>Кодекс</w:t>
      </w:r>
      <w:r>
        <w:t>у</w:t>
      </w:r>
      <w:r w:rsidRPr="007A2448">
        <w:t xml:space="preserve"> України про адміністративні правопорушення </w:t>
      </w:r>
      <w:r>
        <w:t>доповнено нормою, що с</w:t>
      </w:r>
      <w:r w:rsidRPr="007A2448">
        <w:t>удді районних, районних у місті, міських чи міськрайонних судів розглядають справи про адміністративні правопорушення, передбачені</w:t>
      </w:r>
      <w:r>
        <w:t xml:space="preserve"> </w:t>
      </w:r>
      <w:r w:rsidRPr="004F35B2">
        <w:rPr>
          <w:rStyle w:val="rvts9"/>
          <w:bCs/>
        </w:rPr>
        <w:t>статт</w:t>
      </w:r>
      <w:r>
        <w:rPr>
          <w:rStyle w:val="rvts9"/>
          <w:bCs/>
        </w:rPr>
        <w:t>єю</w:t>
      </w:r>
      <w:r w:rsidRPr="004F35B2">
        <w:rPr>
          <w:rStyle w:val="rvts9"/>
          <w:bCs/>
        </w:rPr>
        <w:t xml:space="preserve"> </w:t>
      </w:r>
      <w:r w:rsidRPr="004F35B2">
        <w:t>164</w:t>
      </w:r>
      <w:r w:rsidRPr="004F35B2">
        <w:rPr>
          <w:vertAlign w:val="superscript"/>
        </w:rPr>
        <w:t>20</w:t>
      </w:r>
      <w:r>
        <w:t>.</w:t>
      </w:r>
    </w:p>
    <w:p w14:paraId="0903FE24" w14:textId="77777777" w:rsidR="007B22D5" w:rsidRDefault="00BD72F2" w:rsidP="00037B8D">
      <w:pPr>
        <w:spacing w:line="240" w:lineRule="auto"/>
        <w:ind w:firstLine="709"/>
      </w:pPr>
      <w:r w:rsidRPr="00BD72F2">
        <w:rPr>
          <w:bCs/>
        </w:rPr>
        <w:t xml:space="preserve">Проєктом пропонується внести зміни до </w:t>
      </w:r>
      <w:r w:rsidRPr="00272416">
        <w:t xml:space="preserve">статті 173 Кримінального процесуального кодексу України </w:t>
      </w:r>
      <w:r>
        <w:t>щодо не</w:t>
      </w:r>
      <w:r w:rsidRPr="00272416">
        <w:t>допу</w:t>
      </w:r>
      <w:r>
        <w:t>щення</w:t>
      </w:r>
      <w:r w:rsidRPr="00272416">
        <w:t xml:space="preserve"> арешт</w:t>
      </w:r>
      <w:r>
        <w:t>у</w:t>
      </w:r>
      <w:r w:rsidRPr="00272416">
        <w:t xml:space="preserve"> майна (в тому числі майнових прав або інших активів), щодо якого прийнято рішення про приватизацію на конкурентних засадах у формі електронних аукціонів у встановленому законом порядку</w:t>
      </w:r>
      <w:r w:rsidRPr="007B22D5">
        <w:t xml:space="preserve"> </w:t>
      </w:r>
      <w:r w:rsidR="007B22D5" w:rsidRPr="007B22D5">
        <w:t>Введення цієї норми нівелює можливість зловживання процесуальними правами для зупинення процесу приватизації та дозволить економити кошти державного бюджету на сплату судового збору.</w:t>
      </w:r>
    </w:p>
    <w:p w14:paraId="793971A8" w14:textId="77777777" w:rsidR="005F39FE" w:rsidRDefault="00FF2146" w:rsidP="00037B8D">
      <w:pPr>
        <w:spacing w:line="240" w:lineRule="auto"/>
        <w:ind w:firstLine="709"/>
      </w:pPr>
      <w:r w:rsidRPr="00FF2146">
        <w:t xml:space="preserve">Проєкт Закону України «Про внесення змін до Кодексу України про адміністративні правопорушення та Кримінального процесуального кодексу України стосовно удосконалення державної політики управління об’єктами державної і комунальної власності» синхронізовано з проєктом Закону України </w:t>
      </w:r>
      <w:r w:rsidR="007F2C52">
        <w:rPr>
          <w:color w:val="000000"/>
          <w:shd w:val="clear" w:color="auto" w:fill="FFFFFF"/>
        </w:rPr>
        <w:t>«Про внесення змін до Закону України «Про Фонд державного майна України» та інших законодавчих актів України щодо сприяння залученню інвестицій в процесі приватизації та оренди державного і комунального майна»</w:t>
      </w:r>
      <w:r w:rsidRPr="00FF2146">
        <w:t>.</w:t>
      </w:r>
    </w:p>
    <w:p w14:paraId="2BCA3E48" w14:textId="77777777" w:rsidR="00FF2146" w:rsidRDefault="00FF2146" w:rsidP="00037B8D">
      <w:pPr>
        <w:spacing w:line="240" w:lineRule="auto"/>
        <w:ind w:firstLine="709"/>
      </w:pPr>
    </w:p>
    <w:p w14:paraId="08C41A90" w14:textId="77777777" w:rsidR="00FF2146" w:rsidRPr="00FF2146" w:rsidRDefault="00FF2146" w:rsidP="00037B8D">
      <w:pPr>
        <w:spacing w:line="240" w:lineRule="auto"/>
        <w:ind w:firstLine="709"/>
        <w:rPr>
          <w:rFonts w:eastAsia="Calibri"/>
          <w:b/>
          <w:bCs/>
          <w:lang w:eastAsia="uk-UA"/>
        </w:rPr>
      </w:pPr>
      <w:r w:rsidRPr="00FF2146">
        <w:rPr>
          <w:rFonts w:eastAsia="Calibri"/>
          <w:b/>
          <w:bCs/>
          <w:lang w:eastAsia="uk-UA"/>
        </w:rPr>
        <w:t>4. Стан нормативно-правової бази у даній сфері правового регулювання</w:t>
      </w:r>
    </w:p>
    <w:p w14:paraId="663BC7F3" w14:textId="3FD0FFB2" w:rsidR="00FF2146" w:rsidRPr="00FF2146" w:rsidRDefault="00FF2146" w:rsidP="00037B8D">
      <w:pPr>
        <w:spacing w:line="240" w:lineRule="auto"/>
        <w:ind w:firstLine="709"/>
        <w:rPr>
          <w:rFonts w:eastAsia="Calibri"/>
          <w:lang w:eastAsia="uk-UA"/>
        </w:rPr>
      </w:pPr>
      <w:r w:rsidRPr="00FF2146">
        <w:rPr>
          <w:rFonts w:eastAsia="Calibri"/>
          <w:lang w:eastAsia="uk-UA"/>
        </w:rPr>
        <w:t xml:space="preserve">Основними нормативно-правовими актами у даній сфері правового регулювання є: Конституція України, </w:t>
      </w:r>
      <w:r w:rsidRPr="007A2448">
        <w:t>Кодекс України про адміністративні правопорушення</w:t>
      </w:r>
      <w:r>
        <w:t>,</w:t>
      </w:r>
      <w:r w:rsidRPr="007A2448">
        <w:t xml:space="preserve"> </w:t>
      </w:r>
      <w:r w:rsidRPr="00FF2146">
        <w:t>Кримінальн</w:t>
      </w:r>
      <w:r>
        <w:t>ий</w:t>
      </w:r>
      <w:r w:rsidRPr="00FF2146">
        <w:t xml:space="preserve"> процесуальн</w:t>
      </w:r>
      <w:r>
        <w:t>ий</w:t>
      </w:r>
      <w:r w:rsidRPr="00FF2146">
        <w:t xml:space="preserve"> кодекс України</w:t>
      </w:r>
      <w:r>
        <w:t>,</w:t>
      </w:r>
      <w:r w:rsidRPr="00FF2146">
        <w:rPr>
          <w:rFonts w:eastAsia="Calibri"/>
          <w:lang w:eastAsia="uk-UA"/>
        </w:rPr>
        <w:t xml:space="preserve"> Закон України «Про приватизацію державного і комунального майна», Закон України «Про Фонд державного майна України»</w:t>
      </w:r>
      <w:r>
        <w:rPr>
          <w:rFonts w:eastAsia="Calibri"/>
          <w:lang w:eastAsia="uk-UA"/>
        </w:rPr>
        <w:t>,</w:t>
      </w:r>
      <w:r w:rsidRPr="00FF2146">
        <w:t xml:space="preserve"> </w:t>
      </w:r>
      <w:r w:rsidRPr="00272416">
        <w:t xml:space="preserve">Закон України </w:t>
      </w:r>
      <w:r>
        <w:t>«</w:t>
      </w:r>
      <w:r w:rsidRPr="00272416">
        <w:t>Про оренду державного та комунального майна</w:t>
      </w:r>
      <w:r>
        <w:t>» та інші законодавчі акти.</w:t>
      </w:r>
    </w:p>
    <w:p w14:paraId="1E72939D" w14:textId="77777777" w:rsidR="00FF2146" w:rsidRDefault="00FF2146" w:rsidP="00037B8D">
      <w:pPr>
        <w:spacing w:line="240" w:lineRule="auto"/>
        <w:ind w:firstLine="709"/>
      </w:pPr>
    </w:p>
    <w:p w14:paraId="2C95BBD0" w14:textId="77777777" w:rsidR="00A20E0E" w:rsidRPr="00A20E0E" w:rsidRDefault="00A20E0E" w:rsidP="00037B8D">
      <w:pPr>
        <w:spacing w:line="240" w:lineRule="auto"/>
        <w:ind w:firstLine="709"/>
        <w:rPr>
          <w:rFonts w:eastAsia="Calibri"/>
          <w:b/>
          <w:bCs/>
          <w:lang w:eastAsia="uk-UA"/>
        </w:rPr>
      </w:pPr>
      <w:r w:rsidRPr="00A20E0E">
        <w:rPr>
          <w:rFonts w:eastAsia="Calibri"/>
          <w:b/>
          <w:bCs/>
          <w:lang w:eastAsia="uk-UA"/>
        </w:rPr>
        <w:t>5. Фінансово-економічне обґрунтування</w:t>
      </w:r>
    </w:p>
    <w:p w14:paraId="0752E2DF" w14:textId="77777777" w:rsidR="00033DFE" w:rsidRDefault="000E3E5E" w:rsidP="00037B8D">
      <w:pPr>
        <w:spacing w:line="240" w:lineRule="auto"/>
        <w:ind w:firstLine="709"/>
      </w:pPr>
      <w:r w:rsidRPr="000E3E5E">
        <w:t>Прийняття проєкту Закону не потребує додаткових фінансових витрат з Державного бюджету України.</w:t>
      </w:r>
    </w:p>
    <w:p w14:paraId="11D6435B" w14:textId="77777777" w:rsidR="000E3E5E" w:rsidRDefault="000E3E5E" w:rsidP="00037B8D">
      <w:pPr>
        <w:spacing w:line="240" w:lineRule="auto"/>
        <w:ind w:firstLine="709"/>
        <w:rPr>
          <w:b/>
        </w:rPr>
      </w:pPr>
    </w:p>
    <w:p w14:paraId="63E2B254" w14:textId="77777777" w:rsidR="0007275D" w:rsidRPr="0007275D" w:rsidRDefault="0007275D" w:rsidP="00037B8D">
      <w:pPr>
        <w:spacing w:line="240" w:lineRule="auto"/>
        <w:ind w:firstLine="709"/>
        <w:rPr>
          <w:rFonts w:eastAsia="Calibri"/>
          <w:b/>
          <w:bCs/>
          <w:lang w:eastAsia="uk-UA"/>
        </w:rPr>
      </w:pPr>
      <w:r w:rsidRPr="0007275D">
        <w:rPr>
          <w:rFonts w:eastAsia="Calibri"/>
          <w:b/>
          <w:bCs/>
          <w:lang w:eastAsia="uk-UA"/>
        </w:rPr>
        <w:t>6. Прогноз соціально-економічних та інших наслідків прийняття проєкту Закону</w:t>
      </w:r>
    </w:p>
    <w:p w14:paraId="0AE02A2B" w14:textId="77777777" w:rsidR="0007275D" w:rsidRPr="007E0667" w:rsidRDefault="0007275D" w:rsidP="00037B8D">
      <w:pPr>
        <w:spacing w:line="240" w:lineRule="auto"/>
        <w:ind w:firstLine="709"/>
        <w:rPr>
          <w:bCs/>
          <w:color w:val="FF0000"/>
        </w:rPr>
      </w:pPr>
      <w:r w:rsidRPr="0007275D">
        <w:rPr>
          <w:rFonts w:eastAsia="Calibri"/>
          <w:lang w:eastAsia="uk-UA"/>
        </w:rPr>
        <w:t xml:space="preserve">Прийняття цього законопроекту </w:t>
      </w:r>
      <w:r w:rsidRPr="00CD79D5">
        <w:t>сприятиме збільшенню</w:t>
      </w:r>
      <w:r w:rsidRPr="00CD79D5">
        <w:rPr>
          <w:position w:val="-1"/>
        </w:rPr>
        <w:t xml:space="preserve">  відповідальності уповноважених органів управління, балансоутримувачів державного майна за ефективність управління та використання державного майна та запобігатиме </w:t>
      </w:r>
      <w:r w:rsidRPr="00CD79D5">
        <w:t>зупиненню</w:t>
      </w:r>
      <w:r w:rsidRPr="007B22D5">
        <w:t xml:space="preserve"> процесу приватизації</w:t>
      </w:r>
      <w:r w:rsidRPr="00CD79D5">
        <w:t xml:space="preserve"> </w:t>
      </w:r>
      <w:r>
        <w:t xml:space="preserve">через </w:t>
      </w:r>
      <w:r w:rsidRPr="007B22D5">
        <w:t>ініціювання судових спорів.</w:t>
      </w:r>
    </w:p>
    <w:p w14:paraId="54BE6B71" w14:textId="77777777" w:rsidR="0007275D" w:rsidRDefault="0007275D" w:rsidP="00037B8D">
      <w:pPr>
        <w:spacing w:line="240" w:lineRule="auto"/>
        <w:ind w:firstLine="709"/>
        <w:rPr>
          <w:b/>
          <w:lang w:eastAsia="uk-UA"/>
        </w:rPr>
      </w:pPr>
    </w:p>
    <w:p w14:paraId="560BF229" w14:textId="77777777" w:rsidR="0007275D" w:rsidRDefault="0007275D" w:rsidP="00037B8D">
      <w:pPr>
        <w:spacing w:line="240" w:lineRule="auto"/>
        <w:ind w:firstLine="0"/>
        <w:rPr>
          <w:b/>
          <w:lang w:eastAsia="uk-UA"/>
        </w:rPr>
      </w:pPr>
    </w:p>
    <w:p w14:paraId="2355F2DA" w14:textId="001F7B81" w:rsidR="0007275D" w:rsidRPr="0007275D" w:rsidRDefault="0007275D" w:rsidP="00037B8D">
      <w:pPr>
        <w:spacing w:line="240" w:lineRule="auto"/>
        <w:ind w:firstLine="709"/>
        <w:rPr>
          <w:rFonts w:eastAsia="Calibri"/>
          <w:sz w:val="24"/>
          <w:szCs w:val="24"/>
          <w:lang w:eastAsia="uk-UA"/>
        </w:rPr>
      </w:pPr>
      <w:r w:rsidRPr="0007275D">
        <w:rPr>
          <w:b/>
          <w:lang w:eastAsia="uk-UA"/>
        </w:rPr>
        <w:t>Народні депутати України</w:t>
      </w:r>
    </w:p>
    <w:p w14:paraId="1E6C8713" w14:textId="77777777" w:rsidR="000B0F26" w:rsidRPr="004D6FFB" w:rsidRDefault="000B0F26" w:rsidP="00037B8D">
      <w:pPr>
        <w:ind w:firstLine="0"/>
      </w:pPr>
    </w:p>
    <w:sectPr w:rsidR="000B0F26" w:rsidRPr="004D6FFB" w:rsidSect="00037B8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4D9A" w14:textId="77777777" w:rsidR="00DC0523" w:rsidRDefault="00DC0523">
      <w:r>
        <w:separator/>
      </w:r>
    </w:p>
  </w:endnote>
  <w:endnote w:type="continuationSeparator" w:id="0">
    <w:p w14:paraId="75D3360A" w14:textId="77777777" w:rsidR="00DC0523" w:rsidRDefault="00DC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CE2E" w14:textId="77777777" w:rsidR="00DC0523" w:rsidRDefault="00DC0523">
      <w:r>
        <w:separator/>
      </w:r>
    </w:p>
  </w:footnote>
  <w:footnote w:type="continuationSeparator" w:id="0">
    <w:p w14:paraId="5A59B4D3" w14:textId="77777777" w:rsidR="00DC0523" w:rsidRDefault="00DC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58A49" w14:textId="11292BFF" w:rsidR="008B017F" w:rsidRDefault="008B017F" w:rsidP="00E922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3F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750"/>
    <w:multiLevelType w:val="hybridMultilevel"/>
    <w:tmpl w:val="B8FC539A"/>
    <w:lvl w:ilvl="0" w:tplc="C860833C">
      <w:start w:val="5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D7C109E"/>
    <w:multiLevelType w:val="hybridMultilevel"/>
    <w:tmpl w:val="791CBAC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3314C8F"/>
    <w:multiLevelType w:val="hybridMultilevel"/>
    <w:tmpl w:val="E3F85698"/>
    <w:lvl w:ilvl="0" w:tplc="F6B8B434">
      <w:start w:val="1"/>
      <w:numFmt w:val="decimal"/>
      <w:suff w:val="space"/>
      <w:lvlText w:val="%1."/>
      <w:lvlJc w:val="left"/>
      <w:pPr>
        <w:ind w:left="2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86" w:hanging="180"/>
      </w:pPr>
      <w:rPr>
        <w:rFonts w:cs="Times New Roman"/>
      </w:rPr>
    </w:lvl>
  </w:abstractNum>
  <w:abstractNum w:abstractNumId="3" w15:restartNumberingAfterBreak="0">
    <w:nsid w:val="36D07CD7"/>
    <w:multiLevelType w:val="hybridMultilevel"/>
    <w:tmpl w:val="0FFE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9C7ECA"/>
    <w:multiLevelType w:val="hybridMultilevel"/>
    <w:tmpl w:val="DAFA43E4"/>
    <w:lvl w:ilvl="0" w:tplc="AC1C1C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FBE4A19"/>
    <w:multiLevelType w:val="hybridMultilevel"/>
    <w:tmpl w:val="829C3562"/>
    <w:lvl w:ilvl="0" w:tplc="A0BE3D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9D"/>
    <w:rsid w:val="00033DFE"/>
    <w:rsid w:val="00037B8D"/>
    <w:rsid w:val="00040846"/>
    <w:rsid w:val="0007275D"/>
    <w:rsid w:val="00081998"/>
    <w:rsid w:val="00093965"/>
    <w:rsid w:val="00097F99"/>
    <w:rsid w:val="000A69DB"/>
    <w:rsid w:val="000B0F26"/>
    <w:rsid w:val="000B6495"/>
    <w:rsid w:val="000E11D9"/>
    <w:rsid w:val="000E3E5E"/>
    <w:rsid w:val="00152056"/>
    <w:rsid w:val="00197E46"/>
    <w:rsid w:val="001A1504"/>
    <w:rsid w:val="001A2C55"/>
    <w:rsid w:val="001A4DC9"/>
    <w:rsid w:val="001A4E7C"/>
    <w:rsid w:val="001B0630"/>
    <w:rsid w:val="001C4132"/>
    <w:rsid w:val="001E7F8E"/>
    <w:rsid w:val="001F56F9"/>
    <w:rsid w:val="002012F2"/>
    <w:rsid w:val="002310A9"/>
    <w:rsid w:val="00231F5A"/>
    <w:rsid w:val="0024011C"/>
    <w:rsid w:val="0024021C"/>
    <w:rsid w:val="00281227"/>
    <w:rsid w:val="00297123"/>
    <w:rsid w:val="002B323C"/>
    <w:rsid w:val="002C33C4"/>
    <w:rsid w:val="002D1E01"/>
    <w:rsid w:val="002D27AD"/>
    <w:rsid w:val="002F589E"/>
    <w:rsid w:val="00316EDE"/>
    <w:rsid w:val="00322143"/>
    <w:rsid w:val="00350B7F"/>
    <w:rsid w:val="00351E12"/>
    <w:rsid w:val="003542D3"/>
    <w:rsid w:val="00356DBE"/>
    <w:rsid w:val="00367970"/>
    <w:rsid w:val="00377B38"/>
    <w:rsid w:val="00384C26"/>
    <w:rsid w:val="003853EB"/>
    <w:rsid w:val="003A6D8E"/>
    <w:rsid w:val="003A70A9"/>
    <w:rsid w:val="003A7326"/>
    <w:rsid w:val="003B48B1"/>
    <w:rsid w:val="003B67E7"/>
    <w:rsid w:val="003C3F92"/>
    <w:rsid w:val="003C405B"/>
    <w:rsid w:val="003D2B18"/>
    <w:rsid w:val="003D34E6"/>
    <w:rsid w:val="003D6FFD"/>
    <w:rsid w:val="003E086D"/>
    <w:rsid w:val="003F4CC5"/>
    <w:rsid w:val="00401256"/>
    <w:rsid w:val="00407A8F"/>
    <w:rsid w:val="00410A76"/>
    <w:rsid w:val="004264F1"/>
    <w:rsid w:val="00436A97"/>
    <w:rsid w:val="004452BA"/>
    <w:rsid w:val="00452252"/>
    <w:rsid w:val="00456BA2"/>
    <w:rsid w:val="00472D39"/>
    <w:rsid w:val="00483C5E"/>
    <w:rsid w:val="0048552E"/>
    <w:rsid w:val="004B4DBE"/>
    <w:rsid w:val="004C0CD9"/>
    <w:rsid w:val="004C7267"/>
    <w:rsid w:val="004D6FFB"/>
    <w:rsid w:val="004F35B2"/>
    <w:rsid w:val="004F7803"/>
    <w:rsid w:val="00501778"/>
    <w:rsid w:val="00504FD7"/>
    <w:rsid w:val="005079C5"/>
    <w:rsid w:val="005224C1"/>
    <w:rsid w:val="0052342E"/>
    <w:rsid w:val="00532E1C"/>
    <w:rsid w:val="0053407D"/>
    <w:rsid w:val="00555774"/>
    <w:rsid w:val="00557B19"/>
    <w:rsid w:val="00580113"/>
    <w:rsid w:val="0058553A"/>
    <w:rsid w:val="0059226A"/>
    <w:rsid w:val="005A3793"/>
    <w:rsid w:val="005B3545"/>
    <w:rsid w:val="005B4A69"/>
    <w:rsid w:val="005D0C2F"/>
    <w:rsid w:val="005D7B2F"/>
    <w:rsid w:val="005E6002"/>
    <w:rsid w:val="005F32B8"/>
    <w:rsid w:val="005F39FE"/>
    <w:rsid w:val="0060007B"/>
    <w:rsid w:val="00612984"/>
    <w:rsid w:val="00633F84"/>
    <w:rsid w:val="00635340"/>
    <w:rsid w:val="0064554E"/>
    <w:rsid w:val="00655F20"/>
    <w:rsid w:val="0068588C"/>
    <w:rsid w:val="006A240B"/>
    <w:rsid w:val="006A4AE2"/>
    <w:rsid w:val="006A611E"/>
    <w:rsid w:val="006A6641"/>
    <w:rsid w:val="006A73E0"/>
    <w:rsid w:val="006B58D8"/>
    <w:rsid w:val="006C1ADE"/>
    <w:rsid w:val="006C37DE"/>
    <w:rsid w:val="006C6657"/>
    <w:rsid w:val="006D6D8C"/>
    <w:rsid w:val="00710D41"/>
    <w:rsid w:val="00712EB9"/>
    <w:rsid w:val="00714E2F"/>
    <w:rsid w:val="007162B8"/>
    <w:rsid w:val="00730FEE"/>
    <w:rsid w:val="0073121A"/>
    <w:rsid w:val="00745CB1"/>
    <w:rsid w:val="0079020E"/>
    <w:rsid w:val="00797F08"/>
    <w:rsid w:val="007A2448"/>
    <w:rsid w:val="007A5EE7"/>
    <w:rsid w:val="007B22D5"/>
    <w:rsid w:val="007D0E5A"/>
    <w:rsid w:val="007D6086"/>
    <w:rsid w:val="007E0667"/>
    <w:rsid w:val="007F2C52"/>
    <w:rsid w:val="007F4857"/>
    <w:rsid w:val="007F67D8"/>
    <w:rsid w:val="00806802"/>
    <w:rsid w:val="0080721C"/>
    <w:rsid w:val="00814F0D"/>
    <w:rsid w:val="00845434"/>
    <w:rsid w:val="00850919"/>
    <w:rsid w:val="00856C19"/>
    <w:rsid w:val="008626E5"/>
    <w:rsid w:val="00866008"/>
    <w:rsid w:val="00870DCE"/>
    <w:rsid w:val="00871BEE"/>
    <w:rsid w:val="008728F8"/>
    <w:rsid w:val="008836ED"/>
    <w:rsid w:val="008A3192"/>
    <w:rsid w:val="008B017F"/>
    <w:rsid w:val="008D2985"/>
    <w:rsid w:val="008D4811"/>
    <w:rsid w:val="008D4DD0"/>
    <w:rsid w:val="008D7E7A"/>
    <w:rsid w:val="008E2C7A"/>
    <w:rsid w:val="00904BAF"/>
    <w:rsid w:val="00905CFA"/>
    <w:rsid w:val="009138F9"/>
    <w:rsid w:val="009434BC"/>
    <w:rsid w:val="00946B5E"/>
    <w:rsid w:val="0095522A"/>
    <w:rsid w:val="00964524"/>
    <w:rsid w:val="009652C7"/>
    <w:rsid w:val="00970891"/>
    <w:rsid w:val="00974061"/>
    <w:rsid w:val="00997B0C"/>
    <w:rsid w:val="009A3F3F"/>
    <w:rsid w:val="009A7350"/>
    <w:rsid w:val="009B2ABB"/>
    <w:rsid w:val="009B3EE0"/>
    <w:rsid w:val="009B59BA"/>
    <w:rsid w:val="009E14C6"/>
    <w:rsid w:val="00A07C76"/>
    <w:rsid w:val="00A1449D"/>
    <w:rsid w:val="00A20E0E"/>
    <w:rsid w:val="00A4249C"/>
    <w:rsid w:val="00A53851"/>
    <w:rsid w:val="00A555E5"/>
    <w:rsid w:val="00A55D93"/>
    <w:rsid w:val="00A60EF6"/>
    <w:rsid w:val="00A72D75"/>
    <w:rsid w:val="00AA1FC9"/>
    <w:rsid w:val="00AA6FF9"/>
    <w:rsid w:val="00AC311D"/>
    <w:rsid w:val="00AC53F5"/>
    <w:rsid w:val="00AF25A1"/>
    <w:rsid w:val="00B17402"/>
    <w:rsid w:val="00B2408A"/>
    <w:rsid w:val="00B3199C"/>
    <w:rsid w:val="00B36012"/>
    <w:rsid w:val="00B44266"/>
    <w:rsid w:val="00B50D95"/>
    <w:rsid w:val="00B601CB"/>
    <w:rsid w:val="00B65A44"/>
    <w:rsid w:val="00B67DB6"/>
    <w:rsid w:val="00B768A4"/>
    <w:rsid w:val="00BA7865"/>
    <w:rsid w:val="00BB6459"/>
    <w:rsid w:val="00BC053B"/>
    <w:rsid w:val="00BD4421"/>
    <w:rsid w:val="00BD4B4B"/>
    <w:rsid w:val="00BD72F2"/>
    <w:rsid w:val="00BD7461"/>
    <w:rsid w:val="00BF45B8"/>
    <w:rsid w:val="00C001B0"/>
    <w:rsid w:val="00C12CBA"/>
    <w:rsid w:val="00C155A8"/>
    <w:rsid w:val="00C309D6"/>
    <w:rsid w:val="00C54095"/>
    <w:rsid w:val="00C624F4"/>
    <w:rsid w:val="00C766CD"/>
    <w:rsid w:val="00C86760"/>
    <w:rsid w:val="00C93481"/>
    <w:rsid w:val="00C93F11"/>
    <w:rsid w:val="00CA3DB0"/>
    <w:rsid w:val="00CA696B"/>
    <w:rsid w:val="00CC1837"/>
    <w:rsid w:val="00CC6A86"/>
    <w:rsid w:val="00CD79D5"/>
    <w:rsid w:val="00CE4658"/>
    <w:rsid w:val="00CF0958"/>
    <w:rsid w:val="00CF1622"/>
    <w:rsid w:val="00CF798D"/>
    <w:rsid w:val="00D05A73"/>
    <w:rsid w:val="00D14220"/>
    <w:rsid w:val="00D176E2"/>
    <w:rsid w:val="00D226DC"/>
    <w:rsid w:val="00D466D2"/>
    <w:rsid w:val="00D67611"/>
    <w:rsid w:val="00D84EEB"/>
    <w:rsid w:val="00D85E8E"/>
    <w:rsid w:val="00D93910"/>
    <w:rsid w:val="00DC0523"/>
    <w:rsid w:val="00DE7087"/>
    <w:rsid w:val="00DF3DBA"/>
    <w:rsid w:val="00DF62C5"/>
    <w:rsid w:val="00E0198F"/>
    <w:rsid w:val="00E067E5"/>
    <w:rsid w:val="00E1120E"/>
    <w:rsid w:val="00E117C9"/>
    <w:rsid w:val="00E1183D"/>
    <w:rsid w:val="00E212A5"/>
    <w:rsid w:val="00E214AC"/>
    <w:rsid w:val="00E21910"/>
    <w:rsid w:val="00E2442D"/>
    <w:rsid w:val="00E56AF6"/>
    <w:rsid w:val="00E57AC4"/>
    <w:rsid w:val="00E76899"/>
    <w:rsid w:val="00E8741B"/>
    <w:rsid w:val="00E9229D"/>
    <w:rsid w:val="00EA37A3"/>
    <w:rsid w:val="00EA4CE6"/>
    <w:rsid w:val="00EB00C4"/>
    <w:rsid w:val="00EB452E"/>
    <w:rsid w:val="00EC298F"/>
    <w:rsid w:val="00ED19C0"/>
    <w:rsid w:val="00ED5B58"/>
    <w:rsid w:val="00ED6822"/>
    <w:rsid w:val="00EE1BFA"/>
    <w:rsid w:val="00F1239C"/>
    <w:rsid w:val="00F153BD"/>
    <w:rsid w:val="00F1671B"/>
    <w:rsid w:val="00F250C4"/>
    <w:rsid w:val="00F645A8"/>
    <w:rsid w:val="00F75FB0"/>
    <w:rsid w:val="00F95E38"/>
    <w:rsid w:val="00FA01A0"/>
    <w:rsid w:val="00FA0516"/>
    <w:rsid w:val="00FA44BE"/>
    <w:rsid w:val="00FF2146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8DE98"/>
  <w15:docId w15:val="{4B520D80-669E-FB43-A657-291385FE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9D"/>
    <w:pPr>
      <w:spacing w:line="360" w:lineRule="auto"/>
      <w:ind w:firstLine="851"/>
      <w:jc w:val="both"/>
    </w:pPr>
    <w:rPr>
      <w:sz w:val="28"/>
      <w:szCs w:val="28"/>
      <w:lang w:val="uk-UA" w:eastAsia="en-US"/>
    </w:rPr>
  </w:style>
  <w:style w:type="paragraph" w:styleId="2">
    <w:name w:val="heading 2"/>
    <w:basedOn w:val="a"/>
    <w:qFormat/>
    <w:rsid w:val="00A72D75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29D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ій колонтитул Знак"/>
    <w:link w:val="a3"/>
    <w:locked/>
    <w:rsid w:val="00E9229D"/>
    <w:rPr>
      <w:rFonts w:cs="Times New Roman"/>
      <w:sz w:val="28"/>
      <w:szCs w:val="28"/>
      <w:lang w:val="ru-RU" w:eastAsia="en-US" w:bidi="ar-SA"/>
    </w:rPr>
  </w:style>
  <w:style w:type="paragraph" w:customStyle="1" w:styleId="rvps6">
    <w:name w:val="rvps6"/>
    <w:basedOn w:val="a"/>
    <w:rsid w:val="00D67611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customStyle="1" w:styleId="rvts23">
    <w:name w:val="rvts23"/>
    <w:rsid w:val="00D67611"/>
    <w:rPr>
      <w:rFonts w:cs="Times New Roman"/>
    </w:rPr>
  </w:style>
  <w:style w:type="paragraph" w:customStyle="1" w:styleId="a5">
    <w:name w:val="Нормальний текст"/>
    <w:basedOn w:val="a"/>
    <w:rsid w:val="006A6641"/>
    <w:pPr>
      <w:spacing w:before="12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6">
    <w:name w:val="Hyperlink"/>
    <w:rsid w:val="00EE1BFA"/>
    <w:rPr>
      <w:rFonts w:cs="Times New Roman"/>
      <w:color w:val="0000FF"/>
      <w:u w:val="single"/>
    </w:rPr>
  </w:style>
  <w:style w:type="paragraph" w:customStyle="1" w:styleId="tj">
    <w:name w:val="tj"/>
    <w:basedOn w:val="a"/>
    <w:rsid w:val="00040846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4B4DBE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B4DBE"/>
    <w:pPr>
      <w:widowControl w:val="0"/>
      <w:shd w:val="clear" w:color="auto" w:fill="FFFFFF"/>
      <w:spacing w:before="720" w:line="322" w:lineRule="exact"/>
      <w:ind w:firstLine="0"/>
    </w:pPr>
    <w:rPr>
      <w:lang w:val="x-none" w:eastAsia="x-none"/>
    </w:rPr>
  </w:style>
  <w:style w:type="paragraph" w:styleId="a7">
    <w:name w:val="Balloon Text"/>
    <w:basedOn w:val="a"/>
    <w:link w:val="a8"/>
    <w:rsid w:val="00AC53F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rsid w:val="00AC53F5"/>
    <w:rPr>
      <w:rFonts w:ascii="Segoe UI" w:hAnsi="Segoe UI" w:cs="Segoe UI"/>
      <w:sz w:val="18"/>
      <w:szCs w:val="18"/>
      <w:lang w:val="uk-UA" w:eastAsia="en-US"/>
    </w:rPr>
  </w:style>
  <w:style w:type="character" w:customStyle="1" w:styleId="22">
    <w:name w:val="Основний текст 2 Знак"/>
    <w:link w:val="23"/>
    <w:locked/>
    <w:rsid w:val="005A3793"/>
    <w:rPr>
      <w:b/>
      <w:sz w:val="28"/>
      <w:lang w:val="uk-UA" w:eastAsia="x-none"/>
    </w:rPr>
  </w:style>
  <w:style w:type="paragraph" w:styleId="23">
    <w:name w:val="Body Text 2"/>
    <w:basedOn w:val="a"/>
    <w:link w:val="22"/>
    <w:rsid w:val="005A3793"/>
    <w:pPr>
      <w:autoSpaceDE w:val="0"/>
      <w:autoSpaceDN w:val="0"/>
      <w:spacing w:line="240" w:lineRule="auto"/>
      <w:ind w:firstLine="0"/>
      <w:jc w:val="center"/>
    </w:pPr>
    <w:rPr>
      <w:b/>
      <w:szCs w:val="20"/>
      <w:lang w:eastAsia="x-none"/>
    </w:rPr>
  </w:style>
  <w:style w:type="character" w:customStyle="1" w:styleId="24">
    <w:name w:val="Основной текст 2 Знак"/>
    <w:rsid w:val="005A3793"/>
    <w:rPr>
      <w:sz w:val="28"/>
      <w:szCs w:val="28"/>
      <w:lang w:val="uk-UA" w:eastAsia="en-US"/>
    </w:rPr>
  </w:style>
  <w:style w:type="paragraph" w:customStyle="1" w:styleId="1">
    <w:name w:val="Обычный (Интернет)1"/>
    <w:basedOn w:val="a"/>
    <w:rsid w:val="00CC6A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 w:eastAsia="ru-RU"/>
    </w:rPr>
  </w:style>
  <w:style w:type="paragraph" w:styleId="a9">
    <w:name w:val="footer"/>
    <w:basedOn w:val="a"/>
    <w:link w:val="aa"/>
    <w:rsid w:val="00D226D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D226DC"/>
    <w:rPr>
      <w:sz w:val="28"/>
      <w:szCs w:val="28"/>
      <w:lang w:val="uk-UA" w:eastAsia="en-US"/>
    </w:rPr>
  </w:style>
  <w:style w:type="paragraph" w:styleId="ab">
    <w:name w:val="Normal (Web)"/>
    <w:basedOn w:val="a"/>
    <w:rsid w:val="005F39F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character" w:customStyle="1" w:styleId="rvts9">
    <w:name w:val="rvts9"/>
    <w:rsid w:val="0074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AC678-E3A4-4BDB-915D-0F92B7055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B47FB-C82D-497E-8086-61453176D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5FFC9-CE55-4788-90D7-8A4101DF1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4804</Words>
  <Characters>2739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2021-01-05T11:43:00Z</dcterms:created>
  <dcterms:modified xsi:type="dcterms:W3CDTF">2021-01-05T11:43:00Z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