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F3" w:rsidRDefault="001702D9">
      <w:pPr>
        <w:pBdr>
          <w:top w:val="nil"/>
          <w:left w:val="nil"/>
          <w:bottom w:val="nil"/>
          <w:right w:val="nil"/>
          <w:between w:val="nil"/>
        </w:pBdr>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ПОЯСНЮВАЛЬНА ЗАПИСКА</w:t>
      </w:r>
    </w:p>
    <w:p w:rsidR="005863F3" w:rsidRDefault="001702D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проекту постанови Верховної Ради України «Про невідкладні заходи в сфері енергоефективності, спрямовані на зниження витрат домогосподарств на енергоносії»</w:t>
      </w:r>
    </w:p>
    <w:p w:rsidR="005863F3" w:rsidRDefault="005863F3">
      <w:pPr>
        <w:pBdr>
          <w:top w:val="nil"/>
          <w:left w:val="nil"/>
          <w:bottom w:val="nil"/>
          <w:right w:val="nil"/>
          <w:between w:val="nil"/>
        </w:pBdr>
        <w:ind w:firstLine="851"/>
        <w:jc w:val="center"/>
        <w:rPr>
          <w:rFonts w:ascii="Times New Roman" w:eastAsia="Times New Roman" w:hAnsi="Times New Roman" w:cs="Times New Roman"/>
          <w:b/>
          <w:color w:val="000000"/>
          <w:sz w:val="28"/>
          <w:szCs w:val="28"/>
        </w:rPr>
      </w:pPr>
    </w:p>
    <w:p w:rsidR="005863F3" w:rsidRDefault="001702D9">
      <w:pPr>
        <w:numPr>
          <w:ilvl w:val="0"/>
          <w:numId w:val="3"/>
        </w:numPr>
        <w:pBdr>
          <w:top w:val="nil"/>
          <w:left w:val="nil"/>
          <w:bottom w:val="nil"/>
          <w:right w:val="nil"/>
          <w:between w:val="nil"/>
        </w:pBdr>
        <w:ind w:left="0" w:firstLine="99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Обґрунтування необхідності прийняття Постанови </w:t>
      </w:r>
    </w:p>
    <w:p w:rsidR="005863F3" w:rsidRDefault="001702D9">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Підвищення тарифів на розподіл та цін на енергоресурси, зокрема, сезонне зростання цін на газ, скасування пільг на перші 100 кВт-год і для </w:t>
      </w:r>
      <w:proofErr w:type="spellStart"/>
      <w:r>
        <w:rPr>
          <w:rFonts w:ascii="Times New Roman" w:eastAsia="Times New Roman" w:hAnsi="Times New Roman" w:cs="Times New Roman"/>
          <w:color w:val="000000"/>
          <w:sz w:val="28"/>
          <w:szCs w:val="28"/>
        </w:rPr>
        <w:t>електроопалення</w:t>
      </w:r>
      <w:proofErr w:type="spellEnd"/>
      <w:r>
        <w:rPr>
          <w:rFonts w:ascii="Times New Roman" w:eastAsia="Times New Roman" w:hAnsi="Times New Roman" w:cs="Times New Roman"/>
          <w:color w:val="000000"/>
          <w:sz w:val="28"/>
          <w:szCs w:val="28"/>
        </w:rPr>
        <w:t xml:space="preserve"> спричинили акції протесту по всій країні, підвищили рівень соціального напруження в суспільстві. Кара</w:t>
      </w:r>
      <w:r>
        <w:rPr>
          <w:rFonts w:ascii="Times New Roman" w:eastAsia="Times New Roman" w:hAnsi="Times New Roman" w:cs="Times New Roman"/>
          <w:color w:val="000000"/>
          <w:sz w:val="28"/>
          <w:szCs w:val="28"/>
        </w:rPr>
        <w:t>нтинні обмеження, викликані глобальною пандемією COVID-19, призвели до уповільнення економічної активності, збільшення безробіття та зниження доходів домогосподарств. В цій ситуації, вкрай необхідним є запровадження невідкладних, системних заходів, які доз</w:t>
      </w:r>
      <w:r>
        <w:rPr>
          <w:rFonts w:ascii="Times New Roman" w:eastAsia="Times New Roman" w:hAnsi="Times New Roman" w:cs="Times New Roman"/>
          <w:color w:val="000000"/>
          <w:sz w:val="28"/>
          <w:szCs w:val="28"/>
        </w:rPr>
        <w:t xml:space="preserve">волять знизити витрати домогосподарств на енергоносії та житлово-комунальні послуги. Одним з найбільш дієвих напрямків є підвищення енергоефективності. </w:t>
      </w:r>
    </w:p>
    <w:p w:rsidR="005863F3" w:rsidRDefault="001702D9">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рівень витрат домогосподарств на оплату енергоносіїв та житлово-комунальних послуг впливають два основні чинники – тарифи/ціни та обсяг споживання послуг. В той час як споживачі мають обмежені можливості впливати на тарифи постачальників послуг, вони ма</w:t>
      </w:r>
      <w:r>
        <w:rPr>
          <w:rFonts w:ascii="Times New Roman" w:eastAsia="Times New Roman" w:hAnsi="Times New Roman" w:cs="Times New Roman"/>
          <w:color w:val="000000"/>
          <w:sz w:val="28"/>
          <w:szCs w:val="28"/>
        </w:rPr>
        <w:t>ють прямий вплив на обсяг споживання цих послуг. Шляхом впровадження заходів з енергоефективності, домогосподарства можуть знизити власні витрати, підвищити якість життя, збільшити вартість своїх осель та сприяти зниженню викидів забруднюючих речовин та па</w:t>
      </w:r>
      <w:r>
        <w:rPr>
          <w:rFonts w:ascii="Times New Roman" w:eastAsia="Times New Roman" w:hAnsi="Times New Roman" w:cs="Times New Roman"/>
          <w:color w:val="000000"/>
          <w:sz w:val="28"/>
          <w:szCs w:val="28"/>
        </w:rPr>
        <w:t xml:space="preserve">рникових газів. На національному рівні, впровадження енергоефективних заходів, дозволить знизити імпорт енергоносіїв, в першу чергу природного газу, що підсилить енергетичну безпеку України. </w:t>
      </w:r>
    </w:p>
    <w:p w:rsidR="005863F3" w:rsidRDefault="001702D9">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Першочерговими заходами підвищення енергоефективності в будівлях</w:t>
      </w:r>
      <w:r>
        <w:rPr>
          <w:rFonts w:ascii="Times New Roman" w:eastAsia="Times New Roman" w:hAnsi="Times New Roman" w:cs="Times New Roman"/>
          <w:color w:val="000000"/>
          <w:sz w:val="28"/>
          <w:szCs w:val="28"/>
        </w:rPr>
        <w:t xml:space="preserve">, зокрема, багатоквартирних, є встановлення індивідуальних лічильників обліку споживання </w:t>
      </w:r>
      <w:r>
        <w:rPr>
          <w:rFonts w:ascii="Times New Roman" w:eastAsia="Times New Roman" w:hAnsi="Times New Roman" w:cs="Times New Roman"/>
          <w:sz w:val="28"/>
          <w:szCs w:val="28"/>
        </w:rPr>
        <w:t>природного</w:t>
      </w:r>
      <w:r>
        <w:rPr>
          <w:rFonts w:ascii="Times New Roman" w:eastAsia="Times New Roman" w:hAnsi="Times New Roman" w:cs="Times New Roman"/>
          <w:color w:val="000000"/>
          <w:sz w:val="28"/>
          <w:szCs w:val="28"/>
        </w:rPr>
        <w:t xml:space="preserve"> газу та будинкових лічильників теплової енергії, а також встановлення індивідуальних теплових пунктів. Це дозволить домогосподарствам мати прямий контроль т</w:t>
      </w:r>
      <w:r>
        <w:rPr>
          <w:rFonts w:ascii="Times New Roman" w:eastAsia="Times New Roman" w:hAnsi="Times New Roman" w:cs="Times New Roman"/>
          <w:color w:val="000000"/>
          <w:sz w:val="28"/>
          <w:szCs w:val="28"/>
        </w:rPr>
        <w:t>а вплив на рівень власного споживання газу та тепла. Станом на початок 2019 року, не дивлячись на вимоги Закону України «Про забезпечення комерційного обліку природного газу», близько 1,4 млн абонентів, які використовують природний газ для приготування їжі</w:t>
      </w:r>
      <w:r>
        <w:rPr>
          <w:rFonts w:ascii="Times New Roman" w:eastAsia="Times New Roman" w:hAnsi="Times New Roman" w:cs="Times New Roman"/>
          <w:color w:val="000000"/>
          <w:sz w:val="28"/>
          <w:szCs w:val="28"/>
        </w:rPr>
        <w:t>, досі залишаються без його обліку</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w:t>
      </w:r>
    </w:p>
    <w:p w:rsidR="005863F3" w:rsidRDefault="001702D9">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цілому, за оцінками </w:t>
      </w:r>
      <w:proofErr w:type="spellStart"/>
      <w:r>
        <w:rPr>
          <w:rFonts w:ascii="Times New Roman" w:eastAsia="Times New Roman" w:hAnsi="Times New Roman" w:cs="Times New Roman"/>
          <w:color w:val="000000"/>
          <w:sz w:val="28"/>
          <w:szCs w:val="28"/>
        </w:rPr>
        <w:t>Мінрегіону</w:t>
      </w:r>
      <w:proofErr w:type="spellEnd"/>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загальний потенціал скорочення споживання природного газу в Україні за рахунок енергоефективності складає близько 9 млрд. 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Реалізація цього потенціалу, у поєднанні зі збільшенням вл</w:t>
      </w:r>
      <w:r>
        <w:rPr>
          <w:rFonts w:ascii="Times New Roman" w:eastAsia="Times New Roman" w:hAnsi="Times New Roman" w:cs="Times New Roman"/>
          <w:color w:val="000000"/>
          <w:sz w:val="28"/>
          <w:szCs w:val="28"/>
        </w:rPr>
        <w:t xml:space="preserve">асного видобутку природного газу, у середньо- та </w:t>
      </w:r>
      <w:r>
        <w:rPr>
          <w:rFonts w:ascii="Times New Roman" w:eastAsia="Times New Roman" w:hAnsi="Times New Roman" w:cs="Times New Roman"/>
          <w:sz w:val="28"/>
          <w:szCs w:val="28"/>
        </w:rPr>
        <w:t>довгостроковій</w:t>
      </w:r>
      <w:r>
        <w:rPr>
          <w:rFonts w:ascii="Times New Roman" w:eastAsia="Times New Roman" w:hAnsi="Times New Roman" w:cs="Times New Roman"/>
          <w:color w:val="000000"/>
          <w:sz w:val="28"/>
          <w:szCs w:val="28"/>
        </w:rPr>
        <w:t xml:space="preserve"> перспективі дозволить повністю відмовитись від імпорту газу, та, навіть, розпочати експорт. Оцінка інвестиційних потреб, а також розрахункове скорочення споживання природного газу представлено</w:t>
      </w:r>
      <w:r>
        <w:rPr>
          <w:rFonts w:ascii="Times New Roman" w:eastAsia="Times New Roman" w:hAnsi="Times New Roman" w:cs="Times New Roman"/>
          <w:color w:val="000000"/>
          <w:sz w:val="28"/>
          <w:szCs w:val="28"/>
        </w:rPr>
        <w:t xml:space="preserve"> нижче:</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2"/>
        <w:gridCol w:w="1594"/>
        <w:gridCol w:w="2258"/>
        <w:gridCol w:w="2536"/>
      </w:tblGrid>
      <w:tr w:rsidR="005863F3">
        <w:tc>
          <w:tcPr>
            <w:tcW w:w="2962"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Сфера</w:t>
            </w:r>
          </w:p>
        </w:tc>
        <w:tc>
          <w:tcPr>
            <w:tcW w:w="1594"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Потреба в інвестиціях</w:t>
            </w:r>
          </w:p>
        </w:tc>
        <w:tc>
          <w:tcPr>
            <w:tcW w:w="2258"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Потенціал скорочення споживання газу</w:t>
            </w:r>
          </w:p>
        </w:tc>
        <w:tc>
          <w:tcPr>
            <w:tcW w:w="2536"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Зменшення споживання газу на 1 млрд інвестицій</w:t>
            </w:r>
          </w:p>
        </w:tc>
      </w:tr>
      <w:tr w:rsidR="005863F3">
        <w:tc>
          <w:tcPr>
            <w:tcW w:w="2962"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Утеплення багатоквартирних будинків</w:t>
            </w:r>
          </w:p>
        </w:tc>
        <w:tc>
          <w:tcPr>
            <w:tcW w:w="1594"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$ 17 млрд</w:t>
            </w:r>
          </w:p>
        </w:tc>
        <w:tc>
          <w:tcPr>
            <w:tcW w:w="2258"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млрд м</w:t>
            </w:r>
            <w:r>
              <w:rPr>
                <w:rFonts w:ascii="Times New Roman" w:eastAsia="Times New Roman" w:hAnsi="Times New Roman" w:cs="Times New Roman"/>
                <w:color w:val="000000"/>
                <w:sz w:val="28"/>
                <w:szCs w:val="28"/>
                <w:vertAlign w:val="superscript"/>
              </w:rPr>
              <w:t>3</w:t>
            </w:r>
          </w:p>
        </w:tc>
        <w:tc>
          <w:tcPr>
            <w:tcW w:w="2536"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135 млн м</w:t>
            </w:r>
            <w:r>
              <w:rPr>
                <w:rFonts w:ascii="Times New Roman" w:eastAsia="Times New Roman" w:hAnsi="Times New Roman" w:cs="Times New Roman"/>
                <w:color w:val="000000"/>
                <w:sz w:val="28"/>
                <w:szCs w:val="28"/>
                <w:vertAlign w:val="superscript"/>
              </w:rPr>
              <w:t>3</w:t>
            </w:r>
          </w:p>
        </w:tc>
      </w:tr>
      <w:tr w:rsidR="005863F3">
        <w:tc>
          <w:tcPr>
            <w:tcW w:w="2962"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Утеплення індивідуальних будинків</w:t>
            </w:r>
          </w:p>
        </w:tc>
        <w:tc>
          <w:tcPr>
            <w:tcW w:w="1594"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$ 28 млрд</w:t>
            </w:r>
          </w:p>
        </w:tc>
        <w:tc>
          <w:tcPr>
            <w:tcW w:w="2258"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млрд м</w:t>
            </w:r>
            <w:r>
              <w:rPr>
                <w:rFonts w:ascii="Times New Roman" w:eastAsia="Times New Roman" w:hAnsi="Times New Roman" w:cs="Times New Roman"/>
                <w:color w:val="000000"/>
                <w:sz w:val="28"/>
                <w:szCs w:val="28"/>
                <w:vertAlign w:val="superscript"/>
              </w:rPr>
              <w:t>3</w:t>
            </w:r>
          </w:p>
        </w:tc>
        <w:tc>
          <w:tcPr>
            <w:tcW w:w="2536"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168 млн м</w:t>
            </w:r>
            <w:r>
              <w:rPr>
                <w:rFonts w:ascii="Times New Roman" w:eastAsia="Times New Roman" w:hAnsi="Times New Roman" w:cs="Times New Roman"/>
                <w:color w:val="000000"/>
                <w:sz w:val="28"/>
                <w:szCs w:val="28"/>
                <w:vertAlign w:val="superscript"/>
              </w:rPr>
              <w:t>3</w:t>
            </w:r>
          </w:p>
        </w:tc>
      </w:tr>
      <w:tr w:rsidR="005863F3">
        <w:tc>
          <w:tcPr>
            <w:tcW w:w="2962"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Заміна індивідуальних котлів на більш ефективні</w:t>
            </w:r>
          </w:p>
        </w:tc>
        <w:tc>
          <w:tcPr>
            <w:tcW w:w="1594"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 млрд</w:t>
            </w:r>
          </w:p>
        </w:tc>
        <w:tc>
          <w:tcPr>
            <w:tcW w:w="2258"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млрд м</w:t>
            </w:r>
            <w:r>
              <w:rPr>
                <w:rFonts w:ascii="Times New Roman" w:eastAsia="Times New Roman" w:hAnsi="Times New Roman" w:cs="Times New Roman"/>
                <w:color w:val="000000"/>
                <w:sz w:val="28"/>
                <w:szCs w:val="28"/>
                <w:vertAlign w:val="superscript"/>
              </w:rPr>
              <w:t>3</w:t>
            </w:r>
          </w:p>
        </w:tc>
        <w:tc>
          <w:tcPr>
            <w:tcW w:w="2536"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425 млн м</w:t>
            </w:r>
            <w:r>
              <w:rPr>
                <w:rFonts w:ascii="Times New Roman" w:eastAsia="Times New Roman" w:hAnsi="Times New Roman" w:cs="Times New Roman"/>
                <w:color w:val="000000"/>
                <w:sz w:val="28"/>
                <w:szCs w:val="28"/>
                <w:vertAlign w:val="superscript"/>
              </w:rPr>
              <w:t>3</w:t>
            </w:r>
          </w:p>
        </w:tc>
      </w:tr>
      <w:tr w:rsidR="005863F3">
        <w:tc>
          <w:tcPr>
            <w:tcW w:w="2962"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Утеплення громадських будівель</w:t>
            </w:r>
          </w:p>
        </w:tc>
        <w:tc>
          <w:tcPr>
            <w:tcW w:w="1594"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 млрд</w:t>
            </w:r>
          </w:p>
        </w:tc>
        <w:tc>
          <w:tcPr>
            <w:tcW w:w="2258"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 млрд м</w:t>
            </w:r>
            <w:r>
              <w:rPr>
                <w:rFonts w:ascii="Times New Roman" w:eastAsia="Times New Roman" w:hAnsi="Times New Roman" w:cs="Times New Roman"/>
                <w:color w:val="000000"/>
                <w:sz w:val="28"/>
                <w:szCs w:val="28"/>
                <w:vertAlign w:val="superscript"/>
              </w:rPr>
              <w:t>3</w:t>
            </w:r>
          </w:p>
        </w:tc>
        <w:tc>
          <w:tcPr>
            <w:tcW w:w="2536"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млн м</w:t>
            </w:r>
            <w:r>
              <w:rPr>
                <w:rFonts w:ascii="Times New Roman" w:eastAsia="Times New Roman" w:hAnsi="Times New Roman" w:cs="Times New Roman"/>
                <w:color w:val="000000"/>
                <w:sz w:val="28"/>
                <w:szCs w:val="28"/>
                <w:vertAlign w:val="superscript"/>
              </w:rPr>
              <w:t>3</w:t>
            </w:r>
          </w:p>
        </w:tc>
      </w:tr>
      <w:tr w:rsidR="005863F3">
        <w:tc>
          <w:tcPr>
            <w:tcW w:w="2962"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Всього</w:t>
            </w:r>
          </w:p>
        </w:tc>
        <w:tc>
          <w:tcPr>
            <w:tcW w:w="1594"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$ 51 млрд</w:t>
            </w:r>
          </w:p>
        </w:tc>
        <w:tc>
          <w:tcPr>
            <w:tcW w:w="2258" w:type="dxa"/>
          </w:tcPr>
          <w:p w:rsidR="005863F3" w:rsidRDefault="001702D9">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 млрд м</w:t>
            </w:r>
            <w:r>
              <w:rPr>
                <w:rFonts w:ascii="Times New Roman" w:eastAsia="Times New Roman" w:hAnsi="Times New Roman" w:cs="Times New Roman"/>
                <w:color w:val="000000"/>
                <w:sz w:val="28"/>
                <w:szCs w:val="28"/>
                <w:vertAlign w:val="superscript"/>
              </w:rPr>
              <w:t>3</w:t>
            </w:r>
          </w:p>
        </w:tc>
        <w:tc>
          <w:tcPr>
            <w:tcW w:w="2536" w:type="dxa"/>
          </w:tcPr>
          <w:p w:rsidR="005863F3" w:rsidRDefault="005863F3">
            <w:pPr>
              <w:pBdr>
                <w:top w:val="nil"/>
                <w:left w:val="nil"/>
                <w:bottom w:val="nil"/>
                <w:right w:val="nil"/>
                <w:between w:val="nil"/>
              </w:pBdr>
              <w:spacing w:after="160"/>
              <w:jc w:val="both"/>
              <w:rPr>
                <w:rFonts w:ascii="Times New Roman" w:eastAsia="Times New Roman" w:hAnsi="Times New Roman" w:cs="Times New Roman"/>
                <w:color w:val="000000"/>
                <w:sz w:val="28"/>
                <w:szCs w:val="28"/>
              </w:rPr>
            </w:pPr>
          </w:p>
        </w:tc>
      </w:tr>
    </w:tbl>
    <w:p w:rsidR="005863F3" w:rsidRDefault="001702D9">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розрахунками, найбільший потенціал скорочення споживання </w:t>
      </w:r>
      <w:r>
        <w:rPr>
          <w:rFonts w:ascii="Times New Roman" w:eastAsia="Times New Roman" w:hAnsi="Times New Roman" w:cs="Times New Roman"/>
          <w:sz w:val="28"/>
          <w:szCs w:val="28"/>
        </w:rPr>
        <w:t>природного</w:t>
      </w:r>
      <w:r>
        <w:rPr>
          <w:rFonts w:ascii="Times New Roman" w:eastAsia="Times New Roman" w:hAnsi="Times New Roman" w:cs="Times New Roman"/>
          <w:color w:val="000000"/>
          <w:sz w:val="28"/>
          <w:szCs w:val="28"/>
        </w:rPr>
        <w:t xml:space="preserve"> газу на $1 млрд інвестицій має заміна індивідуальних котлів на більш ефективні (425 млн 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xml:space="preserve">). </w:t>
      </w:r>
    </w:p>
    <w:p w:rsidR="005863F3" w:rsidRDefault="001702D9">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той же час, наразі побутові споживачі, що мешкають в індивідуальних будинках, мають дуже обмежені можливості впроваджувати заходи з енергоефективності. Головна</w:t>
      </w:r>
      <w:r>
        <w:rPr>
          <w:rFonts w:ascii="Times New Roman" w:eastAsia="Times New Roman" w:hAnsi="Times New Roman" w:cs="Times New Roman"/>
          <w:color w:val="000000"/>
          <w:sz w:val="28"/>
          <w:szCs w:val="28"/>
        </w:rPr>
        <w:t xml:space="preserve"> причина цього – відсутність стабільної та всеохоплюючої державної підтримки, спрямованої на надання часткової компенсації вартості енергозберігаючих товарів, технологій та робіт. </w:t>
      </w:r>
    </w:p>
    <w:p w:rsidR="005863F3" w:rsidRDefault="001702D9">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сьогодні, єдина державна програма підтримки побутових споживачів, що меш</w:t>
      </w:r>
      <w:r>
        <w:rPr>
          <w:rFonts w:ascii="Times New Roman" w:eastAsia="Times New Roman" w:hAnsi="Times New Roman" w:cs="Times New Roman"/>
          <w:color w:val="000000"/>
          <w:sz w:val="28"/>
          <w:szCs w:val="28"/>
        </w:rPr>
        <w:t xml:space="preserve">кають в індивідуальних будинках, це Державна цільова економічна </w:t>
      </w:r>
      <w:r>
        <w:rPr>
          <w:rFonts w:ascii="Times New Roman" w:eastAsia="Times New Roman" w:hAnsi="Times New Roman" w:cs="Times New Roman"/>
          <w:color w:val="000000"/>
          <w:sz w:val="28"/>
          <w:szCs w:val="28"/>
        </w:rPr>
        <w:lastRenderedPageBreak/>
        <w:t xml:space="preserve">програма енергоефективності і розвитку сфери виробництва енергоносіїв з відновлюваних джерел енергії та альтернативних видів палива на 2010-2021 або </w:t>
      </w:r>
      <w:proofErr w:type="spellStart"/>
      <w:r>
        <w:rPr>
          <w:rFonts w:ascii="Times New Roman" w:eastAsia="Times New Roman" w:hAnsi="Times New Roman" w:cs="Times New Roman"/>
          <w:color w:val="000000"/>
          <w:sz w:val="28"/>
          <w:szCs w:val="28"/>
        </w:rPr>
        <w:t>т.зв</w:t>
      </w:r>
      <w:proofErr w:type="spellEnd"/>
      <w:r>
        <w:rPr>
          <w:rFonts w:ascii="Times New Roman" w:eastAsia="Times New Roman" w:hAnsi="Times New Roman" w:cs="Times New Roman"/>
          <w:color w:val="000000"/>
          <w:sz w:val="28"/>
          <w:szCs w:val="28"/>
        </w:rPr>
        <w:t>. «теплі кредити» (далі – Програма). Пр</w:t>
      </w:r>
      <w:r>
        <w:rPr>
          <w:rFonts w:ascii="Times New Roman" w:eastAsia="Times New Roman" w:hAnsi="Times New Roman" w:cs="Times New Roman"/>
          <w:color w:val="000000"/>
          <w:sz w:val="28"/>
          <w:szCs w:val="28"/>
        </w:rPr>
        <w:t>отягом 2014-2020 рр. Програмою скористались 857 тис. родин. Було видано 336 807 кредитів, загальною сумою майже 9 млрд. грн</w:t>
      </w:r>
      <w:r>
        <w:rPr>
          <w:rFonts w:ascii="Times New Roman" w:eastAsia="Times New Roman" w:hAnsi="Times New Roman" w:cs="Times New Roman"/>
          <w:color w:val="000000"/>
          <w:sz w:val="28"/>
          <w:szCs w:val="28"/>
          <w:vertAlign w:val="superscript"/>
        </w:rPr>
        <w:footnoteReference w:id="3"/>
      </w:r>
      <w:r>
        <w:rPr>
          <w:rFonts w:ascii="Times New Roman" w:eastAsia="Times New Roman" w:hAnsi="Times New Roman" w:cs="Times New Roman"/>
          <w:color w:val="000000"/>
          <w:sz w:val="28"/>
          <w:szCs w:val="28"/>
        </w:rPr>
        <w:t>. Завдяки швидкості та простоті впровадження, Програма швидко стало популярною серед населення.</w:t>
      </w:r>
    </w:p>
    <w:p w:rsidR="005863F3" w:rsidRDefault="001702D9">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Проте, в державному бюджеті на 2021 </w:t>
      </w:r>
      <w:r>
        <w:rPr>
          <w:rFonts w:ascii="Times New Roman" w:eastAsia="Times New Roman" w:hAnsi="Times New Roman" w:cs="Times New Roman"/>
          <w:color w:val="000000"/>
          <w:sz w:val="28"/>
          <w:szCs w:val="28"/>
        </w:rPr>
        <w:t>рік, видатки на реалізацію Державної цільової економічної програми енергоефективності передбачені всього в обсязі 150 млн. грн, що не тільки значно менше ніж попит на «теплі кредити», але й більш ніж вдвічі менше ніж обсяг фінансування в попередні роки. Бі</w:t>
      </w:r>
      <w:r>
        <w:rPr>
          <w:rFonts w:ascii="Times New Roman" w:eastAsia="Times New Roman" w:hAnsi="Times New Roman" w:cs="Times New Roman"/>
          <w:color w:val="000000"/>
          <w:sz w:val="28"/>
          <w:szCs w:val="28"/>
        </w:rPr>
        <w:t>льше того, Програмою взагалі не передбачено фінансування на заходи заміни застарілих котлів на високоефективні газові котли, що є розповсюдженою практикою в розвинутих країнах світу.</w:t>
      </w:r>
    </w:p>
    <w:p w:rsidR="005863F3" w:rsidRDefault="001702D9">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чином, на сьогодні домогосподарства, які мешкають у індивідуальних </w:t>
      </w:r>
      <w:r>
        <w:rPr>
          <w:rFonts w:ascii="Times New Roman" w:eastAsia="Times New Roman" w:hAnsi="Times New Roman" w:cs="Times New Roman"/>
          <w:color w:val="000000"/>
          <w:sz w:val="28"/>
          <w:szCs w:val="28"/>
        </w:rPr>
        <w:t xml:space="preserve">будинках і які найбільш вразливі до змін тарифів на розподіл та цін на постачання природного газу та електричної енергії, не мають дієвих інструментів по впровадженню найбільш ефективних заходів з підвищення енергоефективності. </w:t>
      </w:r>
    </w:p>
    <w:p w:rsidR="005863F3" w:rsidRDefault="001702D9">
      <w:pPr>
        <w:numPr>
          <w:ilvl w:val="0"/>
          <w:numId w:val="3"/>
        </w:numPr>
        <w:pBdr>
          <w:top w:val="nil"/>
          <w:left w:val="nil"/>
          <w:bottom w:val="nil"/>
          <w:right w:val="nil"/>
          <w:between w:val="nil"/>
        </w:pBdr>
        <w:ind w:left="0" w:firstLine="99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Цілі і завдання акту </w:t>
      </w:r>
    </w:p>
    <w:p w:rsidR="005863F3" w:rsidRDefault="001702D9">
      <w:pPr>
        <w:pBdr>
          <w:top w:val="nil"/>
          <w:left w:val="nil"/>
          <w:bottom w:val="nil"/>
          <w:right w:val="nil"/>
          <w:between w:val="nil"/>
        </w:pBdr>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w:t>
      </w:r>
      <w:r>
        <w:rPr>
          <w:rFonts w:ascii="Times New Roman" w:eastAsia="Times New Roman" w:hAnsi="Times New Roman" w:cs="Times New Roman"/>
          <w:color w:val="000000"/>
          <w:sz w:val="28"/>
          <w:szCs w:val="28"/>
        </w:rPr>
        <w:t xml:space="preserve">ною метою прийняття постанови є пом’якшення наслідків зростання цін на енергоносії та пов’язаних тарифів на їх розподіл для домогосподарств шляхом сприяння реалізації заходів з енергоефективності у побутовому секторі. </w:t>
      </w:r>
    </w:p>
    <w:p w:rsidR="005863F3" w:rsidRDefault="005863F3">
      <w:pPr>
        <w:pBdr>
          <w:top w:val="nil"/>
          <w:left w:val="nil"/>
          <w:bottom w:val="nil"/>
          <w:right w:val="nil"/>
          <w:between w:val="nil"/>
        </w:pBdr>
        <w:ind w:firstLine="993"/>
        <w:jc w:val="both"/>
        <w:rPr>
          <w:rFonts w:ascii="Times New Roman" w:eastAsia="Times New Roman" w:hAnsi="Times New Roman" w:cs="Times New Roman"/>
          <w:color w:val="000000"/>
          <w:sz w:val="28"/>
          <w:szCs w:val="28"/>
        </w:rPr>
      </w:pPr>
    </w:p>
    <w:p w:rsidR="005863F3" w:rsidRDefault="001702D9">
      <w:pPr>
        <w:numPr>
          <w:ilvl w:val="0"/>
          <w:numId w:val="3"/>
        </w:numPr>
        <w:pBdr>
          <w:top w:val="nil"/>
          <w:left w:val="nil"/>
          <w:bottom w:val="nil"/>
          <w:right w:val="nil"/>
          <w:between w:val="nil"/>
        </w:pBdr>
        <w:ind w:left="0" w:firstLine="99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Загальна характеристика та основні п</w:t>
      </w:r>
      <w:r>
        <w:rPr>
          <w:rFonts w:ascii="Times New Roman" w:eastAsia="Times New Roman" w:hAnsi="Times New Roman" w:cs="Times New Roman"/>
          <w:b/>
          <w:color w:val="000000"/>
          <w:sz w:val="28"/>
          <w:szCs w:val="28"/>
        </w:rPr>
        <w:t xml:space="preserve">оложення проекту </w:t>
      </w:r>
    </w:p>
    <w:p w:rsidR="005863F3" w:rsidRDefault="001702D9">
      <w:pPr>
        <w:pBdr>
          <w:top w:val="nil"/>
          <w:left w:val="nil"/>
          <w:bottom w:val="nil"/>
          <w:right w:val="nil"/>
          <w:between w:val="nil"/>
        </w:pBdr>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Проектом Постанови Верховної Ради України передбачено:</w:t>
      </w:r>
    </w:p>
    <w:p w:rsidR="005863F3" w:rsidRDefault="001702D9">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Збільшення видатків на реалізацію Державної цільової економічної програми енергоефективності до щонайменше 2 млрд грн.</w:t>
      </w:r>
    </w:p>
    <w:p w:rsidR="005863F3" w:rsidRDefault="001702D9">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Внесення змін до Державної цільової економічної програми енергоефективності та до інших актів Кабінету Міністрів України у частині:</w:t>
      </w:r>
    </w:p>
    <w:p w:rsidR="005863F3" w:rsidRDefault="001702D9">
      <w:pPr>
        <w:numPr>
          <w:ilvl w:val="2"/>
          <w:numId w:val="2"/>
        </w:numPr>
        <w:pBdr>
          <w:top w:val="nil"/>
          <w:left w:val="nil"/>
          <w:bottom w:val="nil"/>
          <w:right w:val="nil"/>
          <w:between w:val="nil"/>
        </w:pBdr>
        <w:spacing w:before="40"/>
        <w:ind w:left="1276"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збільшення обсягів фінансування в розмірі щонайменше 1 млрд грн для стимулювання населення до впровадження енергоефективних </w:t>
      </w:r>
      <w:r>
        <w:rPr>
          <w:rFonts w:ascii="Times New Roman" w:eastAsia="Times New Roman" w:hAnsi="Times New Roman" w:cs="Times New Roman"/>
          <w:color w:val="000000"/>
          <w:sz w:val="28"/>
          <w:szCs w:val="28"/>
        </w:rPr>
        <w:t>заходів шляхом відшкодування частини суми кредитів та відповідного перегляду очікуваних результатів;</w:t>
      </w:r>
    </w:p>
    <w:p w:rsidR="005863F3" w:rsidRDefault="001702D9">
      <w:pPr>
        <w:numPr>
          <w:ilvl w:val="2"/>
          <w:numId w:val="2"/>
        </w:numPr>
        <w:pBdr>
          <w:top w:val="nil"/>
          <w:left w:val="nil"/>
          <w:bottom w:val="nil"/>
          <w:right w:val="nil"/>
          <w:between w:val="nil"/>
        </w:pBdr>
        <w:ind w:left="1276"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надання фінансування в розмірі щонайменше 800 млн грн для стимулювання населення до заміни газових котлів на нові високоефективні газові котли шляхом відшк</w:t>
      </w:r>
      <w:r>
        <w:rPr>
          <w:rFonts w:ascii="Times New Roman" w:eastAsia="Times New Roman" w:hAnsi="Times New Roman" w:cs="Times New Roman"/>
          <w:color w:val="000000"/>
          <w:sz w:val="28"/>
          <w:szCs w:val="28"/>
        </w:rPr>
        <w:t>одування частини суми кредитів та встановлення відповідних очікуваних результатів;</w:t>
      </w:r>
    </w:p>
    <w:p w:rsidR="005863F3" w:rsidRDefault="001702D9">
      <w:pPr>
        <w:numPr>
          <w:ilvl w:val="2"/>
          <w:numId w:val="2"/>
        </w:numPr>
        <w:pBdr>
          <w:top w:val="nil"/>
          <w:left w:val="nil"/>
          <w:bottom w:val="nil"/>
          <w:right w:val="nil"/>
          <w:between w:val="nil"/>
        </w:pBdr>
        <w:spacing w:after="60"/>
        <w:ind w:left="1276"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надання фінансування в розмірі щонайменше 200 млн грн для стимулювання населення до заміни газових котлів на нові конденсаційні газові котли шляхом відшкодування частини суми кредитів та встановлення відповідних очікуваних результатів.</w:t>
      </w:r>
    </w:p>
    <w:p w:rsidR="005863F3" w:rsidRDefault="001702D9">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Запровадження посади</w:t>
      </w:r>
      <w:r>
        <w:rPr>
          <w:rFonts w:ascii="Times New Roman" w:eastAsia="Times New Roman" w:hAnsi="Times New Roman" w:cs="Times New Roman"/>
          <w:sz w:val="28"/>
          <w:szCs w:val="28"/>
        </w:rPr>
        <w:t xml:space="preserve"> віце-Прем’єра з питань низьковуглецевого розвитку та енергоефективності для координації повноважень у сфері формування та впровадження політик у цих сферах.</w:t>
      </w:r>
    </w:p>
    <w:p w:rsidR="005863F3" w:rsidRDefault="001702D9">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Передання повноважень Державного агентства з енергоефективності та енергозбереження (</w:t>
      </w:r>
      <w:proofErr w:type="spellStart"/>
      <w:r>
        <w:rPr>
          <w:rFonts w:ascii="Times New Roman" w:eastAsia="Times New Roman" w:hAnsi="Times New Roman" w:cs="Times New Roman"/>
          <w:sz w:val="28"/>
          <w:szCs w:val="28"/>
        </w:rPr>
        <w:t>Держенергоеф</w:t>
      </w:r>
      <w:r>
        <w:rPr>
          <w:rFonts w:ascii="Times New Roman" w:eastAsia="Times New Roman" w:hAnsi="Times New Roman" w:cs="Times New Roman"/>
          <w:sz w:val="28"/>
          <w:szCs w:val="28"/>
        </w:rPr>
        <w:t>ективності</w:t>
      </w:r>
      <w:proofErr w:type="spellEnd"/>
      <w:r>
        <w:rPr>
          <w:rFonts w:ascii="Times New Roman" w:eastAsia="Times New Roman" w:hAnsi="Times New Roman" w:cs="Times New Roman"/>
          <w:sz w:val="28"/>
          <w:szCs w:val="28"/>
        </w:rPr>
        <w:t xml:space="preserve">) у сфері відновлюваних джерел енергії до Міністерства енергетики України та зосередження роботи </w:t>
      </w:r>
      <w:proofErr w:type="spellStart"/>
      <w:r>
        <w:rPr>
          <w:rFonts w:ascii="Times New Roman" w:eastAsia="Times New Roman" w:hAnsi="Times New Roman" w:cs="Times New Roman"/>
          <w:sz w:val="28"/>
          <w:szCs w:val="28"/>
        </w:rPr>
        <w:t>Держенергоефективності</w:t>
      </w:r>
      <w:proofErr w:type="spellEnd"/>
      <w:r>
        <w:rPr>
          <w:rFonts w:ascii="Times New Roman" w:eastAsia="Times New Roman" w:hAnsi="Times New Roman" w:cs="Times New Roman"/>
          <w:sz w:val="28"/>
          <w:szCs w:val="28"/>
        </w:rPr>
        <w:t xml:space="preserve"> на питаннях, пов’язаних з енергоефективністю.</w:t>
      </w:r>
    </w:p>
    <w:p w:rsidR="005863F3" w:rsidRDefault="001702D9">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Невідкладне проведення конкурсу та призначення Голови </w:t>
      </w:r>
      <w:proofErr w:type="spellStart"/>
      <w:r>
        <w:rPr>
          <w:rFonts w:ascii="Times New Roman" w:eastAsia="Times New Roman" w:hAnsi="Times New Roman" w:cs="Times New Roman"/>
          <w:sz w:val="28"/>
          <w:szCs w:val="28"/>
        </w:rPr>
        <w:t>Держенергоефективності</w:t>
      </w:r>
      <w:proofErr w:type="spellEnd"/>
      <w:r>
        <w:rPr>
          <w:rFonts w:ascii="Times New Roman" w:eastAsia="Times New Roman" w:hAnsi="Times New Roman" w:cs="Times New Roman"/>
          <w:sz w:val="28"/>
          <w:szCs w:val="28"/>
        </w:rPr>
        <w:t xml:space="preserve">. </w:t>
      </w:r>
    </w:p>
    <w:p w:rsidR="005863F3" w:rsidRDefault="001702D9">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озроблення програми усунення бар’єрів та стимулювання впровадження повного комерційного обліку теплової енергії в багатоквартирних будинках.</w:t>
      </w:r>
    </w:p>
    <w:p w:rsidR="005863F3" w:rsidRDefault="001702D9">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проведення інформаційно-роз’яснювальної кампанії для населення з метою його залучення до реалізації за</w:t>
      </w:r>
      <w:r>
        <w:rPr>
          <w:rFonts w:ascii="Times New Roman" w:eastAsia="Times New Roman" w:hAnsi="Times New Roman" w:cs="Times New Roman"/>
          <w:color w:val="000000"/>
          <w:sz w:val="28"/>
          <w:szCs w:val="28"/>
        </w:rPr>
        <w:t>ходів енергоефективності та інформування щодо права на зміну постачальника природного газу</w:t>
      </w:r>
    </w:p>
    <w:p w:rsidR="005863F3" w:rsidRDefault="001702D9">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спільно з Антимонопольним комітетом України проведення перевірок операторів газорозподільних систем, операторів систем розподілу електроенергії та поста</w:t>
      </w:r>
      <w:r>
        <w:rPr>
          <w:rFonts w:ascii="Times New Roman" w:eastAsia="Times New Roman" w:hAnsi="Times New Roman" w:cs="Times New Roman"/>
          <w:color w:val="000000"/>
          <w:sz w:val="28"/>
          <w:szCs w:val="28"/>
        </w:rPr>
        <w:t>чальників природного газу і електроенергії відповідно щодо виконання ними Закону України “Про ринок природного газу” в частині відокремлення їх діяльності один від одного.</w:t>
      </w:r>
    </w:p>
    <w:p w:rsidR="005863F3" w:rsidRDefault="001702D9">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Рекомендація органам місцевого самоврядування та обласним державним адміністраціям з</w:t>
      </w:r>
      <w:r>
        <w:rPr>
          <w:rFonts w:ascii="Times New Roman" w:eastAsia="Times New Roman" w:hAnsi="Times New Roman" w:cs="Times New Roman"/>
          <w:color w:val="000000"/>
          <w:sz w:val="28"/>
          <w:szCs w:val="28"/>
        </w:rPr>
        <w:t>більшити обсяг фінансування Програм енергоефективності, які фінансуються із місцевих бюджетів.</w:t>
      </w:r>
    </w:p>
    <w:p w:rsidR="005863F3" w:rsidRDefault="005863F3">
      <w:pPr>
        <w:pBdr>
          <w:top w:val="nil"/>
          <w:left w:val="nil"/>
          <w:bottom w:val="nil"/>
          <w:right w:val="nil"/>
          <w:between w:val="nil"/>
        </w:pBdr>
        <w:ind w:left="360"/>
        <w:jc w:val="both"/>
        <w:rPr>
          <w:rFonts w:ascii="Times New Roman" w:eastAsia="Times New Roman" w:hAnsi="Times New Roman" w:cs="Times New Roman"/>
          <w:color w:val="000000"/>
          <w:sz w:val="28"/>
          <w:szCs w:val="28"/>
        </w:rPr>
      </w:pPr>
    </w:p>
    <w:p w:rsidR="005863F3" w:rsidRDefault="001702D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Окрім того, з метою припинення тиску та протидії споживачам, які вирішили змінити постачальника газу, та з метою обмеження незаконних нарахувань, проектом постанови, Кабінету Міністрів України та Антимонопольному комітету України доручається переглянути ви</w:t>
      </w:r>
      <w:r>
        <w:rPr>
          <w:rFonts w:ascii="Times New Roman" w:eastAsia="Times New Roman" w:hAnsi="Times New Roman" w:cs="Times New Roman"/>
          <w:color w:val="000000"/>
          <w:sz w:val="28"/>
          <w:szCs w:val="28"/>
        </w:rPr>
        <w:t xml:space="preserve">моги щодо діяльності операторів газорозподільних мереж і операторів систем розподілу електроенергії та посилити відповідальність за порушення і зловживання, включно із позбавленням ліцензії. Проектом постанови також передбачається проведення </w:t>
      </w:r>
      <w:r>
        <w:rPr>
          <w:rFonts w:ascii="Times New Roman" w:eastAsia="Times New Roman" w:hAnsi="Times New Roman" w:cs="Times New Roman"/>
          <w:color w:val="000000"/>
          <w:sz w:val="28"/>
          <w:szCs w:val="28"/>
        </w:rPr>
        <w:lastRenderedPageBreak/>
        <w:t>перевірок опер</w:t>
      </w:r>
      <w:r>
        <w:rPr>
          <w:rFonts w:ascii="Times New Roman" w:eastAsia="Times New Roman" w:hAnsi="Times New Roman" w:cs="Times New Roman"/>
          <w:color w:val="000000"/>
          <w:sz w:val="28"/>
          <w:szCs w:val="28"/>
        </w:rPr>
        <w:t xml:space="preserve">аторів газорозподільних систем, операторів систем розподілу електроенергії та постачальників природного газу і електроенергії щодо виконання ними Закону України “Про ринок природного газу” в частині відокремлення їх діяльності один від одного. </w:t>
      </w:r>
    </w:p>
    <w:p w:rsidR="005863F3" w:rsidRDefault="005863F3">
      <w:pPr>
        <w:pBdr>
          <w:top w:val="nil"/>
          <w:left w:val="nil"/>
          <w:bottom w:val="nil"/>
          <w:right w:val="nil"/>
          <w:between w:val="nil"/>
        </w:pBdr>
        <w:ind w:firstLine="993"/>
        <w:jc w:val="both"/>
        <w:rPr>
          <w:rFonts w:ascii="Times New Roman" w:eastAsia="Times New Roman" w:hAnsi="Times New Roman" w:cs="Times New Roman"/>
          <w:color w:val="000000"/>
          <w:sz w:val="28"/>
          <w:szCs w:val="28"/>
        </w:rPr>
      </w:pPr>
    </w:p>
    <w:p w:rsidR="005863F3" w:rsidRDefault="001702D9">
      <w:pPr>
        <w:numPr>
          <w:ilvl w:val="0"/>
          <w:numId w:val="3"/>
        </w:numPr>
        <w:pBdr>
          <w:top w:val="nil"/>
          <w:left w:val="nil"/>
          <w:bottom w:val="nil"/>
          <w:right w:val="nil"/>
          <w:between w:val="nil"/>
        </w:pBdr>
        <w:ind w:left="0" w:firstLine="99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Стан норма</w:t>
      </w:r>
      <w:r>
        <w:rPr>
          <w:rFonts w:ascii="Times New Roman" w:eastAsia="Times New Roman" w:hAnsi="Times New Roman" w:cs="Times New Roman"/>
          <w:b/>
          <w:color w:val="000000"/>
          <w:sz w:val="28"/>
          <w:szCs w:val="28"/>
        </w:rPr>
        <w:t xml:space="preserve">тивно-правової бази у даній сфері правового регулювання </w:t>
      </w:r>
    </w:p>
    <w:p w:rsidR="005863F3" w:rsidRDefault="001702D9">
      <w:pPr>
        <w:spacing w:line="276" w:lineRule="auto"/>
        <w:ind w:firstLine="709"/>
        <w:jc w:val="both"/>
        <w:rPr>
          <w:sz w:val="28"/>
          <w:szCs w:val="28"/>
        </w:rPr>
      </w:pPr>
      <w:r>
        <w:rPr>
          <w:rFonts w:ascii="Times New Roman" w:eastAsia="Times New Roman" w:hAnsi="Times New Roman" w:cs="Times New Roman"/>
          <w:sz w:val="28"/>
          <w:szCs w:val="28"/>
        </w:rPr>
        <w:t>Правове регулювання у даній сфері забезпечується Конституцією України, Законом України «Про житлово-комунальні послуги», Законом України «Про природні монополії», Законом України «Про ринок природног</w:t>
      </w:r>
      <w:r>
        <w:rPr>
          <w:rFonts w:ascii="Times New Roman" w:eastAsia="Times New Roman" w:hAnsi="Times New Roman" w:cs="Times New Roman"/>
          <w:sz w:val="28"/>
          <w:szCs w:val="28"/>
        </w:rPr>
        <w:t>о газу», Законом України «Про ринок електричної енергії», Законом України «Про Національну комісію, що здійснює державне регулювання у сферах енергетики та комунальних послуг», постановами Кабінету Міністрів України,  постановами Національної комісії, що з</w:t>
      </w:r>
      <w:r>
        <w:rPr>
          <w:rFonts w:ascii="Times New Roman" w:eastAsia="Times New Roman" w:hAnsi="Times New Roman" w:cs="Times New Roman"/>
          <w:sz w:val="28"/>
          <w:szCs w:val="28"/>
        </w:rPr>
        <w:t>дійснює державне регулювання у сферах енергетики та комунальних послуг</w:t>
      </w:r>
      <w:r>
        <w:rPr>
          <w:sz w:val="28"/>
          <w:szCs w:val="28"/>
        </w:rPr>
        <w:t>.</w:t>
      </w:r>
    </w:p>
    <w:p w:rsidR="005863F3" w:rsidRDefault="005863F3">
      <w:pPr>
        <w:spacing w:line="276" w:lineRule="auto"/>
        <w:ind w:firstLine="709"/>
        <w:jc w:val="both"/>
        <w:rPr>
          <w:sz w:val="28"/>
          <w:szCs w:val="28"/>
        </w:rPr>
      </w:pPr>
    </w:p>
    <w:p w:rsidR="005863F3" w:rsidRDefault="001702D9">
      <w:pPr>
        <w:numPr>
          <w:ilvl w:val="0"/>
          <w:numId w:val="3"/>
        </w:numPr>
        <w:pBdr>
          <w:top w:val="nil"/>
          <w:left w:val="nil"/>
          <w:bottom w:val="nil"/>
          <w:right w:val="nil"/>
          <w:between w:val="nil"/>
        </w:pBdr>
        <w:ind w:left="0" w:firstLine="99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Фінансово-економічне обґрунтування </w:t>
      </w:r>
    </w:p>
    <w:p w:rsidR="005863F3" w:rsidRDefault="001702D9">
      <w:pPr>
        <w:pBdr>
          <w:top w:val="nil"/>
          <w:left w:val="nil"/>
          <w:bottom w:val="nil"/>
          <w:right w:val="nil"/>
          <w:between w:val="nil"/>
        </w:pBdr>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Прийняття постанови не потребує додаткових витрат з Державного бюджету України. </w:t>
      </w:r>
    </w:p>
    <w:p w:rsidR="005863F3" w:rsidRDefault="005863F3">
      <w:pPr>
        <w:pBdr>
          <w:top w:val="nil"/>
          <w:left w:val="nil"/>
          <w:bottom w:val="nil"/>
          <w:right w:val="nil"/>
          <w:between w:val="nil"/>
        </w:pBdr>
        <w:ind w:firstLine="993"/>
        <w:jc w:val="both"/>
        <w:rPr>
          <w:rFonts w:ascii="Times New Roman" w:eastAsia="Times New Roman" w:hAnsi="Times New Roman" w:cs="Times New Roman"/>
          <w:color w:val="000000"/>
          <w:sz w:val="28"/>
          <w:szCs w:val="28"/>
        </w:rPr>
      </w:pPr>
    </w:p>
    <w:p w:rsidR="005863F3" w:rsidRDefault="001702D9">
      <w:pPr>
        <w:numPr>
          <w:ilvl w:val="0"/>
          <w:numId w:val="3"/>
        </w:numPr>
        <w:pBdr>
          <w:top w:val="nil"/>
          <w:left w:val="nil"/>
          <w:bottom w:val="nil"/>
          <w:right w:val="nil"/>
          <w:between w:val="nil"/>
        </w:pBdr>
        <w:ind w:left="0" w:firstLine="99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Прогноз соціально-економічних наслідків прийняття акту </w:t>
      </w:r>
    </w:p>
    <w:p w:rsidR="005863F3" w:rsidRDefault="001702D9">
      <w:pPr>
        <w:pBdr>
          <w:top w:val="nil"/>
          <w:left w:val="nil"/>
          <w:bottom w:val="nil"/>
          <w:right w:val="nil"/>
          <w:between w:val="nil"/>
        </w:pBdr>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Прийняття проекту Постанови забезпечить надання домогосподарствам доступ до дієвих інструментів зниження витрат на енергоносії, шляхом впровадження заходів з енергоефективності, зменшить фінансове навантаження на побутових споживачів, спростить перехід до </w:t>
      </w:r>
      <w:r>
        <w:rPr>
          <w:rFonts w:ascii="Times New Roman" w:eastAsia="Times New Roman" w:hAnsi="Times New Roman" w:cs="Times New Roman"/>
          <w:color w:val="000000"/>
          <w:sz w:val="28"/>
          <w:szCs w:val="28"/>
        </w:rPr>
        <w:t xml:space="preserve">постачальників, які пропонують на ринку кращі умови та нижчі ціни, завершити фактичний </w:t>
      </w:r>
      <w:proofErr w:type="spellStart"/>
      <w:r>
        <w:rPr>
          <w:rFonts w:ascii="Times New Roman" w:eastAsia="Times New Roman" w:hAnsi="Times New Roman" w:cs="Times New Roman"/>
          <w:color w:val="000000"/>
          <w:sz w:val="28"/>
          <w:szCs w:val="28"/>
        </w:rPr>
        <w:t>анбандлінг</w:t>
      </w:r>
      <w:proofErr w:type="spellEnd"/>
      <w:r>
        <w:rPr>
          <w:rFonts w:ascii="Times New Roman" w:eastAsia="Times New Roman" w:hAnsi="Times New Roman" w:cs="Times New Roman"/>
          <w:color w:val="000000"/>
          <w:sz w:val="28"/>
          <w:szCs w:val="28"/>
        </w:rPr>
        <w:t xml:space="preserve"> операторів розподільчих мереж та постачальників газу, що підвищить соціальний захист громадян. </w:t>
      </w:r>
    </w:p>
    <w:p w:rsidR="005863F3" w:rsidRDefault="005863F3">
      <w:pPr>
        <w:pBdr>
          <w:top w:val="nil"/>
          <w:left w:val="nil"/>
          <w:bottom w:val="nil"/>
          <w:right w:val="nil"/>
          <w:between w:val="nil"/>
        </w:pBdr>
        <w:jc w:val="both"/>
        <w:rPr>
          <w:rFonts w:ascii="Times New Roman" w:eastAsia="Times New Roman" w:hAnsi="Times New Roman" w:cs="Times New Roman"/>
          <w:color w:val="000000"/>
          <w:sz w:val="28"/>
          <w:szCs w:val="28"/>
        </w:rPr>
      </w:pPr>
    </w:p>
    <w:p w:rsidR="005863F3" w:rsidRDefault="005863F3">
      <w:pPr>
        <w:pBdr>
          <w:top w:val="nil"/>
          <w:left w:val="nil"/>
          <w:bottom w:val="nil"/>
          <w:right w:val="nil"/>
          <w:between w:val="nil"/>
        </w:pBdr>
        <w:jc w:val="both"/>
        <w:rPr>
          <w:rFonts w:ascii="Times New Roman" w:eastAsia="Times New Roman" w:hAnsi="Times New Roman" w:cs="Times New Roman"/>
          <w:color w:val="000000"/>
          <w:sz w:val="28"/>
          <w:szCs w:val="28"/>
        </w:rPr>
      </w:pPr>
    </w:p>
    <w:p w:rsidR="005863F3" w:rsidRDefault="001702D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Народн</w:t>
      </w:r>
      <w:r>
        <w:rPr>
          <w:rFonts w:ascii="Times New Roman" w:eastAsia="Times New Roman" w:hAnsi="Times New Roman" w:cs="Times New Roman"/>
          <w:b/>
          <w:sz w:val="28"/>
          <w:szCs w:val="28"/>
        </w:rPr>
        <w:t>і</w:t>
      </w:r>
      <w:r>
        <w:rPr>
          <w:rFonts w:ascii="Times New Roman" w:eastAsia="Times New Roman" w:hAnsi="Times New Roman" w:cs="Times New Roman"/>
          <w:b/>
          <w:color w:val="000000"/>
          <w:sz w:val="28"/>
          <w:szCs w:val="28"/>
        </w:rPr>
        <w:t xml:space="preserve"> депутати України</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w:t>
      </w:r>
    </w:p>
    <w:p w:rsidR="005863F3" w:rsidRDefault="005863F3"/>
    <w:p w:rsidR="005863F3" w:rsidRDefault="005863F3"/>
    <w:sectPr w:rsidR="005863F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D9" w:rsidRDefault="001702D9">
      <w:r>
        <w:separator/>
      </w:r>
    </w:p>
  </w:endnote>
  <w:endnote w:type="continuationSeparator" w:id="0">
    <w:p w:rsidR="001702D9" w:rsidRDefault="0017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D9" w:rsidRDefault="001702D9">
      <w:r>
        <w:separator/>
      </w:r>
    </w:p>
  </w:footnote>
  <w:footnote w:type="continuationSeparator" w:id="0">
    <w:p w:rsidR="001702D9" w:rsidRDefault="001702D9">
      <w:r>
        <w:continuationSeparator/>
      </w:r>
    </w:p>
  </w:footnote>
  <w:footnote w:id="1">
    <w:p w:rsidR="005863F3" w:rsidRDefault="001702D9">
      <w:pPr>
        <w:pBdr>
          <w:top w:val="nil"/>
          <w:left w:val="nil"/>
          <w:bottom w:val="nil"/>
          <w:right w:val="nil"/>
          <w:between w:val="nil"/>
        </w:pBdr>
        <w:rPr>
          <w:color w:val="000000"/>
          <w:sz w:val="20"/>
          <w:szCs w:val="20"/>
        </w:rPr>
      </w:pPr>
      <w:r>
        <w:rPr>
          <w:rStyle w:val="a6"/>
        </w:rPr>
        <w:footnoteRef/>
      </w:r>
      <w:r>
        <w:rPr>
          <w:color w:val="000000"/>
          <w:sz w:val="20"/>
          <w:szCs w:val="20"/>
        </w:rPr>
        <w:t xml:space="preserve"> </w:t>
      </w:r>
      <w:hyperlink r:id="rId1">
        <w:r>
          <w:rPr>
            <w:color w:val="0563C1"/>
            <w:sz w:val="20"/>
            <w:szCs w:val="20"/>
            <w:u w:val="single"/>
          </w:rPr>
          <w:t>https://www.nerc.gov.ua/?id=16103</w:t>
        </w:r>
      </w:hyperlink>
      <w:r>
        <w:rPr>
          <w:color w:val="000000"/>
          <w:sz w:val="20"/>
          <w:szCs w:val="20"/>
        </w:rPr>
        <w:t xml:space="preserve"> </w:t>
      </w:r>
    </w:p>
  </w:footnote>
  <w:footnote w:id="2">
    <w:p w:rsidR="005863F3" w:rsidRDefault="001702D9">
      <w:pPr>
        <w:pBdr>
          <w:top w:val="nil"/>
          <w:left w:val="nil"/>
          <w:bottom w:val="nil"/>
          <w:right w:val="nil"/>
          <w:between w:val="nil"/>
        </w:pBdr>
        <w:rPr>
          <w:color w:val="000000"/>
          <w:sz w:val="20"/>
          <w:szCs w:val="20"/>
        </w:rPr>
      </w:pPr>
      <w:r>
        <w:rPr>
          <w:rStyle w:val="a6"/>
        </w:rPr>
        <w:footnoteRef/>
      </w:r>
      <w:r>
        <w:rPr>
          <w:color w:val="000000"/>
          <w:sz w:val="20"/>
          <w:szCs w:val="20"/>
        </w:rPr>
        <w:t xml:space="preserve"> </w:t>
      </w:r>
      <w:hyperlink r:id="rId2">
        <w:r>
          <w:rPr>
            <w:color w:val="0563C1"/>
            <w:sz w:val="20"/>
            <w:szCs w:val="20"/>
            <w:u w:val="single"/>
          </w:rPr>
          <w:t>https://www.minregion.go</w:t>
        </w:r>
        <w:r>
          <w:rPr>
            <w:color w:val="0563C1"/>
            <w:sz w:val="20"/>
            <w:szCs w:val="20"/>
            <w:u w:val="single"/>
          </w:rPr>
          <w:t>v.ua/wp-content/uploads/2017/03/Mehanizmi-finansuvannya-zahodiv-energoefektivnosti-v-Ukrai--ni-1.pdf</w:t>
        </w:r>
      </w:hyperlink>
      <w:r>
        <w:rPr>
          <w:color w:val="000000"/>
          <w:sz w:val="20"/>
          <w:szCs w:val="20"/>
        </w:rPr>
        <w:t xml:space="preserve"> </w:t>
      </w:r>
    </w:p>
  </w:footnote>
  <w:footnote w:id="3">
    <w:p w:rsidR="005863F3" w:rsidRDefault="001702D9">
      <w:pPr>
        <w:pBdr>
          <w:top w:val="nil"/>
          <w:left w:val="nil"/>
          <w:bottom w:val="nil"/>
          <w:right w:val="nil"/>
          <w:between w:val="nil"/>
        </w:pBdr>
        <w:rPr>
          <w:color w:val="000000"/>
          <w:sz w:val="20"/>
          <w:szCs w:val="20"/>
        </w:rPr>
      </w:pPr>
      <w:r>
        <w:rPr>
          <w:rStyle w:val="a6"/>
        </w:rPr>
        <w:footnoteRef/>
      </w:r>
      <w:r>
        <w:rPr>
          <w:color w:val="000000"/>
          <w:sz w:val="20"/>
          <w:szCs w:val="20"/>
        </w:rPr>
        <w:t xml:space="preserve"> </w:t>
      </w:r>
      <w:hyperlink r:id="rId3">
        <w:r>
          <w:rPr>
            <w:color w:val="0563C1"/>
            <w:sz w:val="20"/>
            <w:szCs w:val="20"/>
            <w:u w:val="single"/>
          </w:rPr>
          <w:t>http://kompek.rada.gov.ua/uploads/documents/30615.pdf</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FBD"/>
    <w:multiLevelType w:val="multilevel"/>
    <w:tmpl w:val="F45E74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6310C"/>
    <w:multiLevelType w:val="multilevel"/>
    <w:tmpl w:val="8DC2CDE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39205250"/>
    <w:multiLevelType w:val="multilevel"/>
    <w:tmpl w:val="273A3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F3"/>
    <w:rsid w:val="00091E5A"/>
    <w:rsid w:val="001702D9"/>
    <w:rsid w:val="00586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1A438-D184-4161-ADE6-A9E3D451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link w:val="a5"/>
    <w:uiPriority w:val="99"/>
    <w:semiHidden/>
    <w:unhideWhenUsed/>
    <w:rsid w:val="009C0632"/>
    <w:rPr>
      <w:sz w:val="20"/>
      <w:szCs w:val="20"/>
    </w:rPr>
  </w:style>
  <w:style w:type="character" w:customStyle="1" w:styleId="a5">
    <w:name w:val="Текст виноски Знак"/>
    <w:basedOn w:val="a0"/>
    <w:link w:val="a4"/>
    <w:uiPriority w:val="99"/>
    <w:semiHidden/>
    <w:rsid w:val="009C0632"/>
    <w:rPr>
      <w:sz w:val="20"/>
      <w:szCs w:val="20"/>
    </w:rPr>
  </w:style>
  <w:style w:type="character" w:styleId="a6">
    <w:name w:val="footnote reference"/>
    <w:basedOn w:val="a0"/>
    <w:uiPriority w:val="99"/>
    <w:semiHidden/>
    <w:unhideWhenUsed/>
    <w:rsid w:val="009C0632"/>
    <w:rPr>
      <w:vertAlign w:val="superscript"/>
    </w:rPr>
  </w:style>
  <w:style w:type="character" w:styleId="a7">
    <w:name w:val="Hyperlink"/>
    <w:basedOn w:val="a0"/>
    <w:uiPriority w:val="99"/>
    <w:unhideWhenUsed/>
    <w:rsid w:val="009C0632"/>
    <w:rPr>
      <w:color w:val="0563C1" w:themeColor="hyperlink"/>
      <w:u w:val="single"/>
    </w:rPr>
  </w:style>
  <w:style w:type="character" w:customStyle="1" w:styleId="UnresolvedMention">
    <w:name w:val="Unresolved Mention"/>
    <w:basedOn w:val="a0"/>
    <w:uiPriority w:val="99"/>
    <w:semiHidden/>
    <w:unhideWhenUsed/>
    <w:rsid w:val="009C0632"/>
    <w:rPr>
      <w:color w:val="605E5C"/>
      <w:shd w:val="clear" w:color="auto" w:fill="E1DFDD"/>
    </w:rPr>
  </w:style>
  <w:style w:type="paragraph" w:styleId="a8">
    <w:name w:val="No Spacing"/>
    <w:uiPriority w:val="1"/>
    <w:qFormat/>
    <w:rsid w:val="00FB79BC"/>
    <w:rPr>
      <w:sz w:val="22"/>
      <w:szCs w:val="22"/>
      <w:lang w:val="ru-RU"/>
    </w:rPr>
  </w:style>
  <w:style w:type="paragraph" w:customStyle="1" w:styleId="standard">
    <w:name w:val="standard"/>
    <w:basedOn w:val="a"/>
    <w:rsid w:val="00FB79BC"/>
    <w:pPr>
      <w:spacing w:before="100" w:beforeAutospacing="1" w:after="100" w:afterAutospacing="1"/>
    </w:pPr>
    <w:rPr>
      <w:rFonts w:ascii="Times New Roman" w:eastAsia="Times New Roman" w:hAnsi="Times New Roman" w:cs="Times New Roman"/>
      <w:lang w:val="ru-RU" w:eastAsia="ru-RU"/>
    </w:rPr>
  </w:style>
  <w:style w:type="table" w:styleId="a9">
    <w:name w:val="Table Grid"/>
    <w:basedOn w:val="a1"/>
    <w:uiPriority w:val="39"/>
    <w:rsid w:val="00ED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1A93"/>
    <w:pPr>
      <w:ind w:left="720"/>
      <w:contextualSpacing/>
    </w:pPr>
    <w:rPr>
      <w:rFonts w:ascii="Times New Roman" w:eastAsia="Times New Roman" w:hAnsi="Times New Roman" w:cs="Times New Roman"/>
      <w:lang w:val="ru-RU" w:eastAsia="ru-RU"/>
    </w:rPr>
  </w:style>
  <w:style w:type="paragraph" w:styleId="HTML">
    <w:name w:val="HTML Preformatted"/>
    <w:basedOn w:val="a"/>
    <w:link w:val="HTML0"/>
    <w:uiPriority w:val="99"/>
    <w:rsid w:val="00E5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E51A93"/>
    <w:rPr>
      <w:rFonts w:ascii="Courier New" w:eastAsia="Times New Roman" w:hAnsi="Courier New" w:cs="Courier New"/>
      <w:sz w:val="20"/>
      <w:szCs w:val="20"/>
      <w:lang w:val="ru-RU" w:eastAsia="ru-RU"/>
    </w:rPr>
  </w:style>
  <w:style w:type="character" w:styleId="ab">
    <w:name w:val="annotation reference"/>
    <w:basedOn w:val="a0"/>
    <w:uiPriority w:val="99"/>
    <w:semiHidden/>
    <w:unhideWhenUsed/>
    <w:rsid w:val="00645CA1"/>
    <w:rPr>
      <w:sz w:val="16"/>
      <w:szCs w:val="16"/>
    </w:rPr>
  </w:style>
  <w:style w:type="paragraph" w:styleId="ac">
    <w:name w:val="annotation text"/>
    <w:basedOn w:val="a"/>
    <w:link w:val="ad"/>
    <w:uiPriority w:val="99"/>
    <w:semiHidden/>
    <w:unhideWhenUsed/>
    <w:rsid w:val="00645CA1"/>
    <w:rPr>
      <w:sz w:val="20"/>
      <w:szCs w:val="20"/>
    </w:rPr>
  </w:style>
  <w:style w:type="character" w:customStyle="1" w:styleId="ad">
    <w:name w:val="Текст примітки Знак"/>
    <w:basedOn w:val="a0"/>
    <w:link w:val="ac"/>
    <w:uiPriority w:val="99"/>
    <w:semiHidden/>
    <w:rsid w:val="00645CA1"/>
    <w:rPr>
      <w:sz w:val="20"/>
      <w:szCs w:val="20"/>
    </w:rPr>
  </w:style>
  <w:style w:type="paragraph" w:styleId="ae">
    <w:name w:val="annotation subject"/>
    <w:basedOn w:val="ac"/>
    <w:next w:val="ac"/>
    <w:link w:val="af"/>
    <w:uiPriority w:val="99"/>
    <w:semiHidden/>
    <w:unhideWhenUsed/>
    <w:rsid w:val="00645CA1"/>
    <w:rPr>
      <w:b/>
      <w:bCs/>
    </w:rPr>
  </w:style>
  <w:style w:type="character" w:customStyle="1" w:styleId="af">
    <w:name w:val="Тема примітки Знак"/>
    <w:basedOn w:val="ad"/>
    <w:link w:val="ae"/>
    <w:uiPriority w:val="99"/>
    <w:semiHidden/>
    <w:rsid w:val="00645CA1"/>
    <w:rPr>
      <w:b/>
      <w:bCs/>
      <w:sz w:val="20"/>
      <w:szCs w:val="20"/>
    </w:rPr>
  </w:style>
  <w:style w:type="paragraph" w:styleId="af0">
    <w:name w:val="Balloon Text"/>
    <w:basedOn w:val="a"/>
    <w:link w:val="af1"/>
    <w:uiPriority w:val="99"/>
    <w:semiHidden/>
    <w:unhideWhenUsed/>
    <w:rsid w:val="00645CA1"/>
    <w:rPr>
      <w:rFonts w:ascii="Segoe UI" w:hAnsi="Segoe UI" w:cs="Segoe UI"/>
      <w:sz w:val="18"/>
      <w:szCs w:val="18"/>
    </w:rPr>
  </w:style>
  <w:style w:type="character" w:customStyle="1" w:styleId="af1">
    <w:name w:val="Текст у виносці Знак"/>
    <w:basedOn w:val="a0"/>
    <w:link w:val="af0"/>
    <w:uiPriority w:val="99"/>
    <w:semiHidden/>
    <w:rsid w:val="00645CA1"/>
    <w:rPr>
      <w:rFonts w:ascii="Segoe UI" w:hAnsi="Segoe UI" w:cs="Segoe U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kompek.rada.gov.ua/uploads/documents/30615.pdf" TargetMode="External"/><Relationship Id="rId2" Type="http://schemas.openxmlformats.org/officeDocument/2006/relationships/hyperlink" Target="https://www.minregion.gov.ua/wp-content/uploads/2017/03/Mehanizmi-finansuvannya-zahodiv-energoefektivnosti-v-Ukrai--ni-1.pdf" TargetMode="External"/><Relationship Id="rId1" Type="http://schemas.openxmlformats.org/officeDocument/2006/relationships/hyperlink" Target="https://www.nerc.gov.ua/?id=16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4Dj+rP6lJz3CCYEqHxfwXgZYg==">AMUW2mUodK1baQ70u5FeD5jleeLdkoF2eRmhPPDJOqY4FYhcL8QtzH/w/FDfdC/UylPAtu7kipYf/BLVzOnDfcViCSb2Un5JiqyOPTmqW4N3BhXmP/3u1iI=</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3C9672-929F-44BA-AE60-21E9C84DC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F156F-B11D-461F-B711-69099FF4ABA3}">
  <ds:schemaRefs>
    <ds:schemaRef ds:uri="http://schemas.microsoft.com/sharepoint/v3/contenttype/forms"/>
  </ds:schemaRefs>
</ds:datastoreItem>
</file>

<file path=customXml/itemProps4.xml><?xml version="1.0" encoding="utf-8"?>
<ds:datastoreItem xmlns:ds="http://schemas.openxmlformats.org/officeDocument/2006/customXml" ds:itemID="{29F949C6-29D0-48ED-B609-C99B30504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6172</Words>
  <Characters>3519</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2021-01-22T08:19:00Z</dcterms:created>
  <dcterms:modified xsi:type="dcterms:W3CDTF">2021-01-22T08:19:00Z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