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75016" w:rsidRPr="009A37D5" w:rsidRDefault="00975016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AF4ED4" w:rsidRPr="009A37D5" w:rsidRDefault="00AF4ED4" w:rsidP="00907C9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F4ED4" w:rsidRPr="001F6261" w:rsidRDefault="00AF4ED4" w:rsidP="002B07B0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ED4" w:rsidRPr="00BE398B" w:rsidRDefault="00AF4ED4" w:rsidP="002B07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98B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ВИСНОВОК</w:t>
      </w:r>
    </w:p>
    <w:p w:rsidR="002B07B0" w:rsidRPr="00BE398B" w:rsidRDefault="00AF4ED4" w:rsidP="002B07B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E398B">
        <w:rPr>
          <w:sz w:val="28"/>
          <w:szCs w:val="28"/>
          <w:lang w:eastAsia="ru-RU"/>
        </w:rPr>
        <w:t>на проект Закону України «</w:t>
      </w:r>
      <w:r w:rsidR="001D7915" w:rsidRPr="00BE398B">
        <w:rPr>
          <w:sz w:val="28"/>
          <w:szCs w:val="28"/>
          <w:lang w:eastAsia="ru-RU"/>
        </w:rPr>
        <w:t xml:space="preserve">Про </w:t>
      </w:r>
      <w:r w:rsidR="002B07B0" w:rsidRPr="00BE398B">
        <w:rPr>
          <w:sz w:val="28"/>
          <w:szCs w:val="28"/>
        </w:rPr>
        <w:t xml:space="preserve">внесення змін до Податкового </w:t>
      </w:r>
    </w:p>
    <w:p w:rsidR="002B07B0" w:rsidRPr="00BE398B" w:rsidRDefault="002B07B0" w:rsidP="002B07B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E398B">
        <w:rPr>
          <w:sz w:val="28"/>
          <w:szCs w:val="28"/>
        </w:rPr>
        <w:t xml:space="preserve">кодексу України щодо діяльності Національної комісії </w:t>
      </w:r>
    </w:p>
    <w:p w:rsidR="00AF4ED4" w:rsidRDefault="002B07B0" w:rsidP="002B07B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E398B">
        <w:rPr>
          <w:sz w:val="28"/>
          <w:szCs w:val="28"/>
        </w:rPr>
        <w:t>з цінних паперів та</w:t>
      </w:r>
      <w:r w:rsidRPr="002B07B0">
        <w:rPr>
          <w:sz w:val="28"/>
          <w:szCs w:val="28"/>
        </w:rPr>
        <w:t xml:space="preserve"> бірж</w:t>
      </w:r>
      <w:r>
        <w:rPr>
          <w:sz w:val="28"/>
          <w:szCs w:val="28"/>
        </w:rPr>
        <w:t>»</w:t>
      </w:r>
    </w:p>
    <w:p w:rsidR="002B07B0" w:rsidRPr="002B07B0" w:rsidRDefault="002B07B0" w:rsidP="002B07B0">
      <w:pPr>
        <w:pStyle w:val="3"/>
        <w:spacing w:before="0" w:beforeAutospacing="0" w:after="0" w:afterAutospacing="0"/>
        <w:jc w:val="center"/>
        <w:rPr>
          <w:sz w:val="28"/>
          <w:szCs w:val="28"/>
          <w:lang w:eastAsia="ru-RU"/>
        </w:rPr>
      </w:pPr>
    </w:p>
    <w:p w:rsidR="002B07B0" w:rsidRDefault="00AF4ED4" w:rsidP="00D3790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DF">
        <w:rPr>
          <w:rFonts w:ascii="Times New Roman" w:eastAsia="Times New Roman" w:hAnsi="Times New Roman"/>
          <w:sz w:val="28"/>
          <w:szCs w:val="28"/>
          <w:lang w:eastAsia="ru-RU"/>
        </w:rPr>
        <w:t xml:space="preserve">У проекті </w:t>
      </w:r>
      <w:r w:rsidR="009D60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пропонується 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 xml:space="preserve">замінити </w:t>
      </w:r>
      <w:r w:rsidR="00DF0A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тексті Податкового кодексу України </w:t>
      </w:r>
      <w:r w:rsidR="0066130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(далі – ПК) 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назву </w:t>
      </w:r>
      <w:r w:rsidR="00D37904" w:rsidRPr="00D37904">
        <w:rPr>
          <w:rFonts w:ascii="Times New Roman" w:eastAsia="Times New Roman" w:hAnsi="Times New Roman"/>
          <w:sz w:val="28"/>
          <w:szCs w:val="28"/>
          <w:lang w:eastAsia="ru-RU"/>
        </w:rPr>
        <w:t>«Національн</w:t>
      </w:r>
      <w:r w:rsidR="002E04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37904" w:rsidRPr="00D3790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комісія з цінних паперів та фондового ринку» 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D37904" w:rsidRPr="00D37904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«Національна комісія з цінних паперів та бірж»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>, а також встановити, що «фі</w:t>
      </w:r>
      <w:r w:rsidR="00D37904" w:rsidRPr="00D37904">
        <w:rPr>
          <w:rFonts w:ascii="Times New Roman" w:eastAsia="Times New Roman" w:hAnsi="Times New Roman"/>
          <w:sz w:val="28"/>
          <w:szCs w:val="28"/>
          <w:lang w:eastAsia="ru-RU"/>
        </w:rPr>
        <w:t xml:space="preserve">нансовий результат до оподаткування зменшується на суму внесків на регулювання, що сплачуються платниками податку відповідно до </w:t>
      </w:r>
      <w:r w:rsidR="002E04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37904" w:rsidRPr="00D37904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Національну комісію з цінних паперів та бірж»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37904" w:rsidRPr="00D379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07B0" w:rsidRDefault="00AD4F5D" w:rsidP="00AD4F5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Необхідність внесення пропонованих змін обумовлюється проектом Закону України «П</w:t>
      </w:r>
      <w:r w:rsidRPr="00AD4F5D">
        <w:rPr>
          <w:rFonts w:ascii="Times New Roman" w:eastAsia="Times New Roman" w:hAnsi="Times New Roman"/>
          <w:sz w:val="28"/>
          <w:szCs w:val="28"/>
          <w:lang w:eastAsia="ru-RU"/>
        </w:rPr>
        <w:t>ро Національну комісію з цінних паперів та бірж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C6C6D" w:rsidRPr="002C6C6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(реєстр. № </w:t>
      </w:r>
      <w:bookmarkStart w:id="1" w:name="_Hlk64895266"/>
      <w:r w:rsidRPr="00AD4F5D">
        <w:rPr>
          <w:rFonts w:ascii="Times New Roman" w:eastAsia="Times New Roman" w:hAnsi="Times New Roman"/>
          <w:sz w:val="28"/>
          <w:szCs w:val="28"/>
          <w:lang w:eastAsia="ru-RU"/>
        </w:rPr>
        <w:t>4684</w:t>
      </w:r>
      <w:bookmarkEnd w:id="1"/>
      <w:r w:rsidRPr="00AD4F5D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01.02.2021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з яким </w:t>
      </w:r>
      <w:r w:rsidR="004C57D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системно пов’язаний. </w:t>
      </w:r>
    </w:p>
    <w:p w:rsidR="0024737C" w:rsidRDefault="004C57DC" w:rsidP="00AD4F5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4737C" w:rsidRPr="0024737C">
        <w:rPr>
          <w:rFonts w:ascii="Times New Roman" w:eastAsia="Times New Roman" w:hAnsi="Times New Roman"/>
          <w:sz w:val="28"/>
          <w:szCs w:val="28"/>
          <w:lang w:eastAsia="ru-RU"/>
        </w:rPr>
        <w:t>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1165-ІХ.</w:t>
      </w:r>
    </w:p>
    <w:p w:rsidR="009D6024" w:rsidRDefault="00536CB9" w:rsidP="00907C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35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Головне управління, розглянувши </w:t>
      </w:r>
      <w:r w:rsidR="004C33D7" w:rsidRPr="009E435D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Pr="009E435D">
        <w:rPr>
          <w:rFonts w:ascii="Times New Roman" w:eastAsia="Times New Roman" w:hAnsi="Times New Roman"/>
          <w:sz w:val="28"/>
          <w:szCs w:val="28"/>
          <w:lang w:eastAsia="ru-RU"/>
        </w:rPr>
        <w:t>, вважає за доцільне зауважити наступне.</w:t>
      </w:r>
    </w:p>
    <w:p w:rsidR="00A606B7" w:rsidRDefault="00DC4652" w:rsidP="00DC465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C4652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A606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606B7" w:rsidRPr="00E40FAF">
        <w:rPr>
          <w:rFonts w:ascii="Times New Roman" w:hAnsi="Times New Roman"/>
          <w:sz w:val="28"/>
          <w:szCs w:val="28"/>
        </w:rPr>
        <w:t>Викликає застереження пропозиція нової ст. 141</w:t>
      </w:r>
      <w:r w:rsidR="00A606B7" w:rsidRPr="00E40FAF">
        <w:rPr>
          <w:rFonts w:ascii="Times New Roman" w:hAnsi="Times New Roman"/>
          <w:sz w:val="28"/>
          <w:szCs w:val="28"/>
          <w:vertAlign w:val="superscript"/>
        </w:rPr>
        <w:t>1</w:t>
      </w:r>
      <w:r w:rsidR="00D34EA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606B7" w:rsidRPr="00E40FAF">
        <w:rPr>
          <w:rFonts w:ascii="Times New Roman" w:hAnsi="Times New Roman"/>
          <w:sz w:val="28"/>
          <w:szCs w:val="28"/>
        </w:rPr>
        <w:t xml:space="preserve">ПК щодо зменшення фінансового результату до оподаткування «на суму внесків на регулювання, що сплачуються платниками податку відповідно до Закону України </w:t>
      </w:r>
      <w:r w:rsidR="00A606B7">
        <w:rPr>
          <w:rFonts w:ascii="Times New Roman" w:hAnsi="Times New Roman"/>
          <w:sz w:val="28"/>
          <w:szCs w:val="28"/>
        </w:rPr>
        <w:br/>
      </w:r>
      <w:r w:rsidR="00A606B7" w:rsidRPr="00E40FAF">
        <w:rPr>
          <w:rFonts w:ascii="Times New Roman" w:hAnsi="Times New Roman"/>
          <w:sz w:val="28"/>
          <w:szCs w:val="28"/>
        </w:rPr>
        <w:t>«Про Національну комісію з цінних паперів та бірж»»,</w:t>
      </w:r>
      <w:r w:rsidR="00A606B7">
        <w:rPr>
          <w:rFonts w:ascii="Times New Roman" w:hAnsi="Times New Roman"/>
          <w:sz w:val="28"/>
          <w:szCs w:val="28"/>
        </w:rPr>
        <w:t xml:space="preserve"> </w:t>
      </w:r>
      <w:r w:rsidR="00A20E7A">
        <w:rPr>
          <w:rFonts w:ascii="Times New Roman" w:hAnsi="Times New Roman"/>
          <w:sz w:val="28"/>
          <w:szCs w:val="28"/>
        </w:rPr>
        <w:t xml:space="preserve">яка своїм наслідком матиме </w:t>
      </w:r>
      <w:r w:rsidR="00A606B7" w:rsidRPr="00E40FAF">
        <w:rPr>
          <w:rFonts w:ascii="Times New Roman" w:hAnsi="Times New Roman"/>
          <w:sz w:val="28"/>
          <w:szCs w:val="28"/>
        </w:rPr>
        <w:t>подвійн</w:t>
      </w:r>
      <w:r w:rsidR="00A20E7A">
        <w:rPr>
          <w:rFonts w:ascii="Times New Roman" w:hAnsi="Times New Roman"/>
          <w:sz w:val="28"/>
          <w:szCs w:val="28"/>
        </w:rPr>
        <w:t>е</w:t>
      </w:r>
      <w:r w:rsidR="00A606B7" w:rsidRPr="00E40FAF">
        <w:rPr>
          <w:rFonts w:ascii="Times New Roman" w:hAnsi="Times New Roman"/>
          <w:sz w:val="28"/>
          <w:szCs w:val="28"/>
        </w:rPr>
        <w:t xml:space="preserve"> вирахування вказаних витрат при оподаткува</w:t>
      </w:r>
      <w:r w:rsidR="00A606B7">
        <w:rPr>
          <w:rFonts w:ascii="Times New Roman" w:hAnsi="Times New Roman"/>
          <w:sz w:val="28"/>
          <w:szCs w:val="28"/>
        </w:rPr>
        <w:t>нні</w:t>
      </w:r>
      <w:r w:rsidR="00E512E8">
        <w:rPr>
          <w:rFonts w:ascii="Times New Roman" w:hAnsi="Times New Roman"/>
          <w:sz w:val="28"/>
          <w:szCs w:val="28"/>
        </w:rPr>
        <w:t xml:space="preserve"> податком на прибуток підприємств</w:t>
      </w:r>
      <w:r w:rsidR="00A606B7">
        <w:rPr>
          <w:rFonts w:ascii="Times New Roman" w:hAnsi="Times New Roman"/>
          <w:sz w:val="28"/>
          <w:szCs w:val="28"/>
        </w:rPr>
        <w:t xml:space="preserve"> та, відповідно, </w:t>
      </w:r>
      <w:r w:rsidR="00A20E7A">
        <w:rPr>
          <w:rFonts w:ascii="Times New Roman" w:hAnsi="Times New Roman"/>
          <w:sz w:val="28"/>
          <w:szCs w:val="28"/>
        </w:rPr>
        <w:t>в</w:t>
      </w:r>
      <w:r w:rsidR="00A606B7">
        <w:rPr>
          <w:rFonts w:ascii="Times New Roman" w:hAnsi="Times New Roman"/>
          <w:sz w:val="28"/>
          <w:szCs w:val="28"/>
        </w:rPr>
        <w:t>трат</w:t>
      </w:r>
      <w:r w:rsidR="00A20E7A">
        <w:rPr>
          <w:rFonts w:ascii="Times New Roman" w:hAnsi="Times New Roman"/>
          <w:sz w:val="28"/>
          <w:szCs w:val="28"/>
        </w:rPr>
        <w:t>и</w:t>
      </w:r>
      <w:r w:rsidR="00A606B7">
        <w:rPr>
          <w:rFonts w:ascii="Times New Roman" w:hAnsi="Times New Roman"/>
          <w:sz w:val="28"/>
          <w:szCs w:val="28"/>
        </w:rPr>
        <w:t xml:space="preserve"> бюджету.</w:t>
      </w:r>
      <w:r w:rsidR="00D57349">
        <w:rPr>
          <w:rFonts w:ascii="Times New Roman" w:hAnsi="Times New Roman"/>
          <w:sz w:val="28"/>
          <w:szCs w:val="28"/>
        </w:rPr>
        <w:t xml:space="preserve"> При цьому, всупереч вимогам ст. 27 Бюджетного кодексу України та ст. 91 Регламенту Верховної Ради України до проекту не надано фінансово-економічного обґрунтування (включаючи відповідні розрахунки).</w:t>
      </w:r>
    </w:p>
    <w:p w:rsidR="0024737C" w:rsidRPr="00AD4F5D" w:rsidRDefault="003A0B94" w:rsidP="0083184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>Принагідно звертаємо увагу на те</w:t>
      </w:r>
      <w:r w:rsidR="008E6A12">
        <w:rPr>
          <w:rFonts w:ascii="Times New Roman" w:hAnsi="Times New Roman"/>
          <w:sz w:val="28"/>
          <w:szCs w:val="28"/>
        </w:rPr>
        <w:t>, що для</w:t>
      </w:r>
      <w:r w:rsidR="008E6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9E4" w:rsidRPr="002E04C7">
        <w:rPr>
          <w:rFonts w:ascii="Times New Roman" w:hAnsi="Times New Roman"/>
          <w:sz w:val="28"/>
          <w:szCs w:val="28"/>
        </w:rPr>
        <w:t>аналогічних за своєю природою внесків на регулювання, які передбачені</w:t>
      </w:r>
      <w:r w:rsidR="008E6A12">
        <w:rPr>
          <w:rFonts w:ascii="Times New Roman" w:hAnsi="Times New Roman"/>
          <w:sz w:val="28"/>
          <w:szCs w:val="28"/>
        </w:rPr>
        <w:t xml:space="preserve"> іншими законодавчими актами, </w:t>
      </w:r>
      <w:r w:rsidR="008E6A12" w:rsidRPr="00BE398B">
        <w:rPr>
          <w:rFonts w:ascii="Times New Roman" w:hAnsi="Times New Roman"/>
          <w:sz w:val="28"/>
          <w:szCs w:val="28"/>
        </w:rPr>
        <w:t xml:space="preserve">зокрема, </w:t>
      </w:r>
      <w:r w:rsidR="00EE09E4" w:rsidRPr="00BE398B">
        <w:rPr>
          <w:rFonts w:ascii="Times New Roman" w:hAnsi="Times New Roman"/>
          <w:sz w:val="28"/>
          <w:szCs w:val="28"/>
        </w:rPr>
        <w:t>Законом України «Про Національну комісію, що здійснює державне регулювання у сферах енергетики та комунальних послуг</w:t>
      </w:r>
      <w:r w:rsidR="008E6A12" w:rsidRPr="00BE398B">
        <w:rPr>
          <w:rFonts w:ascii="Times New Roman" w:hAnsi="Times New Roman"/>
          <w:sz w:val="28"/>
          <w:szCs w:val="28"/>
        </w:rPr>
        <w:t>»</w:t>
      </w:r>
      <w:r w:rsidR="00E40FAF" w:rsidRPr="00BE398B">
        <w:rPr>
          <w:rFonts w:ascii="Times New Roman" w:hAnsi="Times New Roman"/>
          <w:sz w:val="28"/>
          <w:szCs w:val="28"/>
        </w:rPr>
        <w:t>,</w:t>
      </w:r>
      <w:r w:rsidR="008E6A12" w:rsidRPr="00BE398B">
        <w:rPr>
          <w:rFonts w:ascii="Times New Roman" w:hAnsi="Times New Roman"/>
          <w:sz w:val="28"/>
          <w:szCs w:val="28"/>
        </w:rPr>
        <w:t xml:space="preserve"> </w:t>
      </w:r>
      <w:r w:rsidR="002C6C6D" w:rsidRPr="00BE398B">
        <w:rPr>
          <w:rFonts w:ascii="Times New Roman" w:hAnsi="Times New Roman"/>
          <w:sz w:val="28"/>
          <w:szCs w:val="28"/>
        </w:rPr>
        <w:t xml:space="preserve">пропоновані </w:t>
      </w:r>
      <w:r w:rsidR="008E6A12" w:rsidRPr="00BE398B">
        <w:rPr>
          <w:rFonts w:ascii="Times New Roman" w:hAnsi="Times New Roman"/>
          <w:sz w:val="28"/>
          <w:szCs w:val="28"/>
        </w:rPr>
        <w:t>правила</w:t>
      </w:r>
      <w:r w:rsidRPr="00BE398B">
        <w:rPr>
          <w:rFonts w:ascii="Times New Roman" w:hAnsi="Times New Roman"/>
          <w:sz w:val="28"/>
          <w:szCs w:val="28"/>
        </w:rPr>
        <w:t xml:space="preserve"> оподаткування</w:t>
      </w:r>
      <w:r w:rsidR="008E6A12" w:rsidRPr="00BE398B">
        <w:rPr>
          <w:rFonts w:ascii="Times New Roman" w:hAnsi="Times New Roman"/>
          <w:sz w:val="28"/>
          <w:szCs w:val="28"/>
        </w:rPr>
        <w:t xml:space="preserve"> не застосовуються</w:t>
      </w:r>
      <w:r w:rsidR="006D567C" w:rsidRPr="00BE398B">
        <w:rPr>
          <w:rFonts w:ascii="Times New Roman" w:hAnsi="Times New Roman"/>
          <w:sz w:val="28"/>
          <w:szCs w:val="28"/>
        </w:rPr>
        <w:t xml:space="preserve">. Відтак, внесена пропозиція </w:t>
      </w:r>
      <w:r w:rsidR="00E40FAF" w:rsidRPr="00BE398B">
        <w:rPr>
          <w:rFonts w:ascii="Times New Roman" w:hAnsi="Times New Roman"/>
          <w:sz w:val="28"/>
          <w:szCs w:val="28"/>
        </w:rPr>
        <w:t>не узгоджу</w:t>
      </w:r>
      <w:r w:rsidR="008E6A12" w:rsidRPr="00BE398B">
        <w:rPr>
          <w:rFonts w:ascii="Times New Roman" w:hAnsi="Times New Roman"/>
          <w:sz w:val="28"/>
          <w:szCs w:val="28"/>
        </w:rPr>
        <w:t xml:space="preserve">ється </w:t>
      </w:r>
      <w:r w:rsidR="001D7915" w:rsidRPr="00BE398B">
        <w:rPr>
          <w:rFonts w:ascii="Times New Roman" w:hAnsi="Times New Roman"/>
          <w:sz w:val="28"/>
          <w:szCs w:val="28"/>
        </w:rPr>
        <w:t>і</w:t>
      </w:r>
      <w:r w:rsidR="00E40FAF" w:rsidRPr="00BE398B">
        <w:rPr>
          <w:rFonts w:ascii="Times New Roman" w:hAnsi="Times New Roman"/>
          <w:sz w:val="28"/>
          <w:szCs w:val="28"/>
        </w:rPr>
        <w:t>з принципом рівності усіх платників перед законом, недопущення будь-яких проявів податкової дискримінації (пп. 4.1.2 п. 4.1 ст. 4 ПК).</w:t>
      </w:r>
    </w:p>
    <w:p w:rsidR="00AF4ED4" w:rsidRPr="003931DF" w:rsidRDefault="008E6A12" w:rsidP="00907C9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907C99" w:rsidRPr="00907C9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4ED4" w:rsidRPr="003931DF">
        <w:rPr>
          <w:rFonts w:ascii="Times New Roman" w:hAnsi="Times New Roman" w:cs="Times New Roman"/>
          <w:sz w:val="28"/>
          <w:szCs w:val="28"/>
          <w:lang w:val="uk-UA"/>
        </w:rPr>
        <w:t>Враховуючи те, що за змістом відповідних положень Конституції України (ст.</w:t>
      </w:r>
      <w:r w:rsidR="002473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F4ED4" w:rsidRPr="003931DF">
        <w:rPr>
          <w:rFonts w:ascii="Times New Roman" w:hAnsi="Times New Roman" w:cs="Times New Roman"/>
          <w:sz w:val="28"/>
          <w:szCs w:val="28"/>
          <w:lang w:val="uk-UA"/>
        </w:rPr>
        <w:t xml:space="preserve">116) забезпечення проведення податкової політики належить до повноважень Кабінету Міністрів України, </w:t>
      </w:r>
      <w:r w:rsidR="00AF4ED4" w:rsidRPr="003931D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прийняття виваженого рішення щодо пропозицій проекту доцільно отримати висновок Уряду.</w:t>
      </w:r>
    </w:p>
    <w:p w:rsidR="0024737C" w:rsidRPr="0024737C" w:rsidRDefault="008E6A12" w:rsidP="002473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D7A5A" w:rsidRPr="003931DF">
        <w:rPr>
          <w:rFonts w:ascii="Times New Roman" w:hAnsi="Times New Roman"/>
          <w:b/>
          <w:sz w:val="28"/>
          <w:szCs w:val="28"/>
        </w:rPr>
        <w:t>.</w:t>
      </w:r>
      <w:r w:rsidR="00287D38">
        <w:rPr>
          <w:rFonts w:ascii="Times New Roman" w:hAnsi="Times New Roman"/>
          <w:b/>
          <w:sz w:val="28"/>
          <w:szCs w:val="28"/>
        </w:rPr>
        <w:t xml:space="preserve"> </w:t>
      </w:r>
      <w:r w:rsidR="0008221C" w:rsidRPr="0008221C">
        <w:rPr>
          <w:rFonts w:ascii="Times New Roman" w:hAnsi="Times New Roman"/>
          <w:sz w:val="28"/>
          <w:szCs w:val="28"/>
        </w:rPr>
        <w:t>П</w:t>
      </w:r>
      <w:r w:rsidR="0008221C">
        <w:rPr>
          <w:rFonts w:ascii="Times New Roman" w:hAnsi="Times New Roman"/>
          <w:sz w:val="28"/>
          <w:szCs w:val="28"/>
        </w:rPr>
        <w:t>р</w:t>
      </w:r>
      <w:r w:rsidR="0024737C" w:rsidRPr="0024737C">
        <w:rPr>
          <w:rFonts w:ascii="Times New Roman" w:eastAsia="Times New Roman" w:hAnsi="Times New Roman"/>
          <w:sz w:val="28"/>
          <w:szCs w:val="28"/>
          <w:lang w:eastAsia="ru-RU"/>
        </w:rPr>
        <w:t>оект системно пов’язани</w:t>
      </w:r>
      <w:r w:rsidR="0008221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4737C" w:rsidRPr="0024737C">
        <w:rPr>
          <w:rFonts w:ascii="Times New Roman" w:eastAsia="Times New Roman" w:hAnsi="Times New Roman"/>
          <w:sz w:val="28"/>
          <w:szCs w:val="28"/>
          <w:lang w:eastAsia="ru-RU"/>
        </w:rPr>
        <w:t xml:space="preserve"> з проектом реєстр. № 4684, у зв’язку із чим розгляд та прийняття рішення щодо обох проектів мають бути синхронізованими.</w:t>
      </w:r>
    </w:p>
    <w:p w:rsidR="0024737C" w:rsidRPr="0024737C" w:rsidRDefault="0024737C" w:rsidP="002473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37C" w:rsidRPr="0024737C" w:rsidRDefault="0024737C" w:rsidP="002473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37C" w:rsidRPr="0024737C" w:rsidRDefault="0024737C" w:rsidP="002473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37C">
        <w:rPr>
          <w:rFonts w:ascii="Times New Roman" w:eastAsia="Times New Roman" w:hAnsi="Times New Roman"/>
          <w:sz w:val="28"/>
          <w:szCs w:val="28"/>
          <w:lang w:eastAsia="ru-RU"/>
        </w:rPr>
        <w:t>Керівник Головного управління                                            С. Тихонюк</w:t>
      </w:r>
    </w:p>
    <w:p w:rsidR="0024737C" w:rsidRPr="0024737C" w:rsidRDefault="0024737C" w:rsidP="002473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37C" w:rsidRPr="0024737C" w:rsidRDefault="0024737C" w:rsidP="002473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C64" w:rsidRPr="0024737C" w:rsidRDefault="0024737C" w:rsidP="002473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737C">
        <w:rPr>
          <w:rFonts w:ascii="Times New Roman" w:eastAsia="Times New Roman" w:hAnsi="Times New Roman"/>
          <w:sz w:val="20"/>
          <w:szCs w:val="20"/>
          <w:lang w:eastAsia="ru-RU"/>
        </w:rPr>
        <w:t>Вик.: Я. Бережний</w:t>
      </w:r>
    </w:p>
    <w:sectPr w:rsidR="007E1C64" w:rsidRPr="0024737C" w:rsidSect="001D7915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AE" w:rsidRDefault="00B44DAE" w:rsidP="00CE324E">
      <w:pPr>
        <w:spacing w:after="0" w:line="240" w:lineRule="auto"/>
      </w:pPr>
      <w:r>
        <w:separator/>
      </w:r>
    </w:p>
  </w:endnote>
  <w:endnote w:type="continuationSeparator" w:id="0">
    <w:p w:rsidR="00B44DAE" w:rsidRDefault="00B44DAE" w:rsidP="00CE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AE" w:rsidRDefault="00B44DAE" w:rsidP="00CE324E">
      <w:pPr>
        <w:spacing w:after="0" w:line="240" w:lineRule="auto"/>
      </w:pPr>
      <w:r>
        <w:separator/>
      </w:r>
    </w:p>
  </w:footnote>
  <w:footnote w:type="continuationSeparator" w:id="0">
    <w:p w:rsidR="00B44DAE" w:rsidRDefault="00B44DAE" w:rsidP="00CE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0225"/>
      <w:docPartObj>
        <w:docPartGallery w:val="Page Numbers (Top of Page)"/>
        <w:docPartUnique/>
      </w:docPartObj>
    </w:sdtPr>
    <w:sdtEndPr/>
    <w:sdtContent>
      <w:p w:rsidR="006D7234" w:rsidRDefault="00232E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43E0" w:rsidRDefault="00B44D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34" w:rsidRPr="00C02DF5" w:rsidRDefault="006D7234" w:rsidP="006D7234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val="ru-RU" w:eastAsia="ru-RU"/>
      </w:rPr>
    </w:pP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До 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реєстр. </w:t>
    </w:r>
    <w:r w:rsidRPr="00DD0CC2">
      <w:rPr>
        <w:rFonts w:ascii="Times New Roman" w:eastAsia="Times New Roman" w:hAnsi="Times New Roman"/>
        <w:sz w:val="20"/>
        <w:szCs w:val="20"/>
        <w:lang w:eastAsia="ru-RU"/>
      </w:rPr>
      <w:t>№</w:t>
    </w:r>
    <w:r>
      <w:rPr>
        <w:rFonts w:ascii="Times New Roman" w:eastAsia="Times New Roman" w:hAnsi="Times New Roman"/>
        <w:sz w:val="20"/>
        <w:szCs w:val="20"/>
        <w:lang w:eastAsia="ru-RU"/>
      </w:rPr>
      <w:t> </w:t>
    </w:r>
    <w:r w:rsidRPr="002B07B0">
      <w:rPr>
        <w:rFonts w:ascii="Times New Roman" w:eastAsia="Times New Roman" w:hAnsi="Times New Roman"/>
        <w:sz w:val="20"/>
        <w:szCs w:val="20"/>
        <w:lang w:val="ru-RU" w:eastAsia="ru-RU"/>
      </w:rPr>
      <w:t xml:space="preserve">4685 </w:t>
    </w:r>
    <w:proofErr w:type="spellStart"/>
    <w:r w:rsidRPr="002B07B0">
      <w:rPr>
        <w:rFonts w:ascii="Times New Roman" w:eastAsia="Times New Roman" w:hAnsi="Times New Roman"/>
        <w:sz w:val="20"/>
        <w:szCs w:val="20"/>
        <w:lang w:val="ru-RU" w:eastAsia="ru-RU"/>
      </w:rPr>
      <w:t>від</w:t>
    </w:r>
    <w:proofErr w:type="spellEnd"/>
    <w:r w:rsidRPr="002B07B0">
      <w:rPr>
        <w:rFonts w:ascii="Times New Roman" w:eastAsia="Times New Roman" w:hAnsi="Times New Roman"/>
        <w:sz w:val="20"/>
        <w:szCs w:val="20"/>
        <w:lang w:val="ru-RU" w:eastAsia="ru-RU"/>
      </w:rPr>
      <w:t xml:space="preserve"> 01.02.2021</w:t>
    </w:r>
  </w:p>
  <w:p w:rsidR="006D7234" w:rsidRDefault="006D7234" w:rsidP="006D7234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>Народні депутати України</w:t>
    </w:r>
  </w:p>
  <w:p w:rsidR="00F043E0" w:rsidRPr="006D7234" w:rsidRDefault="006D7234" w:rsidP="006D7234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</w:pPr>
    <w:r>
      <w:rPr>
        <w:rFonts w:ascii="Times New Roman" w:eastAsia="Times New Roman" w:hAnsi="Times New Roman"/>
        <w:sz w:val="20"/>
        <w:szCs w:val="20"/>
        <w:lang w:eastAsia="ru-RU"/>
      </w:rPr>
      <w:t xml:space="preserve">Д. </w:t>
    </w:r>
    <w:proofErr w:type="spellStart"/>
    <w:r w:rsidRPr="002B07B0">
      <w:rPr>
        <w:rFonts w:ascii="Times New Roman" w:eastAsia="Times New Roman" w:hAnsi="Times New Roman"/>
        <w:sz w:val="20"/>
        <w:szCs w:val="20"/>
        <w:lang w:eastAsia="ru-RU"/>
      </w:rPr>
      <w:t>Гетманцев</w:t>
    </w:r>
    <w:proofErr w:type="spellEnd"/>
    <w:r>
      <w:rPr>
        <w:rFonts w:ascii="Times New Roman" w:eastAsia="Times New Roman" w:hAnsi="Times New Roman"/>
        <w:sz w:val="20"/>
        <w:szCs w:val="20"/>
        <w:lang w:eastAsia="ru-RU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0DEE"/>
    <w:multiLevelType w:val="hybridMultilevel"/>
    <w:tmpl w:val="25BE72D8"/>
    <w:lvl w:ilvl="0" w:tplc="A75E75E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38941EA"/>
    <w:multiLevelType w:val="hybridMultilevel"/>
    <w:tmpl w:val="03D4486C"/>
    <w:lvl w:ilvl="0" w:tplc="DF2C44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DA4206"/>
    <w:multiLevelType w:val="multilevel"/>
    <w:tmpl w:val="625A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D4"/>
    <w:rsid w:val="00015C7F"/>
    <w:rsid w:val="00031D10"/>
    <w:rsid w:val="000332A3"/>
    <w:rsid w:val="0008221C"/>
    <w:rsid w:val="000A34E4"/>
    <w:rsid w:val="000D6028"/>
    <w:rsid w:val="000E6DAD"/>
    <w:rsid w:val="00125CB1"/>
    <w:rsid w:val="00186D87"/>
    <w:rsid w:val="00190F98"/>
    <w:rsid w:val="001D7915"/>
    <w:rsid w:val="001E2F09"/>
    <w:rsid w:val="00210307"/>
    <w:rsid w:val="002312A8"/>
    <w:rsid w:val="00232E46"/>
    <w:rsid w:val="0024737C"/>
    <w:rsid w:val="00253BF4"/>
    <w:rsid w:val="00265B58"/>
    <w:rsid w:val="00287D38"/>
    <w:rsid w:val="00295874"/>
    <w:rsid w:val="002B07B0"/>
    <w:rsid w:val="002C6C6D"/>
    <w:rsid w:val="002E04C7"/>
    <w:rsid w:val="003132E7"/>
    <w:rsid w:val="003707D4"/>
    <w:rsid w:val="003931DF"/>
    <w:rsid w:val="003A0B94"/>
    <w:rsid w:val="003B155E"/>
    <w:rsid w:val="003D7633"/>
    <w:rsid w:val="003D7A5A"/>
    <w:rsid w:val="00403DF6"/>
    <w:rsid w:val="00441FEC"/>
    <w:rsid w:val="004775E8"/>
    <w:rsid w:val="00495610"/>
    <w:rsid w:val="004C33D7"/>
    <w:rsid w:val="004C57DC"/>
    <w:rsid w:val="00505107"/>
    <w:rsid w:val="00514167"/>
    <w:rsid w:val="0053605D"/>
    <w:rsid w:val="00536CB9"/>
    <w:rsid w:val="00553980"/>
    <w:rsid w:val="005D2763"/>
    <w:rsid w:val="00661304"/>
    <w:rsid w:val="00666CA8"/>
    <w:rsid w:val="006967D0"/>
    <w:rsid w:val="006A758A"/>
    <w:rsid w:val="006B63B2"/>
    <w:rsid w:val="006C3AA1"/>
    <w:rsid w:val="006D0D03"/>
    <w:rsid w:val="006D567C"/>
    <w:rsid w:val="006D7234"/>
    <w:rsid w:val="00725848"/>
    <w:rsid w:val="00731EAA"/>
    <w:rsid w:val="00782D81"/>
    <w:rsid w:val="00787C1B"/>
    <w:rsid w:val="007C069A"/>
    <w:rsid w:val="007D7A5D"/>
    <w:rsid w:val="007E1C64"/>
    <w:rsid w:val="00831840"/>
    <w:rsid w:val="008626DB"/>
    <w:rsid w:val="00880F52"/>
    <w:rsid w:val="0089107A"/>
    <w:rsid w:val="008B4D87"/>
    <w:rsid w:val="008E6A12"/>
    <w:rsid w:val="00903479"/>
    <w:rsid w:val="00907C99"/>
    <w:rsid w:val="00943491"/>
    <w:rsid w:val="00963A60"/>
    <w:rsid w:val="00975016"/>
    <w:rsid w:val="009C53ED"/>
    <w:rsid w:val="009D6024"/>
    <w:rsid w:val="009E435D"/>
    <w:rsid w:val="00A20E7A"/>
    <w:rsid w:val="00A579BF"/>
    <w:rsid w:val="00A606B7"/>
    <w:rsid w:val="00AB0D10"/>
    <w:rsid w:val="00AD4F5D"/>
    <w:rsid w:val="00AF4ED4"/>
    <w:rsid w:val="00B44DAE"/>
    <w:rsid w:val="00BB7C71"/>
    <w:rsid w:val="00BD188A"/>
    <w:rsid w:val="00BE398B"/>
    <w:rsid w:val="00CC1987"/>
    <w:rsid w:val="00CC3C9C"/>
    <w:rsid w:val="00CE324E"/>
    <w:rsid w:val="00CF7DBE"/>
    <w:rsid w:val="00D34EAD"/>
    <w:rsid w:val="00D37904"/>
    <w:rsid w:val="00D46FA7"/>
    <w:rsid w:val="00D57349"/>
    <w:rsid w:val="00D60D94"/>
    <w:rsid w:val="00D87916"/>
    <w:rsid w:val="00DA2F6F"/>
    <w:rsid w:val="00DB4E8A"/>
    <w:rsid w:val="00DC0CF4"/>
    <w:rsid w:val="00DC4652"/>
    <w:rsid w:val="00DF0A70"/>
    <w:rsid w:val="00E36199"/>
    <w:rsid w:val="00E40FAF"/>
    <w:rsid w:val="00E512E8"/>
    <w:rsid w:val="00E707B6"/>
    <w:rsid w:val="00EE09E4"/>
    <w:rsid w:val="00EF6266"/>
    <w:rsid w:val="00F07B8E"/>
    <w:rsid w:val="00F15833"/>
    <w:rsid w:val="00F44340"/>
    <w:rsid w:val="00F810F4"/>
    <w:rsid w:val="00FA45BE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7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4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ED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FontStyle">
    <w:name w:val="Font Style"/>
    <w:uiPriority w:val="99"/>
    <w:rsid w:val="00AF4ED4"/>
    <w:rPr>
      <w:rFonts w:cs="Courier New"/>
      <w:color w:val="000000"/>
      <w:sz w:val="20"/>
      <w:szCs w:val="20"/>
    </w:rPr>
  </w:style>
  <w:style w:type="character" w:customStyle="1" w:styleId="a3">
    <w:name w:val="Основний текст Знак"/>
    <w:link w:val="a4"/>
    <w:locked/>
    <w:rsid w:val="00AF4ED4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AF4ED4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ru-RU" w:eastAsia="ru-RU"/>
    </w:rPr>
  </w:style>
  <w:style w:type="character" w:customStyle="1" w:styleId="11">
    <w:name w:val="Основний текст Знак1"/>
    <w:basedOn w:val="a0"/>
    <w:uiPriority w:val="99"/>
    <w:semiHidden/>
    <w:rsid w:val="00AF4ED4"/>
    <w:rPr>
      <w:rFonts w:ascii="Calibri" w:eastAsia="Calibri" w:hAnsi="Calibri" w:cs="Times New Roman"/>
    </w:rPr>
  </w:style>
  <w:style w:type="character" w:customStyle="1" w:styleId="st42">
    <w:name w:val="st42"/>
    <w:uiPriority w:val="99"/>
    <w:rsid w:val="00AF4ED4"/>
    <w:rPr>
      <w:rFonts w:ascii="Times New Roman" w:hAnsi="Times New Roman"/>
      <w:color w:val="000000"/>
    </w:rPr>
  </w:style>
  <w:style w:type="character" w:customStyle="1" w:styleId="rvts0">
    <w:name w:val="rvts0"/>
    <w:basedOn w:val="a0"/>
    <w:rsid w:val="00AF4ED4"/>
  </w:style>
  <w:style w:type="paragraph" w:styleId="a5">
    <w:name w:val="header"/>
    <w:basedOn w:val="a"/>
    <w:link w:val="a6"/>
    <w:uiPriority w:val="99"/>
    <w:unhideWhenUsed/>
    <w:rsid w:val="00AF4ED4"/>
    <w:pPr>
      <w:tabs>
        <w:tab w:val="center" w:pos="4819"/>
        <w:tab w:val="right" w:pos="9639"/>
      </w:tabs>
      <w:spacing w:after="0" w:line="240" w:lineRule="auto"/>
    </w:pPr>
    <w:rPr>
      <w:szCs w:val="20"/>
    </w:rPr>
  </w:style>
  <w:style w:type="character" w:customStyle="1" w:styleId="a6">
    <w:name w:val="Верхній колонтитул Знак"/>
    <w:basedOn w:val="a0"/>
    <w:link w:val="a5"/>
    <w:uiPriority w:val="99"/>
    <w:rsid w:val="00AF4ED4"/>
    <w:rPr>
      <w:rFonts w:ascii="Calibri" w:eastAsia="Calibri" w:hAnsi="Calibri" w:cs="Times New Roman"/>
      <w:szCs w:val="20"/>
    </w:rPr>
  </w:style>
  <w:style w:type="paragraph" w:styleId="a7">
    <w:name w:val="List Paragraph"/>
    <w:basedOn w:val="a"/>
    <w:uiPriority w:val="34"/>
    <w:qFormat/>
    <w:rsid w:val="00AF4ED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E32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E324E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903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9034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6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2021-03-17T08:40:00Z</dcterms:created>
  <dcterms:modified xsi:type="dcterms:W3CDTF">2021-03-17T08:41:00Z</dcterms:modified>
</cp:coreProperties>
</file>