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F050" w14:textId="77777777" w:rsidR="005B3C8D" w:rsidRPr="00D87562" w:rsidRDefault="005B3C8D" w:rsidP="00A76F51">
      <w:pPr>
        <w:pStyle w:val="a3"/>
        <w:widowControl w:val="0"/>
        <w:rPr>
          <w:b/>
          <w:szCs w:val="28"/>
        </w:rPr>
      </w:pPr>
      <w:bookmarkStart w:id="0" w:name="_GoBack"/>
      <w:bookmarkEnd w:id="0"/>
      <w:r w:rsidRPr="00D87562">
        <w:rPr>
          <w:b/>
          <w:szCs w:val="28"/>
        </w:rPr>
        <w:t>ПОЯСНЮВАЛЬНА ЗАПИСКА</w:t>
      </w:r>
    </w:p>
    <w:p w14:paraId="7B2DF051" w14:textId="77777777" w:rsidR="002F14B4" w:rsidRPr="00D87562" w:rsidRDefault="005B3C8D" w:rsidP="00A76F51">
      <w:pPr>
        <w:widowControl w:val="0"/>
        <w:jc w:val="center"/>
        <w:rPr>
          <w:b/>
          <w:bCs/>
          <w:sz w:val="28"/>
          <w:szCs w:val="28"/>
        </w:rPr>
      </w:pPr>
      <w:r w:rsidRPr="00D87562">
        <w:rPr>
          <w:b/>
          <w:sz w:val="28"/>
          <w:szCs w:val="28"/>
        </w:rPr>
        <w:t xml:space="preserve">до </w:t>
      </w:r>
      <w:r w:rsidR="000E2A8A">
        <w:rPr>
          <w:b/>
          <w:sz w:val="28"/>
          <w:szCs w:val="28"/>
        </w:rPr>
        <w:t>проєкт</w:t>
      </w:r>
      <w:r w:rsidR="00CA5F54" w:rsidRPr="00D87562">
        <w:rPr>
          <w:b/>
          <w:sz w:val="28"/>
          <w:szCs w:val="28"/>
        </w:rPr>
        <w:t>у</w:t>
      </w:r>
      <w:r w:rsidR="00B01F76" w:rsidRPr="00D87562">
        <w:rPr>
          <w:b/>
          <w:sz w:val="28"/>
          <w:szCs w:val="28"/>
        </w:rPr>
        <w:t xml:space="preserve"> </w:t>
      </w:r>
      <w:r w:rsidR="00B01F76" w:rsidRPr="00D87562">
        <w:rPr>
          <w:b/>
          <w:bCs/>
          <w:sz w:val="28"/>
          <w:szCs w:val="28"/>
        </w:rPr>
        <w:t>Закон</w:t>
      </w:r>
      <w:r w:rsidR="00CA5F54" w:rsidRPr="00D87562">
        <w:rPr>
          <w:b/>
          <w:bCs/>
          <w:sz w:val="28"/>
          <w:szCs w:val="28"/>
        </w:rPr>
        <w:t>у</w:t>
      </w:r>
      <w:r w:rsidR="00B01F76" w:rsidRPr="00D87562">
        <w:rPr>
          <w:b/>
          <w:bCs/>
          <w:sz w:val="28"/>
          <w:szCs w:val="28"/>
        </w:rPr>
        <w:t xml:space="preserve"> України </w:t>
      </w:r>
    </w:p>
    <w:p w14:paraId="7B2DF052" w14:textId="77777777" w:rsidR="005B3C8D" w:rsidRPr="00D87562" w:rsidRDefault="00B01F76" w:rsidP="00A76F51">
      <w:pPr>
        <w:widowControl w:val="0"/>
        <w:jc w:val="center"/>
        <w:rPr>
          <w:b/>
          <w:sz w:val="28"/>
          <w:szCs w:val="28"/>
        </w:rPr>
      </w:pPr>
      <w:r w:rsidRPr="00D87562">
        <w:rPr>
          <w:b/>
          <w:bCs/>
          <w:sz w:val="28"/>
          <w:szCs w:val="28"/>
        </w:rPr>
        <w:t>«</w:t>
      </w:r>
      <w:r w:rsidR="00207A70" w:rsidRPr="00D87562">
        <w:rPr>
          <w:b/>
          <w:sz w:val="28"/>
          <w:szCs w:val="28"/>
        </w:rPr>
        <w:t>Про Національну комісію з</w:t>
      </w:r>
      <w:r w:rsidR="0015249C" w:rsidRPr="00D87562">
        <w:rPr>
          <w:b/>
          <w:sz w:val="28"/>
          <w:szCs w:val="28"/>
        </w:rPr>
        <w:t xml:space="preserve"> цінних паперів та бірж</w:t>
      </w:r>
      <w:r w:rsidR="006F42A4" w:rsidRPr="00D87562">
        <w:rPr>
          <w:b/>
          <w:sz w:val="28"/>
          <w:szCs w:val="28"/>
        </w:rPr>
        <w:t>»</w:t>
      </w:r>
    </w:p>
    <w:p w14:paraId="7B2DF053" w14:textId="77777777" w:rsidR="005B3C8D" w:rsidRPr="00D87562" w:rsidRDefault="005B3C8D" w:rsidP="00A76F51">
      <w:pPr>
        <w:widowControl w:val="0"/>
        <w:jc w:val="center"/>
        <w:rPr>
          <w:b/>
          <w:sz w:val="28"/>
          <w:szCs w:val="28"/>
        </w:rPr>
      </w:pPr>
    </w:p>
    <w:p w14:paraId="7B2DF054" w14:textId="77777777" w:rsidR="005B3C8D" w:rsidRPr="00D87562" w:rsidRDefault="005B3C8D" w:rsidP="00A76F51">
      <w:pPr>
        <w:widowControl w:val="0"/>
        <w:numPr>
          <w:ilvl w:val="0"/>
          <w:numId w:val="5"/>
        </w:numPr>
        <w:tabs>
          <w:tab w:val="clear" w:pos="927"/>
          <w:tab w:val="left" w:pos="900"/>
        </w:tabs>
        <w:ind w:left="0" w:firstLine="567"/>
        <w:jc w:val="both"/>
        <w:rPr>
          <w:b/>
          <w:sz w:val="28"/>
          <w:szCs w:val="28"/>
        </w:rPr>
      </w:pPr>
      <w:r w:rsidRPr="00D87562">
        <w:rPr>
          <w:b/>
          <w:sz w:val="28"/>
          <w:szCs w:val="28"/>
        </w:rPr>
        <w:t>Обґрунтування необхідності прийняття акта</w:t>
      </w:r>
    </w:p>
    <w:p w14:paraId="7B2DF055" w14:textId="77777777" w:rsidR="0015249C" w:rsidRPr="00D87562" w:rsidRDefault="007D3DD6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Пунктом</w:t>
      </w:r>
      <w:r w:rsidR="0015249C" w:rsidRPr="00D87562">
        <w:rPr>
          <w:sz w:val="28"/>
          <w:szCs w:val="28"/>
        </w:rPr>
        <w:t xml:space="preserve"> 24</w:t>
      </w:r>
      <w:r w:rsidRPr="00D87562">
        <w:rPr>
          <w:sz w:val="28"/>
          <w:szCs w:val="28"/>
        </w:rPr>
        <w:t xml:space="preserve"> Меморандуму </w:t>
      </w:r>
      <w:r w:rsidR="00290767" w:rsidRPr="00D87562">
        <w:rPr>
          <w:sz w:val="28"/>
          <w:szCs w:val="28"/>
        </w:rPr>
        <w:t>між Україною та М</w:t>
      </w:r>
      <w:r w:rsidR="008038BD" w:rsidRPr="00D87562">
        <w:rPr>
          <w:sz w:val="28"/>
          <w:szCs w:val="28"/>
        </w:rPr>
        <w:t>іжнародним валютним фондом</w:t>
      </w:r>
      <w:r w:rsidR="00290767" w:rsidRPr="00D87562">
        <w:rPr>
          <w:sz w:val="28"/>
          <w:szCs w:val="28"/>
        </w:rPr>
        <w:t xml:space="preserve"> </w:t>
      </w:r>
      <w:r w:rsidRPr="00D87562">
        <w:rPr>
          <w:sz w:val="28"/>
          <w:szCs w:val="28"/>
        </w:rPr>
        <w:t>про економічну і фінансову політику передбачено</w:t>
      </w:r>
      <w:r w:rsidR="008038BD" w:rsidRPr="00D87562">
        <w:rPr>
          <w:sz w:val="28"/>
          <w:szCs w:val="28"/>
        </w:rPr>
        <w:t xml:space="preserve"> завдання щодо</w:t>
      </w:r>
      <w:r w:rsidRPr="00D87562">
        <w:rPr>
          <w:sz w:val="28"/>
          <w:szCs w:val="28"/>
        </w:rPr>
        <w:t xml:space="preserve"> </w:t>
      </w:r>
      <w:r w:rsidR="0015249C" w:rsidRPr="00D87562">
        <w:rPr>
          <w:sz w:val="28"/>
          <w:szCs w:val="28"/>
        </w:rPr>
        <w:t xml:space="preserve"> прийняття законо</w:t>
      </w:r>
      <w:r w:rsidR="000E2A8A">
        <w:rPr>
          <w:sz w:val="28"/>
          <w:szCs w:val="28"/>
        </w:rPr>
        <w:t>проєкт</w:t>
      </w:r>
      <w:r w:rsidR="0015249C" w:rsidRPr="00D87562">
        <w:rPr>
          <w:sz w:val="28"/>
          <w:szCs w:val="28"/>
        </w:rPr>
        <w:t>у (раніше зареєстрований за номером № 6303), який посилює незалежність та інституційну спроможність, повноваження щодо транскордонної та внутрішньої співпраці, та правозастосовні повноваження Національної комісії з цінних паперів та фондового ринку для того, щоб забезпечити дотримання нею стандартів IOSCO</w:t>
      </w:r>
      <w:r w:rsidR="002F14B4" w:rsidRPr="00D87562">
        <w:rPr>
          <w:sz w:val="28"/>
          <w:szCs w:val="28"/>
        </w:rPr>
        <w:t>.</w:t>
      </w:r>
    </w:p>
    <w:p w14:paraId="7B2DF056" w14:textId="77777777" w:rsidR="009F2DD1" w:rsidRPr="00D87562" w:rsidRDefault="009F2DD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Необхідно зазначити, що </w:t>
      </w:r>
      <w:r w:rsidR="0015249C" w:rsidRPr="00D87562">
        <w:rPr>
          <w:sz w:val="28"/>
          <w:szCs w:val="28"/>
        </w:rPr>
        <w:t>Національна комісія з цінних паперів та фондового ринку (далі –</w:t>
      </w:r>
      <w:r w:rsidR="002F14B4" w:rsidRPr="00D87562">
        <w:rPr>
          <w:sz w:val="28"/>
          <w:szCs w:val="28"/>
        </w:rPr>
        <w:t xml:space="preserve"> </w:t>
      </w:r>
      <w:r w:rsidRPr="00D87562">
        <w:rPr>
          <w:sz w:val="28"/>
          <w:szCs w:val="28"/>
        </w:rPr>
        <w:t>Комісія</w:t>
      </w:r>
      <w:r w:rsidR="0015249C" w:rsidRPr="00D87562">
        <w:rPr>
          <w:sz w:val="28"/>
          <w:szCs w:val="28"/>
        </w:rPr>
        <w:t>)</w:t>
      </w:r>
      <w:r w:rsidRPr="00D87562">
        <w:rPr>
          <w:sz w:val="28"/>
          <w:szCs w:val="28"/>
        </w:rPr>
        <w:t xml:space="preserve"> є членом Міжнародної організації комісій з цінних паперів (IOSCO) з 1996 року, яка об’єднує понад 100 регуляторів зі всього світу. Однак, Комісія й досі не приєдналась до</w:t>
      </w:r>
      <w:r w:rsidR="0015249C" w:rsidRPr="00D87562">
        <w:rPr>
          <w:sz w:val="28"/>
          <w:szCs w:val="28"/>
        </w:rPr>
        <w:t xml:space="preserve"> Багатостороннього меморандуму про взаєморозуміння щодо консультування та співробітництва і обміну інформацією Міжнародної </w:t>
      </w:r>
      <w:r w:rsidR="002F14B4" w:rsidRPr="00D87562">
        <w:rPr>
          <w:sz w:val="28"/>
          <w:szCs w:val="28"/>
        </w:rPr>
        <w:t xml:space="preserve">організації комісій з цінних паперів </w:t>
      </w:r>
      <w:r w:rsidR="0015249C" w:rsidRPr="00D87562">
        <w:rPr>
          <w:sz w:val="28"/>
          <w:szCs w:val="28"/>
        </w:rPr>
        <w:t>(IOSCO) (далі – Меморандум IOSCO)</w:t>
      </w:r>
      <w:r w:rsidRPr="00D87562">
        <w:rPr>
          <w:sz w:val="28"/>
          <w:szCs w:val="28"/>
        </w:rPr>
        <w:t xml:space="preserve">, що негативно впливає </w:t>
      </w:r>
      <w:r w:rsidR="001B530E">
        <w:rPr>
          <w:sz w:val="28"/>
          <w:szCs w:val="28"/>
        </w:rPr>
        <w:t xml:space="preserve">як </w:t>
      </w:r>
      <w:r w:rsidRPr="00D87562">
        <w:rPr>
          <w:sz w:val="28"/>
          <w:szCs w:val="28"/>
        </w:rPr>
        <w:t xml:space="preserve">на ефективність </w:t>
      </w:r>
      <w:r w:rsidR="00D87562">
        <w:rPr>
          <w:sz w:val="28"/>
          <w:szCs w:val="28"/>
        </w:rPr>
        <w:t>державного регулювання вітчизняного фондового ринку</w:t>
      </w:r>
      <w:r w:rsidRPr="00D87562">
        <w:rPr>
          <w:sz w:val="28"/>
          <w:szCs w:val="28"/>
        </w:rPr>
        <w:t xml:space="preserve"> </w:t>
      </w:r>
      <w:r w:rsidR="001B530E">
        <w:rPr>
          <w:sz w:val="28"/>
          <w:szCs w:val="28"/>
        </w:rPr>
        <w:t xml:space="preserve">внаслідок </w:t>
      </w:r>
      <w:r w:rsidR="00D87562">
        <w:rPr>
          <w:sz w:val="28"/>
          <w:szCs w:val="28"/>
        </w:rPr>
        <w:t xml:space="preserve">неможливість </w:t>
      </w:r>
      <w:r w:rsidR="001B530E">
        <w:rPr>
          <w:sz w:val="28"/>
          <w:szCs w:val="28"/>
        </w:rPr>
        <w:t>отримання допомоги, зокрема</w:t>
      </w:r>
      <w:r w:rsidR="00D87562">
        <w:rPr>
          <w:sz w:val="28"/>
          <w:szCs w:val="28"/>
        </w:rPr>
        <w:t xml:space="preserve"> інформаці</w:t>
      </w:r>
      <w:r w:rsidR="001B530E">
        <w:rPr>
          <w:sz w:val="28"/>
          <w:szCs w:val="28"/>
        </w:rPr>
        <w:t>ї,</w:t>
      </w:r>
      <w:r w:rsidR="001B530E" w:rsidRPr="00D87562">
        <w:rPr>
          <w:sz w:val="28"/>
          <w:szCs w:val="28"/>
        </w:rPr>
        <w:t xml:space="preserve"> в рамках </w:t>
      </w:r>
      <w:r w:rsidR="001B530E">
        <w:rPr>
          <w:sz w:val="28"/>
          <w:szCs w:val="28"/>
        </w:rPr>
        <w:t>міжнародної співпраці, так й</w:t>
      </w:r>
      <w:r w:rsidR="00D87562">
        <w:rPr>
          <w:sz w:val="28"/>
          <w:szCs w:val="28"/>
        </w:rPr>
        <w:t xml:space="preserve"> </w:t>
      </w:r>
      <w:r w:rsidRPr="00D87562">
        <w:rPr>
          <w:sz w:val="28"/>
          <w:szCs w:val="28"/>
        </w:rPr>
        <w:t>на міжнародний імідж України.</w:t>
      </w:r>
    </w:p>
    <w:p w14:paraId="7B2DF057" w14:textId="77777777" w:rsidR="009F2DD1" w:rsidRPr="00D87562" w:rsidRDefault="009F2DD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Зазначене пов’язано з тим, що у разі приєднання до Меморандуму </w:t>
      </w:r>
      <w:bookmarkStart w:id="1" w:name="_Hlk56177001"/>
      <w:r w:rsidRPr="00D87562">
        <w:rPr>
          <w:sz w:val="28"/>
          <w:szCs w:val="28"/>
        </w:rPr>
        <w:t>IOSCO</w:t>
      </w:r>
      <w:bookmarkEnd w:id="1"/>
      <w:r w:rsidRPr="00D87562">
        <w:rPr>
          <w:sz w:val="28"/>
          <w:szCs w:val="28"/>
        </w:rPr>
        <w:t xml:space="preserve"> Комісія буде зобов’язана забезпечити виконання вимог, які містяться у зазначеному Меморандумі, але які на даний час не має можливості виконати без внесення відповідних змін до законодавства. </w:t>
      </w:r>
    </w:p>
    <w:p w14:paraId="7B2DF058" w14:textId="77777777" w:rsidR="009F2DD1" w:rsidRPr="00D87562" w:rsidRDefault="00876012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 Так</w:t>
      </w:r>
      <w:r w:rsidR="009F2DD1" w:rsidRPr="00D87562">
        <w:rPr>
          <w:sz w:val="28"/>
          <w:szCs w:val="28"/>
        </w:rPr>
        <w:t>, у Комісії недостатньо повноважень для забезпечення обміну інформацією (в тому числі</w:t>
      </w:r>
      <w:r w:rsidR="002F14B4" w:rsidRPr="00D87562">
        <w:rPr>
          <w:sz w:val="28"/>
          <w:szCs w:val="28"/>
        </w:rPr>
        <w:t xml:space="preserve"> інформацією</w:t>
      </w:r>
      <w:r w:rsidR="009F2DD1" w:rsidRPr="00D87562">
        <w:rPr>
          <w:sz w:val="28"/>
          <w:szCs w:val="28"/>
        </w:rPr>
        <w:t>, яка містить банківську таємницю)</w:t>
      </w:r>
      <w:r w:rsidR="00F234D0" w:rsidRPr="00D87562">
        <w:rPr>
          <w:sz w:val="28"/>
          <w:szCs w:val="28"/>
        </w:rPr>
        <w:t>,</w:t>
      </w:r>
      <w:r w:rsidR="009F2DD1" w:rsidRPr="00D87562">
        <w:rPr>
          <w:sz w:val="28"/>
          <w:szCs w:val="28"/>
        </w:rPr>
        <w:t xml:space="preserve"> проведення</w:t>
      </w:r>
      <w:r w:rsidRPr="00804088">
        <w:rPr>
          <w:color w:val="000000"/>
          <w:sz w:val="28"/>
          <w:szCs w:val="28"/>
        </w:rPr>
        <w:t xml:space="preserve"> </w:t>
      </w:r>
      <w:r w:rsidRPr="00D87562">
        <w:rPr>
          <w:color w:val="000000"/>
          <w:sz w:val="28"/>
          <w:szCs w:val="28"/>
        </w:rPr>
        <w:t xml:space="preserve">розслідувань </w:t>
      </w:r>
      <w:r w:rsidR="00F234D0" w:rsidRPr="00D87562">
        <w:rPr>
          <w:sz w:val="28"/>
          <w:szCs w:val="28"/>
        </w:rPr>
        <w:t xml:space="preserve">та </w:t>
      </w:r>
      <w:r w:rsidRPr="00D87562">
        <w:rPr>
          <w:color w:val="000000"/>
          <w:sz w:val="28"/>
          <w:szCs w:val="28"/>
        </w:rPr>
        <w:t>здійснення інших заходів правозастосування в рамках надання міжнародної допомоги регулятор</w:t>
      </w:r>
      <w:r w:rsidR="00F234D0" w:rsidRPr="00D87562">
        <w:rPr>
          <w:color w:val="000000"/>
          <w:sz w:val="28"/>
          <w:szCs w:val="28"/>
        </w:rPr>
        <w:t>ам</w:t>
      </w:r>
      <w:r w:rsidRPr="00D87562">
        <w:rPr>
          <w:color w:val="000000"/>
          <w:sz w:val="28"/>
          <w:szCs w:val="28"/>
        </w:rPr>
        <w:t xml:space="preserve"> </w:t>
      </w:r>
      <w:r w:rsidR="00F234D0" w:rsidRPr="00D87562">
        <w:rPr>
          <w:color w:val="000000"/>
          <w:sz w:val="28"/>
          <w:szCs w:val="28"/>
        </w:rPr>
        <w:t>іноземних</w:t>
      </w:r>
      <w:r w:rsidRPr="00D87562">
        <w:rPr>
          <w:color w:val="000000"/>
          <w:sz w:val="28"/>
          <w:szCs w:val="28"/>
        </w:rPr>
        <w:t xml:space="preserve"> держав</w:t>
      </w:r>
      <w:r w:rsidR="009F2DD1" w:rsidRPr="00D87562">
        <w:rPr>
          <w:sz w:val="28"/>
          <w:szCs w:val="28"/>
        </w:rPr>
        <w:t>.</w:t>
      </w:r>
    </w:p>
    <w:p w14:paraId="7B2DF059" w14:textId="77777777" w:rsidR="00B030DD" w:rsidRPr="00D87562" w:rsidRDefault="00387FD0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  <w:lang w:eastAsia="uk-UA"/>
        </w:rPr>
        <w:t>З метою виконання завдання,</w:t>
      </w:r>
      <w:r w:rsidR="009F2DD1" w:rsidRPr="00D87562">
        <w:rPr>
          <w:sz w:val="28"/>
          <w:szCs w:val="28"/>
          <w:lang w:eastAsia="uk-UA"/>
        </w:rPr>
        <w:t xml:space="preserve"> передбаченого </w:t>
      </w:r>
      <w:r w:rsidR="009F2DD1" w:rsidRPr="00D87562">
        <w:rPr>
          <w:sz w:val="28"/>
          <w:szCs w:val="28"/>
        </w:rPr>
        <w:t>Меморандум</w:t>
      </w:r>
      <w:r w:rsidR="005816E2" w:rsidRPr="00D87562">
        <w:rPr>
          <w:sz w:val="28"/>
          <w:szCs w:val="28"/>
        </w:rPr>
        <w:t>ом</w:t>
      </w:r>
      <w:r w:rsidR="009F2DD1" w:rsidRPr="00D87562">
        <w:rPr>
          <w:sz w:val="28"/>
          <w:szCs w:val="28"/>
        </w:rPr>
        <w:t xml:space="preserve"> між Україною та Міжнародним валютним фондом, </w:t>
      </w:r>
      <w:r w:rsidRPr="00D87562">
        <w:rPr>
          <w:sz w:val="28"/>
          <w:szCs w:val="28"/>
          <w:lang w:eastAsia="uk-UA"/>
        </w:rPr>
        <w:t xml:space="preserve">а також за результатами технічної місії Міжнародного валютного фонду щодо розширення повноважень і зміцнення незалежності </w:t>
      </w:r>
      <w:r w:rsidR="009F2DD1" w:rsidRPr="00D87562">
        <w:rPr>
          <w:sz w:val="28"/>
          <w:szCs w:val="28"/>
          <w:lang w:eastAsia="uk-UA"/>
        </w:rPr>
        <w:t>Комісії</w:t>
      </w:r>
      <w:r w:rsidRPr="00D87562">
        <w:rPr>
          <w:sz w:val="28"/>
          <w:szCs w:val="28"/>
          <w:lang w:eastAsia="uk-UA"/>
        </w:rPr>
        <w:t xml:space="preserve"> </w:t>
      </w:r>
      <w:r w:rsidR="00B030DD" w:rsidRPr="00D87562">
        <w:rPr>
          <w:sz w:val="28"/>
          <w:szCs w:val="28"/>
        </w:rPr>
        <w:t>розроб</w:t>
      </w:r>
      <w:r w:rsidR="00EF6FDF" w:rsidRPr="00D87562">
        <w:rPr>
          <w:sz w:val="28"/>
          <w:szCs w:val="28"/>
        </w:rPr>
        <w:t xml:space="preserve">лено </w:t>
      </w:r>
      <w:r w:rsidR="000E2A8A">
        <w:rPr>
          <w:sz w:val="28"/>
          <w:szCs w:val="28"/>
        </w:rPr>
        <w:t>проєкт</w:t>
      </w:r>
      <w:r w:rsidR="00EF6FDF" w:rsidRPr="00D87562">
        <w:rPr>
          <w:sz w:val="28"/>
          <w:szCs w:val="28"/>
        </w:rPr>
        <w:t xml:space="preserve"> Закону України </w:t>
      </w:r>
      <w:r w:rsidR="002F14B4" w:rsidRPr="00D87562">
        <w:rPr>
          <w:bCs/>
          <w:sz w:val="28"/>
          <w:szCs w:val="28"/>
        </w:rPr>
        <w:t>«</w:t>
      </w:r>
      <w:r w:rsidR="00207A70" w:rsidRPr="00D87562">
        <w:rPr>
          <w:sz w:val="28"/>
          <w:szCs w:val="28"/>
        </w:rPr>
        <w:t xml:space="preserve">Про Національну комісію з </w:t>
      </w:r>
      <w:r w:rsidR="00AC2841" w:rsidRPr="00D87562">
        <w:rPr>
          <w:sz w:val="28"/>
          <w:szCs w:val="28"/>
        </w:rPr>
        <w:t>цінних паперів та бірж</w:t>
      </w:r>
      <w:r w:rsidR="002F14B4" w:rsidRPr="00D87562">
        <w:rPr>
          <w:sz w:val="28"/>
          <w:szCs w:val="28"/>
        </w:rPr>
        <w:t>»</w:t>
      </w:r>
      <w:r w:rsidR="00EF6FDF" w:rsidRPr="00D87562">
        <w:rPr>
          <w:sz w:val="28"/>
          <w:szCs w:val="28"/>
        </w:rPr>
        <w:t>.</w:t>
      </w:r>
    </w:p>
    <w:p w14:paraId="7B2DF05A" w14:textId="77777777" w:rsidR="00B030DD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4"/>
          <w:szCs w:val="24"/>
          <w:lang w:eastAsia="uk-UA"/>
        </w:rPr>
      </w:pPr>
      <w:r w:rsidRPr="00D87562">
        <w:rPr>
          <w:bCs/>
          <w:sz w:val="28"/>
          <w:szCs w:val="28"/>
          <w:lang w:eastAsia="uk-UA"/>
        </w:rPr>
        <w:t xml:space="preserve">Реалізація запропонованих законодавчих змін дозволить вітчизняному регулятору </w:t>
      </w:r>
      <w:r w:rsidR="004741F4" w:rsidRPr="00D87562">
        <w:rPr>
          <w:bCs/>
          <w:sz w:val="28"/>
          <w:szCs w:val="28"/>
          <w:lang w:eastAsia="uk-UA"/>
        </w:rPr>
        <w:t>ринків капіталу та організованих товарних ринків</w:t>
      </w:r>
      <w:r w:rsidRPr="00D87562">
        <w:rPr>
          <w:bCs/>
          <w:sz w:val="28"/>
          <w:szCs w:val="28"/>
          <w:lang w:eastAsia="uk-UA"/>
        </w:rPr>
        <w:t xml:space="preserve"> досягти відповідності загальноприйнятим стандартам функціонування </w:t>
      </w:r>
      <w:r w:rsidR="005816E2" w:rsidRPr="00D87562">
        <w:rPr>
          <w:bCs/>
          <w:sz w:val="28"/>
          <w:szCs w:val="28"/>
          <w:lang w:eastAsia="uk-UA"/>
        </w:rPr>
        <w:t xml:space="preserve">зазначених </w:t>
      </w:r>
      <w:r w:rsidRPr="00D87562">
        <w:rPr>
          <w:bCs/>
          <w:sz w:val="28"/>
          <w:szCs w:val="28"/>
          <w:lang w:eastAsia="uk-UA"/>
        </w:rPr>
        <w:t xml:space="preserve">ринків, які втілені в Принципах та цілях регулювання ринку цінних паперів </w:t>
      </w:r>
      <w:r w:rsidRPr="00D87562">
        <w:rPr>
          <w:color w:val="000000"/>
          <w:sz w:val="28"/>
          <w:szCs w:val="28"/>
        </w:rPr>
        <w:t>Міжнародної організації комісій з цінних паперів (далі – Принципи IOSCO).</w:t>
      </w:r>
    </w:p>
    <w:p w14:paraId="7B2DF05B" w14:textId="77777777" w:rsidR="00B030DD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color w:val="000000"/>
          <w:sz w:val="28"/>
          <w:szCs w:val="28"/>
        </w:rPr>
        <w:t xml:space="preserve">Необхідно зазначити, що зазначені Принципи IOSCO </w:t>
      </w:r>
      <w:r w:rsidRPr="00D87562">
        <w:rPr>
          <w:sz w:val="28"/>
          <w:szCs w:val="28"/>
        </w:rPr>
        <w:t xml:space="preserve">встановлюють ряд вимог до рівня незалежності регуляторного органу в сфері фінансового ринку. Зокрема, передбачено, що регуляторний орган повинен функціонувати таким чином, щоб не виникало перешкод у його незалежності та підзвітності функції регулювання.  </w:t>
      </w:r>
    </w:p>
    <w:p w14:paraId="7B2DF05C" w14:textId="77777777" w:rsidR="00B030DD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При цьому, незалежність регулятора залежить, зокрема, й від рівня забезпечен</w:t>
      </w:r>
      <w:r w:rsidR="009F2DD1" w:rsidRPr="00D87562">
        <w:rPr>
          <w:sz w:val="28"/>
          <w:szCs w:val="28"/>
        </w:rPr>
        <w:t>ня</w:t>
      </w:r>
      <w:r w:rsidRPr="00D87562">
        <w:rPr>
          <w:sz w:val="28"/>
          <w:szCs w:val="28"/>
        </w:rPr>
        <w:t xml:space="preserve"> його фінансування. Регулятор повинен мати адекватне </w:t>
      </w:r>
      <w:r w:rsidRPr="00D87562">
        <w:rPr>
          <w:sz w:val="28"/>
          <w:szCs w:val="28"/>
        </w:rPr>
        <w:lastRenderedPageBreak/>
        <w:t>фінансування для здійснення своїх повноважень і обов'язків та мати стабільні й постійні джерела фінансування, яке повинно бути достатнім для задоволення його регуляторних та операційних потреб.</w:t>
      </w:r>
    </w:p>
    <w:p w14:paraId="7B2DF05D" w14:textId="77777777" w:rsidR="00EF6FDF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За наслідками здійсненої оцінки поточного стану дотримання Україною Принципів IOSCO, яка проводилася ще у середині 2000-х років Світовим банком та Міжнародним валютним фондом було зроблено висновок, що </w:t>
      </w:r>
      <w:r w:rsidR="009F2DD1" w:rsidRPr="00D87562">
        <w:rPr>
          <w:sz w:val="28"/>
          <w:szCs w:val="28"/>
        </w:rPr>
        <w:t>Комісії</w:t>
      </w:r>
      <w:r w:rsidRPr="00D87562">
        <w:rPr>
          <w:sz w:val="28"/>
          <w:szCs w:val="28"/>
        </w:rPr>
        <w:t xml:space="preserve"> бракує фінансової незалежності, а рівень забезпеченості Комісії ресурсами вкрай незадовільний. Комісії не вистачає бюджетного фінансування для створення та модернізації автоматизованих систем, ІТ систем, комп’ютерного та програмного забезпечення для полегшення відповідного виконання своїх функцій в ситуації, коли кількість технічного персоналу є дуже невеликою відносно розміру галузі, яку вона регулює, а також для утримання кваліфікованого персоналу. У 2013 році Комісією спільно зі Світовим банком було повторно проведено оцінку поточного стану дотримання Україною Принципів IOSCO, якою було підтверджено висновки Світового банку та Міжнародного валютного фонду щодо необхідності</w:t>
      </w:r>
      <w:r w:rsidR="001B530E">
        <w:rPr>
          <w:sz w:val="28"/>
          <w:szCs w:val="28"/>
        </w:rPr>
        <w:t xml:space="preserve"> покращення регулювання з метою забезпечення</w:t>
      </w:r>
      <w:r w:rsidRPr="00D87562">
        <w:rPr>
          <w:sz w:val="28"/>
          <w:szCs w:val="28"/>
        </w:rPr>
        <w:t xml:space="preserve"> </w:t>
      </w:r>
      <w:r w:rsidR="001B530E">
        <w:rPr>
          <w:sz w:val="28"/>
          <w:szCs w:val="28"/>
        </w:rPr>
        <w:t>відповідності</w:t>
      </w:r>
      <w:r w:rsidRPr="00D87562">
        <w:rPr>
          <w:sz w:val="28"/>
          <w:szCs w:val="28"/>
        </w:rPr>
        <w:t xml:space="preserve"> вимог</w:t>
      </w:r>
      <w:r w:rsidR="001B530E">
        <w:rPr>
          <w:sz w:val="28"/>
          <w:szCs w:val="28"/>
        </w:rPr>
        <w:t>ам</w:t>
      </w:r>
      <w:r w:rsidRPr="00D87562">
        <w:rPr>
          <w:sz w:val="28"/>
          <w:szCs w:val="28"/>
        </w:rPr>
        <w:t>, передбачени</w:t>
      </w:r>
      <w:r w:rsidR="001B530E">
        <w:rPr>
          <w:sz w:val="28"/>
          <w:szCs w:val="28"/>
        </w:rPr>
        <w:t>м</w:t>
      </w:r>
      <w:r w:rsidRPr="00D87562">
        <w:rPr>
          <w:sz w:val="28"/>
          <w:szCs w:val="28"/>
        </w:rPr>
        <w:t xml:space="preserve"> принципом незалежності регулятора, в тому числі й щодо необхідності покращення системи фінансування Комісії. </w:t>
      </w:r>
    </w:p>
    <w:p w14:paraId="7B2DF05E" w14:textId="77777777" w:rsidR="00EF6FDF" w:rsidRPr="00D87562" w:rsidRDefault="009F2DD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Отже, н</w:t>
      </w:r>
      <w:r w:rsidR="00B030DD" w:rsidRPr="00D87562">
        <w:rPr>
          <w:sz w:val="28"/>
          <w:szCs w:val="28"/>
        </w:rPr>
        <w:t>еобхідний рівень незалежності регулятора</w:t>
      </w:r>
      <w:r w:rsidRPr="00D87562">
        <w:rPr>
          <w:sz w:val="28"/>
          <w:szCs w:val="28"/>
        </w:rPr>
        <w:t xml:space="preserve">, який би зокрема відповідав Принципам IOSCO, </w:t>
      </w:r>
      <w:r w:rsidR="00B030DD" w:rsidRPr="00D87562">
        <w:rPr>
          <w:sz w:val="28"/>
          <w:szCs w:val="28"/>
        </w:rPr>
        <w:t>може бути досягнутий шляхом закон</w:t>
      </w:r>
      <w:r w:rsidRPr="00D87562">
        <w:rPr>
          <w:sz w:val="28"/>
          <w:szCs w:val="28"/>
        </w:rPr>
        <w:t xml:space="preserve">одавчого закріплення гарантій </w:t>
      </w:r>
      <w:r w:rsidR="00B030DD" w:rsidRPr="00D87562">
        <w:rPr>
          <w:sz w:val="28"/>
          <w:szCs w:val="28"/>
        </w:rPr>
        <w:t xml:space="preserve">інституційної та фінансової незалежності Комісії. </w:t>
      </w:r>
    </w:p>
    <w:p w14:paraId="7B2DF05F" w14:textId="77777777" w:rsidR="00EF6FDF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iCs/>
          <w:sz w:val="28"/>
          <w:szCs w:val="28"/>
        </w:rPr>
        <w:t xml:space="preserve"> Інституційна незалежність</w:t>
      </w:r>
      <w:r w:rsidRPr="00D87562">
        <w:rPr>
          <w:sz w:val="28"/>
          <w:szCs w:val="28"/>
        </w:rPr>
        <w:t xml:space="preserve"> полягає у виконанні Комісією своїх функцій самостійно, без втручання будь-якого іншого державного орган</w:t>
      </w:r>
      <w:r w:rsidR="009C304A" w:rsidRPr="00D87562">
        <w:rPr>
          <w:sz w:val="28"/>
          <w:szCs w:val="28"/>
        </w:rPr>
        <w:t>у</w:t>
      </w:r>
      <w:r w:rsidRPr="00D87562">
        <w:rPr>
          <w:sz w:val="28"/>
          <w:szCs w:val="28"/>
        </w:rPr>
        <w:t xml:space="preserve"> або політичних сил.</w:t>
      </w:r>
    </w:p>
    <w:p w14:paraId="7B2DF060" w14:textId="77777777" w:rsidR="00EF6FDF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iCs/>
          <w:sz w:val="28"/>
          <w:szCs w:val="28"/>
        </w:rPr>
        <w:t>Фінансова незалежність</w:t>
      </w:r>
      <w:r w:rsidRPr="00D87562">
        <w:rPr>
          <w:sz w:val="28"/>
          <w:szCs w:val="28"/>
        </w:rPr>
        <w:t xml:space="preserve"> Комісії визначається достатністю власних фінансових ресурсів, необхідних для виконання її функцій, реалізації відповідних програм і забезпечення </w:t>
      </w:r>
      <w:r w:rsidR="005816E2" w:rsidRPr="00D87562">
        <w:rPr>
          <w:sz w:val="28"/>
          <w:szCs w:val="28"/>
        </w:rPr>
        <w:t xml:space="preserve">достатнього </w:t>
      </w:r>
      <w:r w:rsidRPr="00D87562">
        <w:rPr>
          <w:sz w:val="28"/>
          <w:szCs w:val="28"/>
        </w:rPr>
        <w:t xml:space="preserve">рівня заробітної плати працівників. </w:t>
      </w:r>
    </w:p>
    <w:p w14:paraId="7B2DF061" w14:textId="77777777" w:rsidR="00EF6FDF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Досвід країн з розвинутою економікою свідчить про можливість використання альтернативних шляхів фінансування регуляторів ринків цінних паперів за рахунок недержавних джерел. Можна відзначити, що навіть при наявності фінансування регулятора з державного бюджету, певна, а в деяких країнах  –  значна частина надходжень, отримується з інших джерел фінансування. Зокрема, серед інших джерел фінансування можна виділити: платежі нагляду, які стягуються із юридичних та фізичних осіб, над якими здійснюється нагляд, залежно від розміру їх активів та/або доходів; </w:t>
      </w:r>
      <w:r w:rsidR="009C304A" w:rsidRPr="00D87562">
        <w:rPr>
          <w:sz w:val="28"/>
          <w:szCs w:val="28"/>
        </w:rPr>
        <w:t>плат</w:t>
      </w:r>
      <w:r w:rsidR="001B530E">
        <w:rPr>
          <w:sz w:val="28"/>
          <w:szCs w:val="28"/>
        </w:rPr>
        <w:t>а</w:t>
      </w:r>
      <w:r w:rsidR="009C304A" w:rsidRPr="00D87562">
        <w:rPr>
          <w:sz w:val="28"/>
          <w:szCs w:val="28"/>
        </w:rPr>
        <w:t xml:space="preserve"> за надання адміністративних послуг </w:t>
      </w:r>
      <w:r w:rsidRPr="00D87562">
        <w:rPr>
          <w:sz w:val="28"/>
          <w:szCs w:val="28"/>
        </w:rPr>
        <w:t>(як-то: видача ліцензій, реєстрація проспектів емісії тощо); транзакційні збори; відшкодування окремих послуг регулятора; штрафи; надходження від продажу періодичних видань та від здійснення іншої діяльності, дозволеної законом.</w:t>
      </w:r>
    </w:p>
    <w:p w14:paraId="7B2DF062" w14:textId="77777777" w:rsidR="00B030DD" w:rsidRPr="00D87562" w:rsidRDefault="00B030DD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Так, зокрема, фінансування регуляторів ринку цінних паперів Швеції (FI) та Хорватії (FSA) здійснюється за рахунок адміністративних доходів, платежів нагляду та  штрафних санкцій; Польщі (КNF) та Англії (FCA Uk) - за рахунок платежів нагляду та штрафних санкцій, а Німеччини (BaFin) - за рахунок платежів нагляду та адміністративних доходів.</w:t>
      </w:r>
    </w:p>
    <w:p w14:paraId="7B2DF063" w14:textId="77777777" w:rsidR="00BB7471" w:rsidRPr="00D87562" w:rsidRDefault="00BB7471" w:rsidP="00A76F51">
      <w:pPr>
        <w:pStyle w:val="a6"/>
        <w:keepNext w:val="0"/>
        <w:keepLines w:val="0"/>
        <w:widowControl w:val="0"/>
        <w:tabs>
          <w:tab w:val="left" w:pos="900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87562">
        <w:rPr>
          <w:rFonts w:ascii="Times New Roman" w:hAnsi="Times New Roman"/>
          <w:b w:val="0"/>
          <w:sz w:val="28"/>
          <w:szCs w:val="28"/>
        </w:rPr>
        <w:lastRenderedPageBreak/>
        <w:t xml:space="preserve">З огляду на вищезазначене, </w:t>
      </w:r>
      <w:r w:rsidR="000E2A8A">
        <w:rPr>
          <w:rFonts w:ascii="Times New Roman" w:hAnsi="Times New Roman"/>
          <w:b w:val="0"/>
          <w:sz w:val="28"/>
          <w:szCs w:val="28"/>
        </w:rPr>
        <w:t>проєкт</w:t>
      </w:r>
      <w:r w:rsidR="00EF6FDF" w:rsidRPr="00D87562">
        <w:rPr>
          <w:rFonts w:ascii="Times New Roman" w:hAnsi="Times New Roman"/>
          <w:b w:val="0"/>
          <w:sz w:val="28"/>
          <w:szCs w:val="28"/>
        </w:rPr>
        <w:t xml:space="preserve">ом Закону України </w:t>
      </w:r>
      <w:r w:rsidR="005816E2" w:rsidRPr="00D87562">
        <w:rPr>
          <w:rFonts w:ascii="Times New Roman" w:hAnsi="Times New Roman"/>
          <w:b w:val="0"/>
          <w:bCs/>
          <w:sz w:val="28"/>
          <w:szCs w:val="28"/>
        </w:rPr>
        <w:t>«</w:t>
      </w:r>
      <w:r w:rsidR="00207A70" w:rsidRPr="00D87562">
        <w:rPr>
          <w:rFonts w:ascii="Times New Roman" w:hAnsi="Times New Roman"/>
          <w:b w:val="0"/>
          <w:bCs/>
          <w:sz w:val="28"/>
          <w:szCs w:val="28"/>
        </w:rPr>
        <w:t xml:space="preserve">Про Національну комісію </w:t>
      </w:r>
      <w:r w:rsidR="009C304A" w:rsidRPr="00D87562">
        <w:rPr>
          <w:rFonts w:ascii="Times New Roman" w:hAnsi="Times New Roman"/>
          <w:b w:val="0"/>
          <w:bCs/>
          <w:sz w:val="28"/>
          <w:szCs w:val="28"/>
        </w:rPr>
        <w:t>з цінних паперів та бірж</w:t>
      </w:r>
      <w:r w:rsidR="005816E2" w:rsidRPr="00D87562">
        <w:rPr>
          <w:rFonts w:ascii="Times New Roman" w:hAnsi="Times New Roman"/>
          <w:b w:val="0"/>
          <w:bCs/>
          <w:sz w:val="28"/>
          <w:szCs w:val="28"/>
        </w:rPr>
        <w:t>»</w:t>
      </w:r>
      <w:r w:rsidRPr="00D87562">
        <w:rPr>
          <w:rFonts w:ascii="Times New Roman" w:hAnsi="Times New Roman"/>
          <w:b w:val="0"/>
          <w:sz w:val="28"/>
          <w:szCs w:val="28"/>
        </w:rPr>
        <w:t xml:space="preserve"> передбачено </w:t>
      </w:r>
      <w:r w:rsidR="005816E2" w:rsidRPr="00D87562">
        <w:rPr>
          <w:rFonts w:ascii="Times New Roman" w:hAnsi="Times New Roman"/>
          <w:b w:val="0"/>
          <w:sz w:val="28"/>
          <w:szCs w:val="28"/>
        </w:rPr>
        <w:t>норми</w:t>
      </w:r>
      <w:r w:rsidR="00705FFB" w:rsidRPr="00D87562">
        <w:rPr>
          <w:rFonts w:ascii="Times New Roman" w:hAnsi="Times New Roman"/>
          <w:b w:val="0"/>
          <w:sz w:val="28"/>
          <w:szCs w:val="28"/>
        </w:rPr>
        <w:t xml:space="preserve"> щодо </w:t>
      </w:r>
      <w:r w:rsidRPr="00D87562">
        <w:rPr>
          <w:rFonts w:ascii="Times New Roman" w:hAnsi="Times New Roman"/>
          <w:b w:val="0"/>
          <w:sz w:val="28"/>
          <w:szCs w:val="28"/>
        </w:rPr>
        <w:t xml:space="preserve">забезпечення інституційної й фінансової незалежності </w:t>
      </w:r>
      <w:bookmarkStart w:id="2" w:name="_Hlk56191990"/>
      <w:r w:rsidR="009F2DD1" w:rsidRPr="00D87562">
        <w:rPr>
          <w:rFonts w:ascii="Times New Roman" w:hAnsi="Times New Roman"/>
          <w:b w:val="0"/>
          <w:sz w:val="28"/>
          <w:szCs w:val="28"/>
        </w:rPr>
        <w:t xml:space="preserve">вітчизняного </w:t>
      </w:r>
      <w:r w:rsidRPr="00D87562">
        <w:rPr>
          <w:rFonts w:ascii="Times New Roman" w:hAnsi="Times New Roman"/>
          <w:b w:val="0"/>
          <w:sz w:val="28"/>
          <w:szCs w:val="28"/>
        </w:rPr>
        <w:t>регулятора</w:t>
      </w:r>
      <w:r w:rsidR="00705FFB" w:rsidRPr="00D87562">
        <w:rPr>
          <w:rFonts w:ascii="Times New Roman" w:hAnsi="Times New Roman"/>
          <w:b w:val="0"/>
          <w:sz w:val="28"/>
          <w:szCs w:val="28"/>
        </w:rPr>
        <w:t xml:space="preserve"> </w:t>
      </w:r>
      <w:r w:rsidR="003D51B2" w:rsidRPr="00D87562">
        <w:rPr>
          <w:rFonts w:ascii="Times New Roman" w:hAnsi="Times New Roman"/>
          <w:b w:val="0"/>
          <w:sz w:val="28"/>
          <w:szCs w:val="28"/>
        </w:rPr>
        <w:t>ринків капіталу та організованих товарних ринків</w:t>
      </w:r>
      <w:bookmarkEnd w:id="2"/>
      <w:r w:rsidR="00167884" w:rsidRPr="00D87562">
        <w:rPr>
          <w:rFonts w:ascii="Times New Roman" w:hAnsi="Times New Roman"/>
          <w:b w:val="0"/>
          <w:sz w:val="28"/>
          <w:szCs w:val="28"/>
        </w:rPr>
        <w:t xml:space="preserve">, </w:t>
      </w:r>
      <w:r w:rsidRPr="00D87562">
        <w:rPr>
          <w:rFonts w:ascii="Times New Roman" w:hAnsi="Times New Roman"/>
          <w:b w:val="0"/>
          <w:sz w:val="28"/>
          <w:szCs w:val="28"/>
        </w:rPr>
        <w:t>підвищення ефективності</w:t>
      </w:r>
      <w:r w:rsidR="00387FD0" w:rsidRPr="00D87562">
        <w:rPr>
          <w:rFonts w:ascii="Times New Roman" w:hAnsi="Times New Roman"/>
          <w:b w:val="0"/>
          <w:sz w:val="28"/>
          <w:szCs w:val="28"/>
        </w:rPr>
        <w:t xml:space="preserve"> захисту інвесторів</w:t>
      </w:r>
      <w:r w:rsidR="005C762A" w:rsidRPr="00D87562">
        <w:rPr>
          <w:rFonts w:ascii="Times New Roman" w:hAnsi="Times New Roman"/>
          <w:b w:val="0"/>
          <w:sz w:val="28"/>
          <w:szCs w:val="28"/>
        </w:rPr>
        <w:t>,</w:t>
      </w:r>
      <w:r w:rsidR="005C762A" w:rsidRPr="0080408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C762A" w:rsidRPr="00D87562">
        <w:rPr>
          <w:rFonts w:ascii="Times New Roman" w:hAnsi="Times New Roman"/>
          <w:b w:val="0"/>
          <w:color w:val="000000"/>
          <w:sz w:val="28"/>
          <w:szCs w:val="28"/>
        </w:rPr>
        <w:t xml:space="preserve">споживачів фінансових послуг та </w:t>
      </w:r>
      <w:r w:rsidR="00705FFB" w:rsidRPr="00D87562">
        <w:rPr>
          <w:rFonts w:ascii="Times New Roman" w:hAnsi="Times New Roman"/>
          <w:b w:val="0"/>
          <w:color w:val="000000"/>
          <w:sz w:val="28"/>
          <w:szCs w:val="28"/>
        </w:rPr>
        <w:t xml:space="preserve">інших </w:t>
      </w:r>
      <w:r w:rsidR="005C762A" w:rsidRPr="00D87562">
        <w:rPr>
          <w:rFonts w:ascii="Times New Roman" w:hAnsi="Times New Roman"/>
          <w:b w:val="0"/>
          <w:color w:val="000000"/>
          <w:sz w:val="28"/>
          <w:szCs w:val="28"/>
        </w:rPr>
        <w:t xml:space="preserve">учасників </w:t>
      </w:r>
      <w:r w:rsidR="00705FFB" w:rsidRPr="00D87562">
        <w:rPr>
          <w:rFonts w:ascii="Times New Roman" w:hAnsi="Times New Roman"/>
          <w:b w:val="0"/>
          <w:color w:val="000000"/>
          <w:sz w:val="28"/>
          <w:szCs w:val="28"/>
        </w:rPr>
        <w:t xml:space="preserve">ринків капіталу та </w:t>
      </w:r>
      <w:r w:rsidR="005C762A" w:rsidRPr="00D87562">
        <w:rPr>
          <w:rFonts w:ascii="Times New Roman" w:hAnsi="Times New Roman"/>
          <w:b w:val="0"/>
          <w:color w:val="000000"/>
          <w:sz w:val="28"/>
          <w:szCs w:val="28"/>
        </w:rPr>
        <w:t>організованих товарних ринків</w:t>
      </w:r>
      <w:r w:rsidR="00387FD0" w:rsidRPr="00D87562">
        <w:rPr>
          <w:rFonts w:ascii="Times New Roman" w:hAnsi="Times New Roman"/>
          <w:b w:val="0"/>
          <w:sz w:val="28"/>
          <w:szCs w:val="28"/>
        </w:rPr>
        <w:t xml:space="preserve"> від зловживань на </w:t>
      </w:r>
      <w:r w:rsidR="00705FFB" w:rsidRPr="00D87562">
        <w:rPr>
          <w:rFonts w:ascii="Times New Roman" w:hAnsi="Times New Roman"/>
          <w:b w:val="0"/>
          <w:sz w:val="28"/>
          <w:szCs w:val="28"/>
        </w:rPr>
        <w:t xml:space="preserve">зазначених </w:t>
      </w:r>
      <w:r w:rsidR="00387FD0" w:rsidRPr="00D87562">
        <w:rPr>
          <w:rFonts w:ascii="Times New Roman" w:hAnsi="Times New Roman"/>
          <w:b w:val="0"/>
          <w:sz w:val="28"/>
          <w:szCs w:val="28"/>
        </w:rPr>
        <w:t>ринках</w:t>
      </w:r>
      <w:r w:rsidR="00705FFB" w:rsidRPr="00D87562"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DE6A94" w:rsidRPr="00D87562">
        <w:rPr>
          <w:rFonts w:ascii="Times New Roman" w:hAnsi="Times New Roman"/>
          <w:b w:val="0"/>
          <w:sz w:val="28"/>
          <w:szCs w:val="28"/>
        </w:rPr>
        <w:t xml:space="preserve">норми щодо </w:t>
      </w:r>
      <w:r w:rsidR="00705FFB" w:rsidRPr="00D87562">
        <w:rPr>
          <w:rFonts w:ascii="Times New Roman" w:hAnsi="Times New Roman"/>
          <w:b w:val="0"/>
          <w:sz w:val="28"/>
          <w:szCs w:val="28"/>
        </w:rPr>
        <w:t xml:space="preserve">забезпечення </w:t>
      </w:r>
      <w:r w:rsidR="00387FD0" w:rsidRPr="00D87562">
        <w:rPr>
          <w:rFonts w:ascii="Times New Roman" w:hAnsi="Times New Roman"/>
          <w:b w:val="0"/>
          <w:sz w:val="28"/>
          <w:szCs w:val="28"/>
        </w:rPr>
        <w:t xml:space="preserve"> </w:t>
      </w:r>
      <w:r w:rsidRPr="00D87562">
        <w:rPr>
          <w:rFonts w:ascii="Times New Roman" w:hAnsi="Times New Roman"/>
          <w:b w:val="0"/>
          <w:sz w:val="28"/>
          <w:szCs w:val="28"/>
        </w:rPr>
        <w:t>міжнародної співпраці Комісії</w:t>
      </w:r>
      <w:r w:rsidR="00DE6A94" w:rsidRPr="00D87562">
        <w:rPr>
          <w:rFonts w:ascii="Times New Roman" w:hAnsi="Times New Roman"/>
          <w:b w:val="0"/>
          <w:sz w:val="28"/>
          <w:szCs w:val="28"/>
        </w:rPr>
        <w:t>, а саме норми щодо</w:t>
      </w:r>
      <w:r w:rsidRPr="00D87562">
        <w:rPr>
          <w:rFonts w:ascii="Times New Roman" w:hAnsi="Times New Roman"/>
          <w:b w:val="0"/>
          <w:sz w:val="28"/>
          <w:szCs w:val="28"/>
        </w:rPr>
        <w:t>:</w:t>
      </w:r>
    </w:p>
    <w:p w14:paraId="7B2DF064" w14:textId="77777777" w:rsidR="00BB7471" w:rsidRPr="00D87562" w:rsidRDefault="00BB747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- закріплення у законодавстві гарантій незалежності Комісії, у тому числі фінансової;</w:t>
      </w:r>
    </w:p>
    <w:p w14:paraId="7B2DF065" w14:textId="77777777" w:rsidR="00BB7471" w:rsidRPr="00D87562" w:rsidRDefault="00BB747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- вдосконалення законодавчих норм щодо міжнародного співробітництва Комісії;</w:t>
      </w:r>
    </w:p>
    <w:p w14:paraId="7B2DF066" w14:textId="77777777" w:rsidR="00BB7471" w:rsidRPr="00D87562" w:rsidRDefault="00BB747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- створення передумов для приєднання до Меморандум IOSCO;</w:t>
      </w:r>
    </w:p>
    <w:p w14:paraId="7B2DF067" w14:textId="77777777" w:rsidR="00BB7471" w:rsidRPr="00D87562" w:rsidRDefault="00BB747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- імплементації </w:t>
      </w:r>
      <w:r w:rsidR="005C762A" w:rsidRPr="00D87562">
        <w:rPr>
          <w:sz w:val="28"/>
          <w:szCs w:val="28"/>
        </w:rPr>
        <w:t xml:space="preserve"> положень </w:t>
      </w:r>
      <w:r w:rsidR="00387FD0" w:rsidRPr="00D87562">
        <w:rPr>
          <w:sz w:val="28"/>
          <w:szCs w:val="28"/>
        </w:rPr>
        <w:t xml:space="preserve">Регламенту ЄС № </w:t>
      </w:r>
      <w:r w:rsidR="00387FD0" w:rsidRPr="00B55225">
        <w:rPr>
          <w:sz w:val="28"/>
          <w:szCs w:val="28"/>
        </w:rPr>
        <w:t>596/2014 від 16 квітня 2014</w:t>
      </w:r>
      <w:r w:rsidR="00387FD0" w:rsidRPr="00D87562">
        <w:rPr>
          <w:sz w:val="28"/>
          <w:szCs w:val="28"/>
        </w:rPr>
        <w:t xml:space="preserve"> року </w:t>
      </w:r>
      <w:bookmarkStart w:id="3" w:name="_Hlk56186021"/>
      <w:r w:rsidR="00387FD0" w:rsidRPr="00D87562">
        <w:rPr>
          <w:sz w:val="28"/>
          <w:szCs w:val="28"/>
        </w:rPr>
        <w:t>про зловживання на ринку</w:t>
      </w:r>
      <w:bookmarkEnd w:id="3"/>
      <w:r w:rsidR="005C762A" w:rsidRPr="00D87562">
        <w:rPr>
          <w:sz w:val="28"/>
          <w:szCs w:val="28"/>
        </w:rPr>
        <w:t xml:space="preserve">, а також інших актів Європейського Союзу </w:t>
      </w:r>
      <w:r w:rsidR="00DE6A94" w:rsidRPr="00D87562">
        <w:rPr>
          <w:sz w:val="28"/>
          <w:szCs w:val="28"/>
        </w:rPr>
        <w:t>в частині визначення</w:t>
      </w:r>
      <w:r w:rsidR="005C762A" w:rsidRPr="00D87562">
        <w:rPr>
          <w:sz w:val="28"/>
          <w:szCs w:val="28"/>
        </w:rPr>
        <w:t xml:space="preserve"> відповідальності за порушення законодавства на ринках капіталу</w:t>
      </w:r>
      <w:r w:rsidR="00387FD0" w:rsidRPr="00D87562">
        <w:rPr>
          <w:sz w:val="28"/>
          <w:szCs w:val="28"/>
        </w:rPr>
        <w:t>;</w:t>
      </w:r>
    </w:p>
    <w:p w14:paraId="7B2DF068" w14:textId="77777777" w:rsidR="00167884" w:rsidRPr="00A76F51" w:rsidRDefault="00167884" w:rsidP="00A76F51">
      <w:pPr>
        <w:widowControl w:val="0"/>
        <w:tabs>
          <w:tab w:val="left" w:pos="900"/>
        </w:tabs>
        <w:ind w:firstLine="567"/>
        <w:jc w:val="both"/>
        <w:rPr>
          <w:sz w:val="28"/>
        </w:rPr>
      </w:pPr>
      <w:bookmarkStart w:id="4" w:name="_Hlk56189405"/>
      <w:r w:rsidRPr="00D87562">
        <w:rPr>
          <w:sz w:val="28"/>
          <w:szCs w:val="28"/>
        </w:rPr>
        <w:t xml:space="preserve">- </w:t>
      </w:r>
      <w:r w:rsidR="00711806" w:rsidRPr="00D87562">
        <w:rPr>
          <w:sz w:val="28"/>
          <w:szCs w:val="28"/>
        </w:rPr>
        <w:t xml:space="preserve">побудови </w:t>
      </w:r>
      <w:r w:rsidR="001B2334" w:rsidRPr="00D87562">
        <w:rPr>
          <w:sz w:val="28"/>
          <w:szCs w:val="28"/>
        </w:rPr>
        <w:t xml:space="preserve">ефективної </w:t>
      </w:r>
      <w:r w:rsidRPr="00D87562">
        <w:rPr>
          <w:sz w:val="28"/>
          <w:szCs w:val="28"/>
        </w:rPr>
        <w:t xml:space="preserve">системи </w:t>
      </w:r>
      <w:r w:rsidRPr="00D87562">
        <w:rPr>
          <w:sz w:val="28"/>
        </w:rPr>
        <w:t xml:space="preserve">нагляду на </w:t>
      </w:r>
      <w:r w:rsidR="004741F4" w:rsidRPr="00D87562">
        <w:rPr>
          <w:sz w:val="28"/>
        </w:rPr>
        <w:t>ринк</w:t>
      </w:r>
      <w:r w:rsidR="00711806" w:rsidRPr="00D87562">
        <w:rPr>
          <w:sz w:val="28"/>
        </w:rPr>
        <w:t>ах</w:t>
      </w:r>
      <w:r w:rsidR="004741F4" w:rsidRPr="00D87562">
        <w:rPr>
          <w:sz w:val="28"/>
        </w:rPr>
        <w:t xml:space="preserve"> капіталу та організованих товарних ринків</w:t>
      </w:r>
      <w:r w:rsidRPr="00D87562">
        <w:rPr>
          <w:sz w:val="28"/>
        </w:rPr>
        <w:t xml:space="preserve"> </w:t>
      </w:r>
      <w:r w:rsidR="00711806" w:rsidRPr="00D87562">
        <w:rPr>
          <w:sz w:val="28"/>
        </w:rPr>
        <w:t xml:space="preserve">у відповідності </w:t>
      </w:r>
      <w:bookmarkStart w:id="5" w:name="_Hlk56185754"/>
      <w:r w:rsidR="00711806" w:rsidRPr="00D87562">
        <w:rPr>
          <w:sz w:val="28"/>
        </w:rPr>
        <w:t xml:space="preserve">з Принципам IOSCO </w:t>
      </w:r>
      <w:bookmarkEnd w:id="5"/>
      <w:r w:rsidRPr="00D87562">
        <w:rPr>
          <w:sz w:val="28"/>
        </w:rPr>
        <w:t xml:space="preserve">з метою </w:t>
      </w:r>
      <w:r w:rsidR="00711806" w:rsidRPr="00D87562">
        <w:rPr>
          <w:sz w:val="28"/>
        </w:rPr>
        <w:t xml:space="preserve">забезпечення функціонування </w:t>
      </w:r>
      <w:r w:rsidRPr="00D87562">
        <w:rPr>
          <w:sz w:val="28"/>
        </w:rPr>
        <w:t xml:space="preserve">ефективної системи запобігання зловживанням на </w:t>
      </w:r>
      <w:r w:rsidR="00711806" w:rsidRPr="00D87562">
        <w:rPr>
          <w:sz w:val="28"/>
        </w:rPr>
        <w:t xml:space="preserve">зазначених </w:t>
      </w:r>
      <w:r w:rsidR="004741F4" w:rsidRPr="00D87562">
        <w:rPr>
          <w:sz w:val="28"/>
        </w:rPr>
        <w:t>ринк</w:t>
      </w:r>
      <w:r w:rsidR="00711806" w:rsidRPr="00D87562">
        <w:rPr>
          <w:sz w:val="28"/>
        </w:rPr>
        <w:t>ах</w:t>
      </w:r>
      <w:bookmarkEnd w:id="4"/>
      <w:r w:rsidRPr="00D87562">
        <w:rPr>
          <w:sz w:val="28"/>
        </w:rPr>
        <w:t>.</w:t>
      </w:r>
      <w:r w:rsidR="00A76F51" w:rsidRPr="00A76F51">
        <w:rPr>
          <w:sz w:val="28"/>
        </w:rPr>
        <w:t>\</w:t>
      </w:r>
    </w:p>
    <w:p w14:paraId="7B2DF069" w14:textId="77777777" w:rsidR="00A76F51" w:rsidRPr="00A76F51" w:rsidRDefault="00A76F51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7B2DF06A" w14:textId="77777777" w:rsidR="00D474DF" w:rsidRPr="00D87562" w:rsidRDefault="005B3C8D" w:rsidP="00A76F51">
      <w:pPr>
        <w:widowControl w:val="0"/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87562">
        <w:rPr>
          <w:b/>
          <w:bCs/>
          <w:sz w:val="28"/>
          <w:szCs w:val="28"/>
        </w:rPr>
        <w:t xml:space="preserve">2. </w:t>
      </w:r>
      <w:r w:rsidR="00D474DF" w:rsidRPr="00D87562">
        <w:rPr>
          <w:b/>
          <w:bCs/>
          <w:sz w:val="28"/>
          <w:szCs w:val="28"/>
        </w:rPr>
        <w:t>Мета і шляхи досягнення</w:t>
      </w:r>
      <w:r w:rsidR="00D474DF" w:rsidRPr="00D87562">
        <w:rPr>
          <w:bCs/>
          <w:sz w:val="28"/>
          <w:szCs w:val="28"/>
        </w:rPr>
        <w:t xml:space="preserve"> </w:t>
      </w:r>
    </w:p>
    <w:p w14:paraId="7B2DF06B" w14:textId="77777777" w:rsidR="00D474DF" w:rsidRPr="00D87562" w:rsidRDefault="000E2A8A" w:rsidP="00A76F51">
      <w:pPr>
        <w:pStyle w:val="a6"/>
        <w:keepNext w:val="0"/>
        <w:keepLines w:val="0"/>
        <w:widowControl w:val="0"/>
        <w:tabs>
          <w:tab w:val="left" w:pos="900"/>
        </w:tabs>
        <w:spacing w:before="0" w:after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6" w:name="_Hlk56189321"/>
      <w:r>
        <w:rPr>
          <w:rFonts w:ascii="Times New Roman" w:hAnsi="Times New Roman"/>
          <w:b w:val="0"/>
          <w:sz w:val="28"/>
          <w:szCs w:val="28"/>
        </w:rPr>
        <w:t>Проєкт</w:t>
      </w:r>
      <w:r w:rsidR="00D474DF" w:rsidRPr="00D87562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290767" w:rsidRPr="00D87562">
        <w:rPr>
          <w:rFonts w:ascii="Times New Roman" w:hAnsi="Times New Roman"/>
          <w:b w:val="0"/>
          <w:sz w:val="28"/>
          <w:szCs w:val="28"/>
        </w:rPr>
        <w:t>у</w:t>
      </w:r>
      <w:r w:rsidR="00D474DF" w:rsidRPr="00D87562">
        <w:rPr>
          <w:rFonts w:ascii="Times New Roman" w:hAnsi="Times New Roman"/>
          <w:b w:val="0"/>
          <w:sz w:val="28"/>
          <w:szCs w:val="28"/>
        </w:rPr>
        <w:t xml:space="preserve"> України </w:t>
      </w:r>
      <w:r w:rsidR="00A855F5" w:rsidRPr="00D87562">
        <w:rPr>
          <w:rFonts w:ascii="Times New Roman" w:hAnsi="Times New Roman"/>
          <w:b w:val="0"/>
          <w:bCs/>
          <w:sz w:val="28"/>
          <w:szCs w:val="28"/>
        </w:rPr>
        <w:t>«</w:t>
      </w:r>
      <w:r w:rsidR="00207A70" w:rsidRPr="00D87562">
        <w:rPr>
          <w:rFonts w:ascii="Times New Roman" w:hAnsi="Times New Roman"/>
          <w:b w:val="0"/>
          <w:bCs/>
          <w:sz w:val="28"/>
          <w:szCs w:val="28"/>
        </w:rPr>
        <w:t xml:space="preserve">Про Національну комісію </w:t>
      </w:r>
      <w:r w:rsidR="00A855F5" w:rsidRPr="00D87562">
        <w:rPr>
          <w:rFonts w:ascii="Times New Roman" w:hAnsi="Times New Roman"/>
          <w:b w:val="0"/>
          <w:bCs/>
          <w:sz w:val="28"/>
          <w:szCs w:val="28"/>
        </w:rPr>
        <w:t>з</w:t>
      </w:r>
      <w:r w:rsidR="00940586" w:rsidRPr="00D87562">
        <w:rPr>
          <w:rFonts w:ascii="Times New Roman" w:hAnsi="Times New Roman"/>
          <w:b w:val="0"/>
          <w:bCs/>
          <w:sz w:val="28"/>
          <w:szCs w:val="28"/>
        </w:rPr>
        <w:t xml:space="preserve"> цінних паперів та бірж</w:t>
      </w:r>
      <w:r w:rsidR="00A855F5" w:rsidRPr="00D87562">
        <w:rPr>
          <w:rFonts w:ascii="Times New Roman" w:hAnsi="Times New Roman"/>
          <w:b w:val="0"/>
          <w:bCs/>
          <w:sz w:val="28"/>
          <w:szCs w:val="28"/>
        </w:rPr>
        <w:t>»</w:t>
      </w:r>
      <w:r w:rsidR="00207A70" w:rsidRPr="00D875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474DF" w:rsidRPr="00D87562">
        <w:rPr>
          <w:rFonts w:ascii="Times New Roman" w:hAnsi="Times New Roman"/>
          <w:b w:val="0"/>
          <w:bCs/>
          <w:sz w:val="28"/>
          <w:szCs w:val="28"/>
        </w:rPr>
        <w:t>розроблено</w:t>
      </w:r>
      <w:r w:rsidR="009F2DD1" w:rsidRPr="00D87562">
        <w:rPr>
          <w:rFonts w:ascii="Times New Roman" w:hAnsi="Times New Roman"/>
          <w:b w:val="0"/>
          <w:bCs/>
          <w:sz w:val="28"/>
          <w:szCs w:val="28"/>
        </w:rPr>
        <w:t xml:space="preserve"> з метою</w:t>
      </w:r>
      <w:r w:rsidR="00940586" w:rsidRPr="00D875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443B3" w:rsidRPr="00D87562">
        <w:rPr>
          <w:rFonts w:ascii="Times New Roman" w:hAnsi="Times New Roman"/>
          <w:b w:val="0"/>
          <w:sz w:val="28"/>
          <w:szCs w:val="28"/>
        </w:rPr>
        <w:t>по</w:t>
      </w:r>
      <w:r w:rsidR="00940586" w:rsidRPr="00D87562">
        <w:rPr>
          <w:rFonts w:ascii="Times New Roman" w:hAnsi="Times New Roman"/>
          <w:b w:val="0"/>
          <w:sz w:val="28"/>
          <w:szCs w:val="28"/>
        </w:rPr>
        <w:t xml:space="preserve">будови </w:t>
      </w:r>
      <w:r w:rsidR="003443B3" w:rsidRPr="00D87562">
        <w:rPr>
          <w:rFonts w:ascii="Times New Roman" w:hAnsi="Times New Roman"/>
          <w:b w:val="0"/>
          <w:sz w:val="28"/>
          <w:szCs w:val="28"/>
        </w:rPr>
        <w:t xml:space="preserve">на вітчизняних ринках капіталу та організованих товарних ринках </w:t>
      </w:r>
      <w:r w:rsidR="00940586" w:rsidRPr="00D87562">
        <w:rPr>
          <w:rFonts w:ascii="Times New Roman" w:hAnsi="Times New Roman"/>
          <w:b w:val="0"/>
          <w:sz w:val="28"/>
          <w:szCs w:val="28"/>
        </w:rPr>
        <w:t xml:space="preserve">ефективної системи запобігання зловживанням </w:t>
      </w:r>
      <w:r w:rsidR="003443B3" w:rsidRPr="00D87562">
        <w:rPr>
          <w:rFonts w:ascii="Times New Roman" w:hAnsi="Times New Roman"/>
          <w:b w:val="0"/>
          <w:sz w:val="28"/>
          <w:szCs w:val="28"/>
        </w:rPr>
        <w:t xml:space="preserve">у відповідності з Принципам IOSCO </w:t>
      </w:r>
      <w:r w:rsidR="005B7518" w:rsidRPr="00D87562">
        <w:rPr>
          <w:rFonts w:ascii="Times New Roman" w:hAnsi="Times New Roman"/>
          <w:b w:val="0"/>
          <w:sz w:val="28"/>
          <w:szCs w:val="28"/>
        </w:rPr>
        <w:t>та положеннями відповідних актів Європейського Союзу</w:t>
      </w:r>
      <w:r w:rsidR="00842830" w:rsidRPr="00D87562">
        <w:rPr>
          <w:rFonts w:ascii="Times New Roman" w:hAnsi="Times New Roman"/>
          <w:b w:val="0"/>
          <w:sz w:val="28"/>
          <w:szCs w:val="28"/>
        </w:rPr>
        <w:t>,</w:t>
      </w:r>
      <w:r w:rsidR="005B7518" w:rsidRPr="00D87562">
        <w:rPr>
          <w:rFonts w:ascii="Times New Roman" w:hAnsi="Times New Roman"/>
          <w:b w:val="0"/>
          <w:sz w:val="28"/>
          <w:szCs w:val="28"/>
        </w:rPr>
        <w:t xml:space="preserve"> що регулюють питання </w:t>
      </w:r>
      <w:r w:rsidR="00842830" w:rsidRPr="00D87562">
        <w:rPr>
          <w:rFonts w:ascii="Times New Roman" w:hAnsi="Times New Roman"/>
          <w:b w:val="0"/>
          <w:sz w:val="28"/>
          <w:szCs w:val="28"/>
        </w:rPr>
        <w:t xml:space="preserve">в сфері </w:t>
      </w:r>
      <w:r w:rsidR="005B7518" w:rsidRPr="00D87562">
        <w:rPr>
          <w:rFonts w:ascii="Times New Roman" w:hAnsi="Times New Roman"/>
          <w:b w:val="0"/>
          <w:sz w:val="28"/>
          <w:szCs w:val="28"/>
        </w:rPr>
        <w:t>боротьби із зловживаннями на ринку</w:t>
      </w:r>
      <w:r w:rsidR="00940586" w:rsidRPr="00D87562"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7B0F37" w:rsidRPr="00D87562">
        <w:rPr>
          <w:rFonts w:ascii="Times New Roman" w:hAnsi="Times New Roman"/>
          <w:b w:val="0"/>
          <w:sz w:val="28"/>
          <w:szCs w:val="28"/>
        </w:rPr>
        <w:t xml:space="preserve">з метою </w:t>
      </w:r>
      <w:r w:rsidR="003443B3" w:rsidRPr="00D87562">
        <w:rPr>
          <w:rFonts w:ascii="Times New Roman" w:hAnsi="Times New Roman"/>
          <w:b w:val="0"/>
          <w:sz w:val="28"/>
          <w:szCs w:val="28"/>
        </w:rPr>
        <w:t xml:space="preserve">забезпечення </w:t>
      </w:r>
      <w:r w:rsidR="007B0F37" w:rsidRPr="00D87562">
        <w:rPr>
          <w:rFonts w:ascii="Times New Roman" w:hAnsi="Times New Roman"/>
          <w:b w:val="0"/>
          <w:sz w:val="28"/>
          <w:szCs w:val="28"/>
        </w:rPr>
        <w:t>виконання Україною вимог</w:t>
      </w:r>
      <w:r w:rsidR="004F23ED" w:rsidRPr="00D87562">
        <w:rPr>
          <w:rFonts w:ascii="Times New Roman" w:hAnsi="Times New Roman"/>
          <w:b w:val="0"/>
          <w:sz w:val="28"/>
          <w:szCs w:val="28"/>
        </w:rPr>
        <w:t>, необхідних</w:t>
      </w:r>
      <w:r w:rsidR="007B0F37" w:rsidRPr="00D87562">
        <w:rPr>
          <w:rFonts w:ascii="Times New Roman" w:hAnsi="Times New Roman"/>
          <w:b w:val="0"/>
          <w:sz w:val="28"/>
          <w:szCs w:val="28"/>
        </w:rPr>
        <w:t xml:space="preserve"> для приєднання </w:t>
      </w:r>
      <w:r w:rsidR="003443B3" w:rsidRPr="00D87562">
        <w:rPr>
          <w:rFonts w:ascii="Times New Roman" w:hAnsi="Times New Roman"/>
          <w:b w:val="0"/>
          <w:sz w:val="28"/>
          <w:szCs w:val="28"/>
        </w:rPr>
        <w:t>вітчизняного регулятора фондового ринку</w:t>
      </w:r>
      <w:r w:rsidR="007B0F37" w:rsidRPr="00D87562">
        <w:rPr>
          <w:rFonts w:ascii="Times New Roman" w:hAnsi="Times New Roman"/>
          <w:b w:val="0"/>
          <w:sz w:val="28"/>
          <w:szCs w:val="28"/>
        </w:rPr>
        <w:t xml:space="preserve"> до </w:t>
      </w:r>
      <w:r w:rsidR="008E0E9E" w:rsidRPr="00D87562">
        <w:rPr>
          <w:rFonts w:ascii="Times New Roman" w:hAnsi="Times New Roman"/>
          <w:b w:val="0"/>
          <w:sz w:val="28"/>
          <w:szCs w:val="28"/>
        </w:rPr>
        <w:t>Меморандуму IOSCO</w:t>
      </w:r>
      <w:r w:rsidR="007B0F37" w:rsidRPr="00D87562">
        <w:rPr>
          <w:rFonts w:ascii="Times New Roman" w:hAnsi="Times New Roman"/>
          <w:b w:val="0"/>
          <w:sz w:val="28"/>
          <w:szCs w:val="28"/>
        </w:rPr>
        <w:t xml:space="preserve">, </w:t>
      </w:r>
      <w:r w:rsidR="003443B3" w:rsidRPr="00D87562">
        <w:rPr>
          <w:rFonts w:ascii="Times New Roman" w:hAnsi="Times New Roman"/>
          <w:b w:val="0"/>
          <w:sz w:val="28"/>
          <w:szCs w:val="28"/>
        </w:rPr>
        <w:t xml:space="preserve">що забезпечить правові </w:t>
      </w:r>
      <w:r w:rsidR="007B0F37" w:rsidRPr="00D87562">
        <w:rPr>
          <w:rFonts w:ascii="Times New Roman" w:hAnsi="Times New Roman"/>
          <w:b w:val="0"/>
          <w:sz w:val="28"/>
          <w:szCs w:val="28"/>
        </w:rPr>
        <w:t>умов</w:t>
      </w:r>
      <w:r w:rsidR="003443B3" w:rsidRPr="00D87562">
        <w:rPr>
          <w:rFonts w:ascii="Times New Roman" w:hAnsi="Times New Roman"/>
          <w:b w:val="0"/>
          <w:sz w:val="28"/>
          <w:szCs w:val="28"/>
        </w:rPr>
        <w:t>и</w:t>
      </w:r>
      <w:r w:rsidR="007B0F37" w:rsidRPr="00D87562">
        <w:rPr>
          <w:rFonts w:ascii="Times New Roman" w:hAnsi="Times New Roman"/>
          <w:b w:val="0"/>
          <w:sz w:val="28"/>
          <w:szCs w:val="28"/>
        </w:rPr>
        <w:t xml:space="preserve"> для здійснення</w:t>
      </w:r>
      <w:r w:rsidR="00D474DF" w:rsidRPr="00D87562">
        <w:rPr>
          <w:rFonts w:ascii="Times New Roman" w:hAnsi="Times New Roman"/>
          <w:b w:val="0"/>
          <w:sz w:val="28"/>
          <w:szCs w:val="28"/>
        </w:rPr>
        <w:t xml:space="preserve"> </w:t>
      </w:r>
      <w:r w:rsidR="003443B3" w:rsidRPr="00D87562">
        <w:rPr>
          <w:rFonts w:ascii="Times New Roman" w:hAnsi="Times New Roman"/>
          <w:b w:val="0"/>
          <w:sz w:val="28"/>
          <w:szCs w:val="28"/>
        </w:rPr>
        <w:t xml:space="preserve">ним </w:t>
      </w:r>
      <w:r w:rsidR="00D474DF" w:rsidRPr="00D87562">
        <w:rPr>
          <w:rFonts w:ascii="Times New Roman" w:hAnsi="Times New Roman"/>
          <w:b w:val="0"/>
          <w:sz w:val="28"/>
          <w:szCs w:val="28"/>
        </w:rPr>
        <w:t>міжнародної співпраці</w:t>
      </w:r>
      <w:r w:rsidR="00842830" w:rsidRPr="00D87562">
        <w:rPr>
          <w:rFonts w:ascii="Times New Roman" w:hAnsi="Times New Roman"/>
          <w:b w:val="0"/>
          <w:sz w:val="28"/>
          <w:szCs w:val="28"/>
        </w:rPr>
        <w:t xml:space="preserve"> в зазначеній сфері</w:t>
      </w:r>
      <w:r w:rsidR="00D474DF" w:rsidRPr="00D87562">
        <w:rPr>
          <w:rFonts w:ascii="Times New Roman" w:hAnsi="Times New Roman"/>
          <w:b w:val="0"/>
          <w:bCs/>
          <w:sz w:val="28"/>
          <w:szCs w:val="28"/>
        </w:rPr>
        <w:t>.</w:t>
      </w:r>
    </w:p>
    <w:bookmarkEnd w:id="6"/>
    <w:p w14:paraId="7B2DF06C" w14:textId="77777777" w:rsidR="001B48A5" w:rsidRPr="00D87562" w:rsidRDefault="001B48A5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7B2DF06D" w14:textId="77777777" w:rsidR="0078019E" w:rsidRPr="00D87562" w:rsidRDefault="0078019E" w:rsidP="00A76F51">
      <w:pPr>
        <w:widowControl w:val="0"/>
        <w:tabs>
          <w:tab w:val="left" w:pos="900"/>
        </w:tabs>
        <w:ind w:firstLine="567"/>
        <w:rPr>
          <w:b/>
          <w:sz w:val="28"/>
          <w:szCs w:val="28"/>
        </w:rPr>
      </w:pPr>
      <w:r w:rsidRPr="00D87562">
        <w:rPr>
          <w:b/>
          <w:sz w:val="28"/>
          <w:szCs w:val="28"/>
        </w:rPr>
        <w:t>3. Загальна характеристика та основні положення законо</w:t>
      </w:r>
      <w:r w:rsidR="000E2A8A">
        <w:rPr>
          <w:b/>
          <w:sz w:val="28"/>
          <w:szCs w:val="28"/>
        </w:rPr>
        <w:t>проєкт</w:t>
      </w:r>
      <w:r w:rsidRPr="00D87562">
        <w:rPr>
          <w:b/>
          <w:sz w:val="28"/>
          <w:szCs w:val="28"/>
        </w:rPr>
        <w:t>у</w:t>
      </w:r>
    </w:p>
    <w:p w14:paraId="7B2DF06E" w14:textId="77777777" w:rsidR="00D474DF" w:rsidRPr="00D87562" w:rsidRDefault="00444C3E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bCs/>
          <w:sz w:val="28"/>
          <w:szCs w:val="28"/>
        </w:rPr>
        <w:t xml:space="preserve">Прикінцевими положеннями </w:t>
      </w:r>
      <w:r w:rsidR="000E2A8A">
        <w:rPr>
          <w:bCs/>
          <w:sz w:val="28"/>
          <w:szCs w:val="28"/>
        </w:rPr>
        <w:t>проєкт</w:t>
      </w:r>
      <w:r w:rsidRPr="00D87562">
        <w:rPr>
          <w:bCs/>
          <w:sz w:val="28"/>
          <w:szCs w:val="28"/>
        </w:rPr>
        <w:t>у</w:t>
      </w:r>
      <w:r w:rsidR="00D474DF" w:rsidRPr="00D87562">
        <w:rPr>
          <w:bCs/>
          <w:sz w:val="28"/>
          <w:szCs w:val="28"/>
        </w:rPr>
        <w:t xml:space="preserve"> Закону України </w:t>
      </w:r>
      <w:r w:rsidR="00842830" w:rsidRPr="00D87562">
        <w:rPr>
          <w:bCs/>
          <w:sz w:val="28"/>
          <w:szCs w:val="28"/>
        </w:rPr>
        <w:t>«</w:t>
      </w:r>
      <w:r w:rsidR="00207A70" w:rsidRPr="00D87562">
        <w:rPr>
          <w:bCs/>
          <w:sz w:val="28"/>
          <w:szCs w:val="28"/>
        </w:rPr>
        <w:t xml:space="preserve">Про Національну комісію з </w:t>
      </w:r>
      <w:r w:rsidR="00940586" w:rsidRPr="00D87562">
        <w:rPr>
          <w:bCs/>
          <w:sz w:val="28"/>
          <w:szCs w:val="28"/>
        </w:rPr>
        <w:t>цінних паперів та бірж</w:t>
      </w:r>
      <w:r w:rsidR="00842830" w:rsidRPr="00D87562">
        <w:rPr>
          <w:bCs/>
          <w:sz w:val="28"/>
          <w:szCs w:val="28"/>
        </w:rPr>
        <w:t>»</w:t>
      </w:r>
      <w:r w:rsidR="00207A70" w:rsidRPr="00D87562">
        <w:rPr>
          <w:bCs/>
          <w:sz w:val="28"/>
          <w:szCs w:val="28"/>
        </w:rPr>
        <w:t xml:space="preserve"> </w:t>
      </w:r>
      <w:r w:rsidR="001B48A5" w:rsidRPr="00D87562">
        <w:rPr>
          <w:sz w:val="28"/>
          <w:szCs w:val="28"/>
        </w:rPr>
        <w:t>(далі - Законо</w:t>
      </w:r>
      <w:r w:rsidR="000E2A8A">
        <w:rPr>
          <w:sz w:val="28"/>
          <w:szCs w:val="28"/>
        </w:rPr>
        <w:t>проєкт</w:t>
      </w:r>
      <w:r w:rsidR="001B48A5" w:rsidRPr="00D87562">
        <w:rPr>
          <w:sz w:val="28"/>
          <w:szCs w:val="28"/>
        </w:rPr>
        <w:t>)</w:t>
      </w:r>
      <w:r w:rsidR="00D474DF" w:rsidRPr="00D87562">
        <w:rPr>
          <w:bCs/>
          <w:sz w:val="28"/>
          <w:szCs w:val="28"/>
        </w:rPr>
        <w:t xml:space="preserve"> передбачено</w:t>
      </w:r>
      <w:r w:rsidR="00D474DF" w:rsidRPr="00D87562">
        <w:rPr>
          <w:sz w:val="28"/>
          <w:szCs w:val="28"/>
        </w:rPr>
        <w:t xml:space="preserve"> внесення змін</w:t>
      </w:r>
      <w:r w:rsidRPr="00D87562">
        <w:rPr>
          <w:sz w:val="28"/>
          <w:szCs w:val="28"/>
        </w:rPr>
        <w:t>, зокрема,</w:t>
      </w:r>
      <w:r w:rsidR="00D474DF" w:rsidRPr="00D87562">
        <w:rPr>
          <w:sz w:val="28"/>
          <w:szCs w:val="28"/>
        </w:rPr>
        <w:t xml:space="preserve"> до </w:t>
      </w:r>
      <w:r w:rsidR="00207A70" w:rsidRPr="00D87562">
        <w:rPr>
          <w:sz w:val="28"/>
          <w:szCs w:val="28"/>
        </w:rPr>
        <w:t>Кодекс</w:t>
      </w:r>
      <w:r w:rsidR="007D158D" w:rsidRPr="00D87562">
        <w:rPr>
          <w:sz w:val="28"/>
          <w:szCs w:val="28"/>
        </w:rPr>
        <w:t>у</w:t>
      </w:r>
      <w:r w:rsidR="00207A70" w:rsidRPr="00D87562">
        <w:rPr>
          <w:sz w:val="28"/>
          <w:szCs w:val="28"/>
        </w:rPr>
        <w:t xml:space="preserve"> законів про працю України, </w:t>
      </w:r>
      <w:r w:rsidR="00167884" w:rsidRPr="00D87562">
        <w:rPr>
          <w:sz w:val="28"/>
          <w:szCs w:val="28"/>
        </w:rPr>
        <w:t xml:space="preserve">Господарського процесуального кодексу України, </w:t>
      </w:r>
      <w:r w:rsidR="007D158D" w:rsidRPr="00D87562">
        <w:rPr>
          <w:sz w:val="28"/>
          <w:szCs w:val="28"/>
        </w:rPr>
        <w:t>Цивільного кодексу України, Цивільного процесуального кодексу України</w:t>
      </w:r>
      <w:r w:rsidR="00D42AF6" w:rsidRPr="00D87562">
        <w:rPr>
          <w:sz w:val="28"/>
          <w:szCs w:val="28"/>
        </w:rPr>
        <w:t>,</w:t>
      </w:r>
      <w:r w:rsidR="007D158D" w:rsidRPr="00D87562">
        <w:rPr>
          <w:sz w:val="28"/>
          <w:szCs w:val="28"/>
        </w:rPr>
        <w:t xml:space="preserve"> </w:t>
      </w:r>
      <w:r w:rsidR="00D474DF" w:rsidRPr="00D87562">
        <w:rPr>
          <w:sz w:val="28"/>
          <w:szCs w:val="28"/>
        </w:rPr>
        <w:t>Кодексу адміністративного судочинства України,</w:t>
      </w:r>
      <w:r w:rsidR="00167884" w:rsidRPr="00D87562">
        <w:rPr>
          <w:sz w:val="28"/>
          <w:szCs w:val="28"/>
        </w:rPr>
        <w:t xml:space="preserve"> </w:t>
      </w:r>
      <w:r w:rsidR="00D474DF" w:rsidRPr="00D87562">
        <w:rPr>
          <w:bCs/>
          <w:sz w:val="28"/>
          <w:szCs w:val="28"/>
        </w:rPr>
        <w:t>Законів України</w:t>
      </w:r>
      <w:r w:rsidR="007D158D" w:rsidRPr="00D87562">
        <w:rPr>
          <w:bCs/>
          <w:sz w:val="28"/>
          <w:szCs w:val="28"/>
        </w:rPr>
        <w:t xml:space="preserve"> «Про товарні біржі»,</w:t>
      </w:r>
      <w:r w:rsidR="00D474DF" w:rsidRPr="00D87562">
        <w:rPr>
          <w:bCs/>
          <w:sz w:val="28"/>
          <w:szCs w:val="28"/>
        </w:rPr>
        <w:t xml:space="preserve"> </w:t>
      </w:r>
      <w:r w:rsidR="007D158D" w:rsidRPr="00D87562">
        <w:rPr>
          <w:bCs/>
          <w:sz w:val="28"/>
          <w:szCs w:val="28"/>
        </w:rPr>
        <w:t xml:space="preserve">«Про </w:t>
      </w:r>
      <w:r w:rsidR="00E3428C" w:rsidRPr="00D87562">
        <w:rPr>
          <w:bCs/>
          <w:sz w:val="28"/>
          <w:szCs w:val="28"/>
        </w:rPr>
        <w:t>нотаріат</w:t>
      </w:r>
      <w:r w:rsidR="007D158D" w:rsidRPr="00D87562">
        <w:rPr>
          <w:bCs/>
          <w:sz w:val="28"/>
          <w:szCs w:val="28"/>
        </w:rPr>
        <w:t xml:space="preserve">», </w:t>
      </w:r>
      <w:r w:rsidR="00842830" w:rsidRPr="00D87562">
        <w:rPr>
          <w:sz w:val="28"/>
          <w:szCs w:val="28"/>
        </w:rPr>
        <w:t>«</w:t>
      </w:r>
      <w:r w:rsidR="00167884" w:rsidRPr="00D87562">
        <w:rPr>
          <w:sz w:val="28"/>
          <w:szCs w:val="28"/>
        </w:rPr>
        <w:t>Про оплату праці</w:t>
      </w:r>
      <w:r w:rsidR="00842830" w:rsidRPr="00D87562">
        <w:rPr>
          <w:sz w:val="28"/>
          <w:szCs w:val="28"/>
        </w:rPr>
        <w:t>»</w:t>
      </w:r>
      <w:r w:rsidR="00DB0707" w:rsidRPr="00D87562">
        <w:rPr>
          <w:sz w:val="28"/>
          <w:szCs w:val="28"/>
        </w:rPr>
        <w:t>,</w:t>
      </w:r>
      <w:r w:rsidR="00167884" w:rsidRPr="00D87562">
        <w:rPr>
          <w:sz w:val="28"/>
          <w:szCs w:val="28"/>
        </w:rPr>
        <w:t xml:space="preserve"> </w:t>
      </w:r>
      <w:r w:rsidR="007D158D" w:rsidRPr="00D87562">
        <w:rPr>
          <w:sz w:val="28"/>
          <w:szCs w:val="28"/>
        </w:rPr>
        <w:t xml:space="preserve">«Про Комітети Верховної Ради України», </w:t>
      </w:r>
      <w:r w:rsidR="00842830" w:rsidRPr="00D87562">
        <w:rPr>
          <w:sz w:val="28"/>
          <w:szCs w:val="28"/>
        </w:rPr>
        <w:t>«</w:t>
      </w:r>
      <w:r w:rsidR="00DB0707" w:rsidRPr="00D87562">
        <w:rPr>
          <w:sz w:val="28"/>
          <w:szCs w:val="28"/>
        </w:rPr>
        <w:t>Про банки і банківську діяльність</w:t>
      </w:r>
      <w:r w:rsidR="00842830" w:rsidRPr="00D87562">
        <w:rPr>
          <w:sz w:val="28"/>
          <w:szCs w:val="28"/>
        </w:rPr>
        <w:t>»</w:t>
      </w:r>
      <w:r w:rsidR="00DB0707" w:rsidRPr="00D87562">
        <w:rPr>
          <w:sz w:val="28"/>
          <w:szCs w:val="28"/>
        </w:rPr>
        <w:t xml:space="preserve">, </w:t>
      </w:r>
      <w:r w:rsidR="007D158D" w:rsidRPr="00D87562">
        <w:rPr>
          <w:sz w:val="28"/>
          <w:szCs w:val="28"/>
        </w:rPr>
        <w:t xml:space="preserve">«Про фінансові послуги та державне регулювання ринків фінансових послуг», «Про рекламу», </w:t>
      </w:r>
      <w:r w:rsidR="001F3C89" w:rsidRPr="00D87562">
        <w:rPr>
          <w:sz w:val="28"/>
          <w:szCs w:val="28"/>
        </w:rPr>
        <w:t>«Про забезпечення вимог кредиторів</w:t>
      </w:r>
      <w:r w:rsidR="00842830" w:rsidRPr="00D87562">
        <w:rPr>
          <w:sz w:val="28"/>
          <w:szCs w:val="28"/>
        </w:rPr>
        <w:t xml:space="preserve"> </w:t>
      </w:r>
      <w:r w:rsidR="001F3C89" w:rsidRPr="00D87562">
        <w:rPr>
          <w:sz w:val="28"/>
          <w:szCs w:val="28"/>
        </w:rPr>
        <w:t xml:space="preserve">та реєстрацію обтяжень», «Про міжнародні договори України», </w:t>
      </w:r>
      <w:r w:rsidR="00842830" w:rsidRPr="00D87562">
        <w:rPr>
          <w:sz w:val="28"/>
          <w:szCs w:val="28"/>
        </w:rPr>
        <w:t>«</w:t>
      </w:r>
      <w:r w:rsidR="00DB0707" w:rsidRPr="00D87562">
        <w:rPr>
          <w:sz w:val="28"/>
          <w:szCs w:val="28"/>
        </w:rPr>
        <w:t xml:space="preserve">Про </w:t>
      </w:r>
      <w:r w:rsidR="001F3C89" w:rsidRPr="00D87562">
        <w:rPr>
          <w:sz w:val="28"/>
          <w:szCs w:val="28"/>
        </w:rPr>
        <w:t>ринки капіталу та організовані товарні ринки</w:t>
      </w:r>
      <w:r w:rsidR="00842830" w:rsidRPr="00D87562">
        <w:rPr>
          <w:sz w:val="28"/>
          <w:szCs w:val="28"/>
        </w:rPr>
        <w:t>»</w:t>
      </w:r>
      <w:r w:rsidR="00DB0707" w:rsidRPr="00D87562">
        <w:rPr>
          <w:sz w:val="28"/>
          <w:szCs w:val="28"/>
        </w:rPr>
        <w:t xml:space="preserve">, </w:t>
      </w:r>
      <w:r w:rsidR="003D5C52" w:rsidRPr="00D87562">
        <w:rPr>
          <w:sz w:val="28"/>
          <w:szCs w:val="28"/>
        </w:rPr>
        <w:t xml:space="preserve">«Про захист персональних даних», «Про безоплатну правову допомогу», «Про судовий збір», «Про адвокатуру та адвокатську діяльність», «Про депозитарну систему України», </w:t>
      </w:r>
      <w:r w:rsidR="007E698C" w:rsidRPr="00D87562">
        <w:rPr>
          <w:sz w:val="28"/>
          <w:szCs w:val="28"/>
        </w:rPr>
        <w:t xml:space="preserve">«Про </w:t>
      </w:r>
      <w:r w:rsidR="007E698C" w:rsidRPr="00D87562">
        <w:rPr>
          <w:sz w:val="28"/>
          <w:szCs w:val="28"/>
        </w:rPr>
        <w:lastRenderedPageBreak/>
        <w:t>запобігання корупції», «Про національну поліцію», «Про державну службу», «Про виконавче провадження», «Про внесення змін до деяких законів України щодо перезавантаження влади», «</w:t>
      </w:r>
      <w:r w:rsidR="00396F4E" w:rsidRPr="00D87562">
        <w:rPr>
          <w:sz w:val="28"/>
          <w:szCs w:val="28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7E698C" w:rsidRPr="00D87562">
        <w:rPr>
          <w:sz w:val="28"/>
          <w:szCs w:val="28"/>
        </w:rPr>
        <w:t>»</w:t>
      </w:r>
      <w:r w:rsidR="00396F4E" w:rsidRPr="00D87562">
        <w:rPr>
          <w:sz w:val="28"/>
          <w:szCs w:val="28"/>
        </w:rPr>
        <w:t xml:space="preserve"> </w:t>
      </w:r>
      <w:r w:rsidR="00D474DF" w:rsidRPr="00D87562">
        <w:rPr>
          <w:sz w:val="28"/>
          <w:szCs w:val="28"/>
        </w:rPr>
        <w:t>та Декр</w:t>
      </w:r>
      <w:r w:rsidR="00905F01" w:rsidRPr="00D87562">
        <w:rPr>
          <w:sz w:val="28"/>
          <w:szCs w:val="28"/>
        </w:rPr>
        <w:t xml:space="preserve">ету Кабінету Міністрів України </w:t>
      </w:r>
      <w:r w:rsidR="00842830" w:rsidRPr="00D87562">
        <w:rPr>
          <w:sz w:val="28"/>
          <w:szCs w:val="28"/>
        </w:rPr>
        <w:t>«</w:t>
      </w:r>
      <w:r w:rsidR="00905F01" w:rsidRPr="00D87562">
        <w:rPr>
          <w:sz w:val="28"/>
          <w:szCs w:val="28"/>
        </w:rPr>
        <w:t>Про державне мито</w:t>
      </w:r>
      <w:r w:rsidR="00842830" w:rsidRPr="00D87562">
        <w:rPr>
          <w:sz w:val="28"/>
          <w:szCs w:val="28"/>
        </w:rPr>
        <w:t>»</w:t>
      </w:r>
      <w:r w:rsidR="00D474DF" w:rsidRPr="00D87562">
        <w:rPr>
          <w:sz w:val="28"/>
          <w:szCs w:val="28"/>
        </w:rPr>
        <w:t>.</w:t>
      </w:r>
    </w:p>
    <w:p w14:paraId="7B2DF06F" w14:textId="77777777" w:rsidR="00940586" w:rsidRPr="00D87562" w:rsidRDefault="00940586" w:rsidP="00A76F5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Передбачається, що майбутній Закон України «Про </w:t>
      </w:r>
      <w:r w:rsidR="003D1386" w:rsidRPr="00D87562">
        <w:rPr>
          <w:sz w:val="28"/>
          <w:szCs w:val="28"/>
        </w:rPr>
        <w:t>Національну комісію з цінних паперів та бірж</w:t>
      </w:r>
      <w:r w:rsidRPr="00D87562">
        <w:rPr>
          <w:sz w:val="28"/>
          <w:szCs w:val="28"/>
        </w:rPr>
        <w:t xml:space="preserve">»  </w:t>
      </w:r>
      <w:r w:rsidR="0034245C" w:rsidRPr="00B55225">
        <w:rPr>
          <w:sz w:val="28"/>
          <w:szCs w:val="28"/>
        </w:rPr>
        <w:t>міститиме</w:t>
      </w:r>
      <w:r w:rsidRPr="00B55225">
        <w:rPr>
          <w:sz w:val="28"/>
          <w:szCs w:val="28"/>
        </w:rPr>
        <w:t xml:space="preserve"> </w:t>
      </w:r>
      <w:r w:rsidR="003D1386" w:rsidRPr="00B55225">
        <w:rPr>
          <w:sz w:val="28"/>
          <w:szCs w:val="28"/>
        </w:rPr>
        <w:t xml:space="preserve"> в</w:t>
      </w:r>
      <w:r w:rsidR="0034245C" w:rsidRPr="00B55225">
        <w:rPr>
          <w:sz w:val="28"/>
          <w:szCs w:val="28"/>
        </w:rPr>
        <w:t>і</w:t>
      </w:r>
      <w:r w:rsidR="003D1386" w:rsidRPr="00B55225">
        <w:rPr>
          <w:sz w:val="28"/>
          <w:szCs w:val="28"/>
        </w:rPr>
        <w:t>с</w:t>
      </w:r>
      <w:r w:rsidR="0034245C" w:rsidRPr="00B55225">
        <w:rPr>
          <w:sz w:val="28"/>
          <w:szCs w:val="28"/>
        </w:rPr>
        <w:t>і</w:t>
      </w:r>
      <w:r w:rsidR="003D1386" w:rsidRPr="00B55225">
        <w:rPr>
          <w:sz w:val="28"/>
          <w:szCs w:val="28"/>
        </w:rPr>
        <w:t>м</w:t>
      </w:r>
      <w:r w:rsidRPr="00B55225">
        <w:rPr>
          <w:sz w:val="28"/>
          <w:szCs w:val="28"/>
        </w:rPr>
        <w:t xml:space="preserve"> розділів, а саме:</w:t>
      </w:r>
    </w:p>
    <w:p w14:paraId="7B2DF070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Загальні положення</w:t>
      </w:r>
    </w:p>
    <w:p w14:paraId="7B2DF071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Комісія як колегіальний орган</w:t>
      </w:r>
    </w:p>
    <w:p w14:paraId="7B2DF072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Колегія уповноважених на розгляд справ</w:t>
      </w:r>
    </w:p>
    <w:p w14:paraId="7B2DF073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Апарат </w:t>
      </w:r>
      <w:r w:rsidR="00914C92" w:rsidRPr="00D87562">
        <w:rPr>
          <w:sz w:val="28"/>
          <w:szCs w:val="28"/>
        </w:rPr>
        <w:t>Комісії</w:t>
      </w:r>
      <w:r w:rsidRPr="00D87562">
        <w:rPr>
          <w:sz w:val="28"/>
          <w:szCs w:val="28"/>
        </w:rPr>
        <w:t xml:space="preserve">. </w:t>
      </w:r>
      <w:r w:rsidR="00914C92" w:rsidRPr="00D87562">
        <w:rPr>
          <w:sz w:val="28"/>
          <w:szCs w:val="28"/>
        </w:rPr>
        <w:t>Соціальний</w:t>
      </w:r>
      <w:r w:rsidRPr="00D87562">
        <w:rPr>
          <w:sz w:val="28"/>
          <w:szCs w:val="28"/>
        </w:rPr>
        <w:t xml:space="preserve">, правовий захист та відповідальність працівників </w:t>
      </w:r>
      <w:r w:rsidR="00914C92" w:rsidRPr="00D87562">
        <w:rPr>
          <w:sz w:val="28"/>
          <w:szCs w:val="28"/>
        </w:rPr>
        <w:t>Комісії</w:t>
      </w:r>
    </w:p>
    <w:p w14:paraId="7B2DF074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Фінансове та матеріально-технічне забезпечення </w:t>
      </w:r>
      <w:r w:rsidR="00914C92" w:rsidRPr="00D87562">
        <w:rPr>
          <w:sz w:val="28"/>
          <w:szCs w:val="28"/>
        </w:rPr>
        <w:t>Комісії</w:t>
      </w:r>
    </w:p>
    <w:p w14:paraId="7B2DF075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Державне регулювання на ринках капіталу та організованих товарних ринках</w:t>
      </w:r>
    </w:p>
    <w:p w14:paraId="7B2DF076" w14:textId="77777777" w:rsidR="003D1386" w:rsidRPr="00D87562" w:rsidRDefault="00914C92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bookmarkStart w:id="7" w:name="_Ref49681317"/>
      <w:r w:rsidRPr="00D87562">
        <w:rPr>
          <w:sz w:val="28"/>
          <w:szCs w:val="28"/>
        </w:rPr>
        <w:t xml:space="preserve"> </w:t>
      </w:r>
      <w:r w:rsidR="009714D3" w:rsidRPr="00D87562">
        <w:rPr>
          <w:sz w:val="28"/>
          <w:szCs w:val="28"/>
        </w:rPr>
        <w:t>Викриття порушень на ринках капіталу та організованих товарних ринках</w:t>
      </w:r>
      <w:bookmarkEnd w:id="7"/>
    </w:p>
    <w:p w14:paraId="7B2DF077" w14:textId="77777777" w:rsidR="003D1386" w:rsidRPr="00D87562" w:rsidRDefault="009714D3" w:rsidP="00A76F51">
      <w:pPr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ind w:left="0"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Заходи впливу на ринках капіталу та організованих товарних ринках</w:t>
      </w:r>
    </w:p>
    <w:p w14:paraId="7B2DF078" w14:textId="77777777" w:rsidR="009714D3" w:rsidRPr="00D87562" w:rsidRDefault="00150015" w:rsidP="00A76F5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П</w:t>
      </w:r>
      <w:r w:rsidR="009714D3" w:rsidRPr="00D87562">
        <w:rPr>
          <w:sz w:val="28"/>
          <w:szCs w:val="28"/>
        </w:rPr>
        <w:t>ерш</w:t>
      </w:r>
      <w:r w:rsidRPr="00D87562">
        <w:rPr>
          <w:sz w:val="28"/>
          <w:szCs w:val="28"/>
        </w:rPr>
        <w:t>ий</w:t>
      </w:r>
      <w:r w:rsidR="009714D3" w:rsidRPr="00D87562">
        <w:rPr>
          <w:sz w:val="28"/>
          <w:szCs w:val="28"/>
        </w:rPr>
        <w:t xml:space="preserve"> розділ «Загальні положення» міст</w:t>
      </w:r>
      <w:r w:rsidRPr="00D87562">
        <w:rPr>
          <w:sz w:val="28"/>
          <w:szCs w:val="28"/>
        </w:rPr>
        <w:t>и</w:t>
      </w:r>
      <w:r w:rsidR="009714D3" w:rsidRPr="00D87562">
        <w:rPr>
          <w:sz w:val="28"/>
          <w:szCs w:val="28"/>
        </w:rPr>
        <w:t>ть</w:t>
      </w:r>
      <w:r w:rsidRPr="00D87562">
        <w:rPr>
          <w:sz w:val="28"/>
          <w:szCs w:val="28"/>
        </w:rPr>
        <w:t xml:space="preserve"> норми</w:t>
      </w:r>
      <w:r w:rsidR="009714D3" w:rsidRPr="00D87562">
        <w:rPr>
          <w:sz w:val="28"/>
          <w:szCs w:val="28"/>
        </w:rPr>
        <w:t>, якими передбачено визначення термінів, статус</w:t>
      </w:r>
      <w:r w:rsidR="00FF76C7" w:rsidRPr="00D87562">
        <w:rPr>
          <w:sz w:val="28"/>
          <w:szCs w:val="28"/>
        </w:rPr>
        <w:t>у</w:t>
      </w:r>
      <w:r w:rsidR="009714D3" w:rsidRPr="00D87562">
        <w:rPr>
          <w:sz w:val="28"/>
          <w:szCs w:val="28"/>
        </w:rPr>
        <w:t xml:space="preserve"> Комісії, її завдання та повноваження,</w:t>
      </w:r>
      <w:bookmarkStart w:id="8" w:name="_Ref26653099"/>
      <w:r w:rsidR="009714D3" w:rsidRPr="00D87562">
        <w:rPr>
          <w:sz w:val="28"/>
          <w:szCs w:val="28"/>
        </w:rPr>
        <w:t xml:space="preserve"> принцип</w:t>
      </w:r>
      <w:r w:rsidRPr="00D87562">
        <w:rPr>
          <w:sz w:val="28"/>
          <w:szCs w:val="28"/>
        </w:rPr>
        <w:t>ів</w:t>
      </w:r>
      <w:r w:rsidR="009714D3" w:rsidRPr="00D87562">
        <w:rPr>
          <w:color w:val="000000"/>
          <w:sz w:val="28"/>
          <w:szCs w:val="28"/>
        </w:rPr>
        <w:t xml:space="preserve"> діяльності та гаранті</w:t>
      </w:r>
      <w:r w:rsidRPr="00D87562">
        <w:rPr>
          <w:color w:val="000000"/>
          <w:sz w:val="28"/>
          <w:szCs w:val="28"/>
        </w:rPr>
        <w:t>й</w:t>
      </w:r>
      <w:r w:rsidR="009714D3" w:rsidRPr="00D87562">
        <w:rPr>
          <w:color w:val="000000"/>
          <w:sz w:val="28"/>
          <w:szCs w:val="28"/>
        </w:rPr>
        <w:t xml:space="preserve"> здійснення повноважень Комісії</w:t>
      </w:r>
      <w:bookmarkEnd w:id="8"/>
      <w:r w:rsidR="009714D3" w:rsidRPr="00D87562">
        <w:rPr>
          <w:color w:val="000000"/>
          <w:sz w:val="28"/>
          <w:szCs w:val="28"/>
        </w:rPr>
        <w:t xml:space="preserve">, а також передбачено </w:t>
      </w:r>
      <w:r w:rsidR="009714D3" w:rsidRPr="00D87562">
        <w:rPr>
          <w:sz w:val="28"/>
          <w:szCs w:val="28"/>
        </w:rPr>
        <w:t xml:space="preserve"> врегулювання питання здійснення Комісією </w:t>
      </w:r>
      <w:r w:rsidR="00995CFC" w:rsidRPr="00D87562">
        <w:rPr>
          <w:color w:val="000000"/>
          <w:sz w:val="28"/>
          <w:szCs w:val="28"/>
        </w:rPr>
        <w:t>міжнародного співробітництва.</w:t>
      </w:r>
    </w:p>
    <w:p w14:paraId="7B2DF079" w14:textId="77777777" w:rsidR="00995CFC" w:rsidRPr="00D87562" w:rsidRDefault="00995CFC" w:rsidP="00A76F51">
      <w:pPr>
        <w:widowControl w:val="0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D87562">
        <w:rPr>
          <w:sz w:val="28"/>
          <w:szCs w:val="28"/>
        </w:rPr>
        <w:t>Другий розділ «</w:t>
      </w:r>
      <w:r w:rsidRPr="00D87562">
        <w:rPr>
          <w:sz w:val="28"/>
          <w:szCs w:val="28"/>
          <w:lang w:eastAsia="uk-UA"/>
        </w:rPr>
        <w:t>Комісія як колегіальний орган</w:t>
      </w:r>
      <w:r w:rsidRPr="00D87562">
        <w:rPr>
          <w:sz w:val="28"/>
          <w:szCs w:val="28"/>
        </w:rPr>
        <w:t xml:space="preserve">» містить </w:t>
      </w:r>
      <w:r w:rsidR="00150015" w:rsidRPr="00D87562">
        <w:rPr>
          <w:sz w:val="28"/>
          <w:szCs w:val="28"/>
        </w:rPr>
        <w:t>норми</w:t>
      </w:r>
      <w:r w:rsidRPr="00D87562">
        <w:rPr>
          <w:sz w:val="28"/>
          <w:szCs w:val="28"/>
        </w:rPr>
        <w:t xml:space="preserve"> щодо </w:t>
      </w:r>
      <w:r w:rsidR="00FF76C7" w:rsidRPr="00D87562">
        <w:rPr>
          <w:sz w:val="28"/>
          <w:szCs w:val="28"/>
        </w:rPr>
        <w:t>повноважень</w:t>
      </w:r>
      <w:r w:rsidRPr="00D87562">
        <w:rPr>
          <w:sz w:val="28"/>
          <w:szCs w:val="28"/>
        </w:rPr>
        <w:t xml:space="preserve"> Комісії як колегіального органу,</w:t>
      </w:r>
      <w:r w:rsidRPr="00804088">
        <w:rPr>
          <w:bCs/>
          <w:color w:val="000000"/>
          <w:sz w:val="28"/>
          <w:szCs w:val="28"/>
        </w:rPr>
        <w:t xml:space="preserve"> вимог </w:t>
      </w:r>
      <w:r w:rsidRPr="00D87562">
        <w:rPr>
          <w:bCs/>
          <w:color w:val="000000"/>
          <w:sz w:val="28"/>
          <w:szCs w:val="28"/>
        </w:rPr>
        <w:t xml:space="preserve">до кандидатів на посаду </w:t>
      </w:r>
      <w:r w:rsidRPr="00D87562">
        <w:rPr>
          <w:color w:val="000000"/>
          <w:sz w:val="28"/>
          <w:szCs w:val="28"/>
        </w:rPr>
        <w:t>члена Комісії, порядку призначення та звільнення членів Комісії,</w:t>
      </w:r>
      <w:r w:rsidR="00BD1D15" w:rsidRPr="00D87562">
        <w:rPr>
          <w:color w:val="000000"/>
          <w:sz w:val="28"/>
          <w:szCs w:val="28"/>
        </w:rPr>
        <w:t xml:space="preserve"> порядку обрання та припинення повноважень Голови Комісії. </w:t>
      </w:r>
    </w:p>
    <w:p w14:paraId="7B2DF07A" w14:textId="77777777" w:rsidR="00BD1D15" w:rsidRPr="00D87562" w:rsidRDefault="00BD1D15" w:rsidP="00A76F5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</w:rPr>
        <w:t>Третій розділ «</w:t>
      </w:r>
      <w:r w:rsidRPr="00D87562">
        <w:rPr>
          <w:sz w:val="28"/>
          <w:szCs w:val="28"/>
          <w:lang w:eastAsia="uk-UA"/>
        </w:rPr>
        <w:t>Колегія уповноважених на розгляд справ</w:t>
      </w:r>
      <w:r w:rsidRPr="00D87562">
        <w:rPr>
          <w:sz w:val="28"/>
          <w:szCs w:val="28"/>
        </w:rPr>
        <w:t xml:space="preserve">» містить </w:t>
      </w:r>
      <w:r w:rsidR="00150015" w:rsidRPr="00D87562">
        <w:rPr>
          <w:sz w:val="28"/>
          <w:szCs w:val="28"/>
        </w:rPr>
        <w:t>норми</w:t>
      </w:r>
      <w:r w:rsidRPr="00D87562">
        <w:rPr>
          <w:sz w:val="28"/>
          <w:szCs w:val="28"/>
        </w:rPr>
        <w:t xml:space="preserve">, якими визначено статус та права </w:t>
      </w:r>
      <w:r w:rsidRPr="00D87562">
        <w:rPr>
          <w:sz w:val="28"/>
          <w:szCs w:val="28"/>
          <w:lang w:eastAsia="uk-UA"/>
        </w:rPr>
        <w:t xml:space="preserve">Колегії уповноважених на розгляд справ, вимоги до </w:t>
      </w:r>
      <w:r w:rsidR="00FF76C7" w:rsidRPr="00D87562">
        <w:rPr>
          <w:sz w:val="28"/>
          <w:szCs w:val="28"/>
          <w:lang w:eastAsia="uk-UA"/>
        </w:rPr>
        <w:t xml:space="preserve">кандидатів на посаду </w:t>
      </w:r>
      <w:r w:rsidRPr="00D87562">
        <w:rPr>
          <w:sz w:val="28"/>
          <w:szCs w:val="28"/>
          <w:lang w:eastAsia="uk-UA"/>
        </w:rPr>
        <w:t xml:space="preserve">уповноважених на розгляд справ, порядок відбору, призначення та звільнення уповноважених на розгляд справ, а також </w:t>
      </w:r>
      <w:r w:rsidR="007C4674" w:rsidRPr="00D87562">
        <w:rPr>
          <w:sz w:val="28"/>
          <w:szCs w:val="28"/>
          <w:lang w:eastAsia="uk-UA"/>
        </w:rPr>
        <w:t>норми щодо забезпечення незалежності уповноважених на розгляд справ.</w:t>
      </w:r>
    </w:p>
    <w:p w14:paraId="7B2DF07B" w14:textId="77777777" w:rsidR="00995CFC" w:rsidRPr="00D87562" w:rsidRDefault="007C4674" w:rsidP="00A76F51">
      <w:pPr>
        <w:widowControl w:val="0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  <w:r w:rsidRPr="00D87562">
        <w:rPr>
          <w:sz w:val="28"/>
          <w:szCs w:val="28"/>
        </w:rPr>
        <w:t>Четвертий розділ «</w:t>
      </w:r>
      <w:r w:rsidRPr="00D87562">
        <w:rPr>
          <w:sz w:val="28"/>
          <w:szCs w:val="28"/>
          <w:lang w:eastAsia="uk-UA"/>
        </w:rPr>
        <w:t xml:space="preserve">Апарат </w:t>
      </w:r>
      <w:r w:rsidR="00FF76C7" w:rsidRPr="00D87562">
        <w:rPr>
          <w:sz w:val="28"/>
          <w:szCs w:val="28"/>
          <w:lang w:eastAsia="uk-UA"/>
        </w:rPr>
        <w:t>Комісії</w:t>
      </w:r>
      <w:r w:rsidRPr="00D87562">
        <w:rPr>
          <w:sz w:val="28"/>
          <w:szCs w:val="28"/>
          <w:lang w:eastAsia="uk-UA"/>
        </w:rPr>
        <w:t xml:space="preserve">. </w:t>
      </w:r>
      <w:r w:rsidR="00FF76C7" w:rsidRPr="00D87562">
        <w:rPr>
          <w:sz w:val="28"/>
          <w:szCs w:val="28"/>
          <w:lang w:eastAsia="uk-UA"/>
        </w:rPr>
        <w:t>Соціальний</w:t>
      </w:r>
      <w:r w:rsidRPr="00D87562">
        <w:rPr>
          <w:sz w:val="28"/>
          <w:szCs w:val="28"/>
          <w:lang w:eastAsia="uk-UA"/>
        </w:rPr>
        <w:t xml:space="preserve">, правовий захист та відповідальність працівників </w:t>
      </w:r>
      <w:r w:rsidR="00FF76C7" w:rsidRPr="00D87562">
        <w:rPr>
          <w:sz w:val="28"/>
          <w:szCs w:val="28"/>
          <w:lang w:eastAsia="uk-UA"/>
        </w:rPr>
        <w:t>Комісії</w:t>
      </w:r>
      <w:r w:rsidRPr="00D87562">
        <w:rPr>
          <w:sz w:val="28"/>
          <w:szCs w:val="28"/>
        </w:rPr>
        <w:t xml:space="preserve">» містить </w:t>
      </w:r>
      <w:r w:rsidR="00150015" w:rsidRPr="00D87562">
        <w:rPr>
          <w:sz w:val="28"/>
          <w:szCs w:val="28"/>
        </w:rPr>
        <w:t xml:space="preserve">норми, </w:t>
      </w:r>
      <w:r w:rsidRPr="00D87562">
        <w:rPr>
          <w:sz w:val="28"/>
          <w:szCs w:val="28"/>
        </w:rPr>
        <w:t xml:space="preserve">якими врегульовано питання функціонування апарату Комісії, статусу, професійної підготовки та правового захисту працівників Комісії, </w:t>
      </w:r>
      <w:r w:rsidR="004C47DF" w:rsidRPr="00D87562">
        <w:rPr>
          <w:sz w:val="28"/>
          <w:szCs w:val="28"/>
        </w:rPr>
        <w:t>а також передбачено встановлення заборон та обмежен</w:t>
      </w:r>
      <w:r w:rsidR="00FF76C7" w:rsidRPr="00D87562">
        <w:rPr>
          <w:sz w:val="28"/>
          <w:szCs w:val="28"/>
        </w:rPr>
        <w:t>ь для</w:t>
      </w:r>
      <w:r w:rsidR="004C47DF" w:rsidRPr="00D87562">
        <w:rPr>
          <w:sz w:val="28"/>
          <w:szCs w:val="28"/>
        </w:rPr>
        <w:t xml:space="preserve"> працівників Комісії та порядок проведення </w:t>
      </w:r>
      <w:r w:rsidR="004C47DF" w:rsidRPr="00D87562">
        <w:rPr>
          <w:color w:val="000000"/>
          <w:sz w:val="28"/>
          <w:szCs w:val="28"/>
          <w:lang w:eastAsia="uk-UA"/>
        </w:rPr>
        <w:t>дисциплінарних проваджень стосовно членів Комісії та працівників Комісії.</w:t>
      </w:r>
    </w:p>
    <w:p w14:paraId="7B2DF07C" w14:textId="77777777" w:rsidR="001728EE" w:rsidRPr="00D87562" w:rsidRDefault="001728EE" w:rsidP="00A76F5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  <w:lang w:eastAsia="uk-UA"/>
        </w:rPr>
      </w:pPr>
      <w:r w:rsidRPr="00D87562">
        <w:rPr>
          <w:sz w:val="28"/>
          <w:szCs w:val="28"/>
        </w:rPr>
        <w:t>П’ятий розділ «</w:t>
      </w:r>
      <w:r w:rsidRPr="00D87562">
        <w:rPr>
          <w:sz w:val="28"/>
          <w:szCs w:val="28"/>
          <w:lang w:eastAsia="uk-UA"/>
        </w:rPr>
        <w:t xml:space="preserve">Фінансове та матеріально-технічне забезпечення </w:t>
      </w:r>
      <w:r w:rsidR="00150015" w:rsidRPr="00D87562">
        <w:rPr>
          <w:sz w:val="28"/>
          <w:szCs w:val="28"/>
          <w:lang w:eastAsia="uk-UA"/>
        </w:rPr>
        <w:t>Комісії</w:t>
      </w:r>
      <w:r w:rsidRPr="00D87562">
        <w:rPr>
          <w:sz w:val="28"/>
          <w:szCs w:val="28"/>
          <w:lang w:eastAsia="uk-UA"/>
        </w:rPr>
        <w:t>»</w:t>
      </w:r>
      <w:r w:rsidRPr="00D87562">
        <w:rPr>
          <w:sz w:val="28"/>
          <w:szCs w:val="28"/>
        </w:rPr>
        <w:t xml:space="preserve">  містить </w:t>
      </w:r>
      <w:r w:rsidR="00150015" w:rsidRPr="00D87562">
        <w:rPr>
          <w:sz w:val="28"/>
          <w:szCs w:val="28"/>
        </w:rPr>
        <w:t>норми</w:t>
      </w:r>
      <w:r w:rsidRPr="00D87562">
        <w:rPr>
          <w:sz w:val="28"/>
          <w:szCs w:val="28"/>
        </w:rPr>
        <w:t xml:space="preserve">, якими врегульовано питання </w:t>
      </w:r>
      <w:r w:rsidR="007326A9" w:rsidRPr="00D87562">
        <w:rPr>
          <w:sz w:val="28"/>
          <w:szCs w:val="28"/>
        </w:rPr>
        <w:t xml:space="preserve">фінансового та </w:t>
      </w:r>
      <w:r w:rsidRPr="00D87562">
        <w:rPr>
          <w:sz w:val="28"/>
          <w:szCs w:val="28"/>
          <w:lang w:eastAsia="uk-UA"/>
        </w:rPr>
        <w:t>матеріально-технічного</w:t>
      </w:r>
      <w:r w:rsidR="007326A9" w:rsidRPr="00D87562">
        <w:rPr>
          <w:sz w:val="28"/>
          <w:szCs w:val="28"/>
          <w:lang w:eastAsia="uk-UA"/>
        </w:rPr>
        <w:t xml:space="preserve"> забезпечення К</w:t>
      </w:r>
      <w:r w:rsidRPr="00D87562">
        <w:rPr>
          <w:sz w:val="28"/>
          <w:szCs w:val="28"/>
          <w:lang w:eastAsia="uk-UA"/>
        </w:rPr>
        <w:t>омісії</w:t>
      </w:r>
      <w:r w:rsidR="007326A9" w:rsidRPr="00D87562">
        <w:rPr>
          <w:sz w:val="28"/>
          <w:szCs w:val="28"/>
          <w:lang w:eastAsia="uk-UA"/>
        </w:rPr>
        <w:t xml:space="preserve">, </w:t>
      </w:r>
      <w:r w:rsidR="00B34368" w:rsidRPr="00D87562">
        <w:rPr>
          <w:sz w:val="28"/>
          <w:szCs w:val="28"/>
          <w:lang w:eastAsia="uk-UA"/>
        </w:rPr>
        <w:t>порядку</w:t>
      </w:r>
      <w:r w:rsidR="007326A9" w:rsidRPr="00D87562">
        <w:rPr>
          <w:sz w:val="28"/>
          <w:szCs w:val="28"/>
          <w:lang w:eastAsia="uk-UA"/>
        </w:rPr>
        <w:t xml:space="preserve"> планування фінансування Комісії,</w:t>
      </w:r>
      <w:r w:rsidR="00B34368" w:rsidRPr="00D87562">
        <w:rPr>
          <w:sz w:val="28"/>
          <w:szCs w:val="28"/>
          <w:lang w:eastAsia="uk-UA"/>
        </w:rPr>
        <w:t xml:space="preserve"> а також здійснення </w:t>
      </w:r>
      <w:r w:rsidR="007326A9" w:rsidRPr="00D87562">
        <w:rPr>
          <w:sz w:val="28"/>
          <w:szCs w:val="28"/>
          <w:lang w:eastAsia="uk-UA"/>
        </w:rPr>
        <w:t>контролю</w:t>
      </w:r>
      <w:r w:rsidR="00B34368" w:rsidRPr="00D87562">
        <w:rPr>
          <w:sz w:val="28"/>
          <w:szCs w:val="28"/>
          <w:lang w:eastAsia="uk-UA"/>
        </w:rPr>
        <w:t xml:space="preserve"> за фінансуванням Комісії</w:t>
      </w:r>
      <w:r w:rsidR="007326A9" w:rsidRPr="00D87562">
        <w:rPr>
          <w:sz w:val="28"/>
          <w:szCs w:val="28"/>
          <w:lang w:eastAsia="uk-UA"/>
        </w:rPr>
        <w:t xml:space="preserve"> та аудиту</w:t>
      </w:r>
      <w:r w:rsidR="00B34368" w:rsidRPr="00804088">
        <w:rPr>
          <w:color w:val="000000"/>
          <w:sz w:val="28"/>
          <w:szCs w:val="28"/>
        </w:rPr>
        <w:t xml:space="preserve"> </w:t>
      </w:r>
      <w:r w:rsidR="00B34368" w:rsidRPr="00D87562">
        <w:rPr>
          <w:color w:val="000000"/>
          <w:sz w:val="28"/>
          <w:szCs w:val="28"/>
        </w:rPr>
        <w:t>річної фінансової звітності Комісії</w:t>
      </w:r>
      <w:r w:rsidR="00B34368" w:rsidRPr="00D87562">
        <w:rPr>
          <w:sz w:val="28"/>
          <w:szCs w:val="28"/>
          <w:lang w:eastAsia="uk-UA"/>
        </w:rPr>
        <w:t>.</w:t>
      </w:r>
    </w:p>
    <w:p w14:paraId="7B2DF07D" w14:textId="77777777" w:rsidR="00B34368" w:rsidRPr="00D87562" w:rsidRDefault="00B34368" w:rsidP="00A76F5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  <w:lang w:eastAsia="uk-UA"/>
        </w:rPr>
      </w:pPr>
      <w:r w:rsidRPr="00D87562">
        <w:rPr>
          <w:sz w:val="28"/>
          <w:szCs w:val="28"/>
        </w:rPr>
        <w:t>Шостий розділ «</w:t>
      </w:r>
      <w:r w:rsidRPr="00D87562">
        <w:rPr>
          <w:sz w:val="28"/>
          <w:szCs w:val="28"/>
          <w:lang w:eastAsia="uk-UA"/>
        </w:rPr>
        <w:t xml:space="preserve">Державне регулювання на ринках капіталу та організованих товарних ринках» </w:t>
      </w:r>
      <w:r w:rsidRPr="00D87562">
        <w:rPr>
          <w:sz w:val="28"/>
          <w:szCs w:val="28"/>
        </w:rPr>
        <w:t xml:space="preserve">містить </w:t>
      </w:r>
      <w:r w:rsidR="00150015" w:rsidRPr="00D87562">
        <w:rPr>
          <w:sz w:val="28"/>
          <w:szCs w:val="28"/>
        </w:rPr>
        <w:t>норми</w:t>
      </w:r>
      <w:r w:rsidRPr="00D87562">
        <w:rPr>
          <w:sz w:val="28"/>
          <w:szCs w:val="28"/>
        </w:rPr>
        <w:t xml:space="preserve">, якими, зокрема, </w:t>
      </w:r>
      <w:r w:rsidR="00150015" w:rsidRPr="00D87562">
        <w:rPr>
          <w:sz w:val="28"/>
          <w:szCs w:val="28"/>
        </w:rPr>
        <w:t xml:space="preserve">визначено </w:t>
      </w:r>
      <w:r w:rsidRPr="00D87562">
        <w:rPr>
          <w:sz w:val="28"/>
          <w:szCs w:val="28"/>
        </w:rPr>
        <w:lastRenderedPageBreak/>
        <w:t>форм</w:t>
      </w:r>
      <w:r w:rsidR="00150015" w:rsidRPr="00D87562">
        <w:rPr>
          <w:sz w:val="28"/>
          <w:szCs w:val="28"/>
        </w:rPr>
        <w:t>и</w:t>
      </w:r>
      <w:r w:rsidRPr="00D87562">
        <w:rPr>
          <w:sz w:val="28"/>
          <w:szCs w:val="28"/>
        </w:rPr>
        <w:t xml:space="preserve"> державного регулювання на ринках капіталу та організованих товарних ринках, </w:t>
      </w:r>
      <w:r w:rsidRPr="00D87562">
        <w:rPr>
          <w:sz w:val="28"/>
          <w:szCs w:val="28"/>
          <w:lang w:eastAsia="uk-UA"/>
        </w:rPr>
        <w:t xml:space="preserve">ліцензування діяльності на </w:t>
      </w:r>
      <w:r w:rsidR="00150015" w:rsidRPr="00D87562">
        <w:rPr>
          <w:sz w:val="28"/>
          <w:szCs w:val="28"/>
          <w:lang w:eastAsia="uk-UA"/>
        </w:rPr>
        <w:t xml:space="preserve">зазначених </w:t>
      </w:r>
      <w:r w:rsidRPr="00D87562">
        <w:rPr>
          <w:sz w:val="28"/>
          <w:szCs w:val="28"/>
          <w:lang w:eastAsia="uk-UA"/>
        </w:rPr>
        <w:t>ринках, акт</w:t>
      </w:r>
      <w:r w:rsidR="000257CE" w:rsidRPr="00D87562">
        <w:rPr>
          <w:sz w:val="28"/>
          <w:szCs w:val="28"/>
          <w:lang w:eastAsia="uk-UA"/>
        </w:rPr>
        <w:t>и</w:t>
      </w:r>
      <w:r w:rsidRPr="00D87562">
        <w:rPr>
          <w:sz w:val="28"/>
          <w:szCs w:val="28"/>
          <w:lang w:eastAsia="uk-UA"/>
        </w:rPr>
        <w:t xml:space="preserve"> Комісії та поряд</w:t>
      </w:r>
      <w:r w:rsidR="000257CE" w:rsidRPr="00D87562">
        <w:rPr>
          <w:sz w:val="28"/>
          <w:szCs w:val="28"/>
          <w:lang w:eastAsia="uk-UA"/>
        </w:rPr>
        <w:t>ок</w:t>
      </w:r>
      <w:r w:rsidRPr="00D87562">
        <w:rPr>
          <w:sz w:val="28"/>
          <w:szCs w:val="28"/>
          <w:lang w:eastAsia="uk-UA"/>
        </w:rPr>
        <w:t xml:space="preserve"> їх затвердження,</w:t>
      </w:r>
      <w:r w:rsidR="00B82B49" w:rsidRPr="00D87562">
        <w:rPr>
          <w:sz w:val="28"/>
          <w:szCs w:val="28"/>
          <w:lang w:eastAsia="uk-UA"/>
        </w:rPr>
        <w:t xml:space="preserve"> функціонування Комітетів Комісії та громадської ради Комісії, </w:t>
      </w:r>
      <w:r w:rsidR="000257CE" w:rsidRPr="00D87562">
        <w:rPr>
          <w:sz w:val="28"/>
          <w:szCs w:val="28"/>
          <w:lang w:eastAsia="uk-UA"/>
        </w:rPr>
        <w:t xml:space="preserve">порядок здійснення </w:t>
      </w:r>
      <w:r w:rsidR="00B82B49" w:rsidRPr="00D87562">
        <w:rPr>
          <w:sz w:val="28"/>
          <w:szCs w:val="28"/>
          <w:lang w:eastAsia="uk-UA"/>
        </w:rPr>
        <w:t xml:space="preserve">нагляду, інспекцій та розслідувань, розгляду справ, </w:t>
      </w:r>
      <w:r w:rsidR="003626B3" w:rsidRPr="00D87562">
        <w:rPr>
          <w:sz w:val="28"/>
          <w:szCs w:val="28"/>
          <w:lang w:eastAsia="uk-UA"/>
        </w:rPr>
        <w:t>укладення у</w:t>
      </w:r>
      <w:r w:rsidR="00B82B49" w:rsidRPr="00D87562">
        <w:rPr>
          <w:bCs/>
          <w:color w:val="000000"/>
          <w:sz w:val="28"/>
          <w:szCs w:val="28"/>
        </w:rPr>
        <w:t>год про врегулювання наслідків вчинення правопорушення</w:t>
      </w:r>
      <w:r w:rsidR="003626B3" w:rsidRPr="00D87562">
        <w:rPr>
          <w:sz w:val="28"/>
          <w:szCs w:val="28"/>
          <w:lang w:eastAsia="uk-UA"/>
        </w:rPr>
        <w:t xml:space="preserve">, </w:t>
      </w:r>
      <w:r w:rsidR="000257CE" w:rsidRPr="00D87562">
        <w:rPr>
          <w:sz w:val="28"/>
          <w:szCs w:val="28"/>
          <w:lang w:eastAsia="uk-UA"/>
        </w:rPr>
        <w:t xml:space="preserve">порядок </w:t>
      </w:r>
      <w:r w:rsidR="003626B3" w:rsidRPr="00D87562">
        <w:rPr>
          <w:sz w:val="28"/>
          <w:szCs w:val="28"/>
          <w:lang w:eastAsia="uk-UA"/>
        </w:rPr>
        <w:t xml:space="preserve">призначення </w:t>
      </w:r>
      <w:r w:rsidR="000257CE" w:rsidRPr="00D87562">
        <w:rPr>
          <w:sz w:val="28"/>
          <w:szCs w:val="28"/>
          <w:lang w:eastAsia="uk-UA"/>
        </w:rPr>
        <w:t xml:space="preserve">Комісією </w:t>
      </w:r>
      <w:r w:rsidR="003626B3" w:rsidRPr="00D87562">
        <w:rPr>
          <w:sz w:val="28"/>
          <w:szCs w:val="28"/>
          <w:lang w:eastAsia="uk-UA"/>
        </w:rPr>
        <w:t>тимчасов</w:t>
      </w:r>
      <w:r w:rsidR="000257CE" w:rsidRPr="00D87562">
        <w:rPr>
          <w:sz w:val="28"/>
          <w:szCs w:val="28"/>
          <w:lang w:eastAsia="uk-UA"/>
        </w:rPr>
        <w:t>их</w:t>
      </w:r>
      <w:r w:rsidR="003626B3" w:rsidRPr="00D87562">
        <w:rPr>
          <w:sz w:val="28"/>
          <w:szCs w:val="28"/>
          <w:lang w:eastAsia="uk-UA"/>
        </w:rPr>
        <w:t xml:space="preserve"> керівник</w:t>
      </w:r>
      <w:r w:rsidR="000257CE" w:rsidRPr="00D87562">
        <w:rPr>
          <w:sz w:val="28"/>
          <w:szCs w:val="28"/>
          <w:lang w:eastAsia="uk-UA"/>
        </w:rPr>
        <w:t xml:space="preserve">ів та </w:t>
      </w:r>
      <w:r w:rsidR="003626B3" w:rsidRPr="00D87562">
        <w:rPr>
          <w:sz w:val="28"/>
          <w:szCs w:val="28"/>
          <w:lang w:eastAsia="uk-UA"/>
        </w:rPr>
        <w:t>управління системними ризиками</w:t>
      </w:r>
      <w:r w:rsidR="000257CE" w:rsidRPr="00D87562">
        <w:rPr>
          <w:sz w:val="28"/>
          <w:szCs w:val="28"/>
          <w:lang w:eastAsia="uk-UA"/>
        </w:rPr>
        <w:t xml:space="preserve"> на ринках капіталу та організованих товарних ринках</w:t>
      </w:r>
      <w:r w:rsidR="003626B3" w:rsidRPr="00D87562">
        <w:rPr>
          <w:sz w:val="28"/>
          <w:szCs w:val="28"/>
          <w:lang w:eastAsia="uk-UA"/>
        </w:rPr>
        <w:t>.</w:t>
      </w:r>
    </w:p>
    <w:p w14:paraId="7B2DF07E" w14:textId="77777777" w:rsidR="002661D3" w:rsidRPr="00D87562" w:rsidRDefault="003626B3" w:rsidP="00A76F51">
      <w:pPr>
        <w:widowControl w:val="0"/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D87562">
        <w:rPr>
          <w:sz w:val="28"/>
          <w:szCs w:val="28"/>
        </w:rPr>
        <w:t>Сьомий  розділ «</w:t>
      </w:r>
      <w:r w:rsidRPr="00D87562">
        <w:rPr>
          <w:sz w:val="28"/>
          <w:szCs w:val="28"/>
          <w:lang w:eastAsia="uk-UA"/>
        </w:rPr>
        <w:t>Викриття порушень на ринках капіталу та організованих товарних ринках»</w:t>
      </w:r>
      <w:r w:rsidRPr="00D87562">
        <w:rPr>
          <w:sz w:val="28"/>
          <w:szCs w:val="28"/>
        </w:rPr>
        <w:t xml:space="preserve"> містить </w:t>
      </w:r>
      <w:r w:rsidR="000257CE" w:rsidRPr="00D87562">
        <w:rPr>
          <w:sz w:val="28"/>
          <w:szCs w:val="28"/>
        </w:rPr>
        <w:t>норми</w:t>
      </w:r>
      <w:r w:rsidRPr="00D87562">
        <w:rPr>
          <w:sz w:val="28"/>
          <w:szCs w:val="28"/>
        </w:rPr>
        <w:t>, якими, зокрема, передбачено м</w:t>
      </w:r>
      <w:r w:rsidR="002661D3" w:rsidRPr="00D87562">
        <w:rPr>
          <w:sz w:val="28"/>
          <w:szCs w:val="28"/>
        </w:rPr>
        <w:t>еханізм</w:t>
      </w:r>
      <w:r w:rsidR="00B5739D" w:rsidRPr="00D87562">
        <w:rPr>
          <w:sz w:val="28"/>
          <w:szCs w:val="28"/>
        </w:rPr>
        <w:t>и</w:t>
      </w:r>
      <w:r w:rsidR="002661D3" w:rsidRPr="00D87562">
        <w:rPr>
          <w:sz w:val="28"/>
          <w:szCs w:val="28"/>
        </w:rPr>
        <w:t xml:space="preserve"> здійснення повідомлень до</w:t>
      </w:r>
      <w:r w:rsidRPr="00D87562">
        <w:rPr>
          <w:sz w:val="28"/>
          <w:szCs w:val="28"/>
        </w:rPr>
        <w:t xml:space="preserve"> Комісії про </w:t>
      </w:r>
      <w:r w:rsidRPr="00D87562">
        <w:rPr>
          <w:sz w:val="28"/>
          <w:szCs w:val="28"/>
          <w:lang w:eastAsia="uk-UA"/>
        </w:rPr>
        <w:t>порушення на ринках капіталу та організованих товарних ринках</w:t>
      </w:r>
      <w:r w:rsidR="002661D3" w:rsidRPr="00D87562">
        <w:rPr>
          <w:sz w:val="28"/>
          <w:szCs w:val="28"/>
          <w:lang w:eastAsia="uk-UA"/>
        </w:rPr>
        <w:t>, встановлено порядок розгляду таких повідомлень,</w:t>
      </w:r>
      <w:bookmarkStart w:id="9" w:name="_Ref49681839"/>
      <w:r w:rsidR="002661D3" w:rsidRPr="00D87562">
        <w:rPr>
          <w:sz w:val="28"/>
          <w:szCs w:val="28"/>
          <w:lang w:eastAsia="uk-UA"/>
        </w:rPr>
        <w:t xml:space="preserve"> порядок обліку</w:t>
      </w:r>
      <w:r w:rsidR="002661D3" w:rsidRPr="00D87562">
        <w:rPr>
          <w:bCs/>
          <w:color w:val="000000"/>
          <w:sz w:val="28"/>
          <w:szCs w:val="28"/>
        </w:rPr>
        <w:t xml:space="preserve"> та зберігання Комісією інформації, переданої інформаторами</w:t>
      </w:r>
      <w:bookmarkEnd w:id="9"/>
      <w:r w:rsidR="002661D3" w:rsidRPr="00D87562">
        <w:rPr>
          <w:bCs/>
          <w:color w:val="000000"/>
          <w:sz w:val="28"/>
          <w:szCs w:val="28"/>
        </w:rPr>
        <w:t xml:space="preserve">, а також передбачено врегулювання питання захисту інформації </w:t>
      </w:r>
      <w:r w:rsidR="0051660B" w:rsidRPr="00D87562">
        <w:rPr>
          <w:bCs/>
          <w:color w:val="000000"/>
          <w:sz w:val="28"/>
          <w:szCs w:val="28"/>
        </w:rPr>
        <w:t xml:space="preserve">про інформаторів, </w:t>
      </w:r>
      <w:r w:rsidR="002661D3" w:rsidRPr="00D87562">
        <w:rPr>
          <w:bCs/>
          <w:color w:val="000000"/>
          <w:sz w:val="28"/>
          <w:szCs w:val="28"/>
        </w:rPr>
        <w:t>державного захисту інформаторів та осіб, щодо яких розпочато розслідування</w:t>
      </w:r>
      <w:r w:rsidR="0051660B" w:rsidRPr="00D87562">
        <w:rPr>
          <w:bCs/>
          <w:color w:val="000000"/>
          <w:sz w:val="28"/>
          <w:szCs w:val="28"/>
        </w:rPr>
        <w:t xml:space="preserve">, та відповідальності за порушення, пов’язані з викриттям </w:t>
      </w:r>
      <w:r w:rsidR="0051660B" w:rsidRPr="00D87562">
        <w:rPr>
          <w:sz w:val="28"/>
          <w:szCs w:val="28"/>
          <w:lang w:eastAsia="uk-UA"/>
        </w:rPr>
        <w:t>на ринках капіталу та організованих товарних ринках</w:t>
      </w:r>
      <w:r w:rsidR="00B5739D" w:rsidRPr="00D87562">
        <w:rPr>
          <w:bCs/>
          <w:color w:val="000000"/>
          <w:sz w:val="28"/>
          <w:szCs w:val="28"/>
        </w:rPr>
        <w:t>.</w:t>
      </w:r>
      <w:r w:rsidR="0051660B" w:rsidRPr="00D87562">
        <w:rPr>
          <w:bCs/>
          <w:color w:val="000000"/>
          <w:sz w:val="28"/>
          <w:szCs w:val="28"/>
        </w:rPr>
        <w:t xml:space="preserve"> </w:t>
      </w:r>
    </w:p>
    <w:p w14:paraId="7B2DF07F" w14:textId="77777777" w:rsidR="00940586" w:rsidRPr="00D87562" w:rsidRDefault="002661D3" w:rsidP="00A76F5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7562">
        <w:rPr>
          <w:sz w:val="28"/>
          <w:szCs w:val="28"/>
          <w:lang w:eastAsia="uk-UA"/>
        </w:rPr>
        <w:t xml:space="preserve"> </w:t>
      </w:r>
      <w:r w:rsidR="0051660B" w:rsidRPr="00D87562">
        <w:rPr>
          <w:sz w:val="28"/>
          <w:szCs w:val="28"/>
        </w:rPr>
        <w:t>Восьмий  розділ «</w:t>
      </w:r>
      <w:r w:rsidR="0051660B" w:rsidRPr="00D87562">
        <w:rPr>
          <w:sz w:val="28"/>
          <w:szCs w:val="28"/>
          <w:lang w:eastAsia="uk-UA"/>
        </w:rPr>
        <w:t>Заходи впливу на ринках капіталу та організованих товарних ринках»</w:t>
      </w:r>
      <w:r w:rsidR="0051660B" w:rsidRPr="00D87562">
        <w:rPr>
          <w:sz w:val="28"/>
          <w:szCs w:val="28"/>
        </w:rPr>
        <w:t xml:space="preserve"> містить </w:t>
      </w:r>
      <w:r w:rsidR="00B5739D" w:rsidRPr="00D87562">
        <w:rPr>
          <w:sz w:val="28"/>
          <w:szCs w:val="28"/>
        </w:rPr>
        <w:t>норми</w:t>
      </w:r>
      <w:r w:rsidR="0051660B" w:rsidRPr="00D87562">
        <w:rPr>
          <w:sz w:val="28"/>
          <w:szCs w:val="28"/>
        </w:rPr>
        <w:t xml:space="preserve">, якими, зокрема, визначено перелік заходів впливу, які Комісія може застосовувати </w:t>
      </w:r>
      <w:r w:rsidR="0051660B" w:rsidRPr="00D87562">
        <w:rPr>
          <w:sz w:val="28"/>
          <w:szCs w:val="28"/>
          <w:lang w:eastAsia="uk-UA"/>
        </w:rPr>
        <w:t xml:space="preserve">на ринках капіталу та організованих товарних ринках, а також врегульовано питання </w:t>
      </w:r>
      <w:r w:rsidR="00D00EEE" w:rsidRPr="00D87562">
        <w:rPr>
          <w:sz w:val="28"/>
          <w:szCs w:val="28"/>
          <w:lang w:eastAsia="uk-UA"/>
        </w:rPr>
        <w:t xml:space="preserve">застосування </w:t>
      </w:r>
      <w:r w:rsidR="0051660B" w:rsidRPr="00D87562">
        <w:rPr>
          <w:color w:val="000000"/>
          <w:sz w:val="28"/>
          <w:szCs w:val="28"/>
        </w:rPr>
        <w:t xml:space="preserve">фінансових санкцій (штрафів) </w:t>
      </w:r>
      <w:r w:rsidR="0051660B" w:rsidRPr="00D87562">
        <w:rPr>
          <w:bCs/>
          <w:color w:val="000000"/>
          <w:sz w:val="28"/>
          <w:szCs w:val="28"/>
        </w:rPr>
        <w:t>за порушення законодавства про ринки капіталу та організовані товарні ринки, законодавства про акціонерні товариства, законодавства про захист прав споживачів</w:t>
      </w:r>
      <w:r w:rsidR="00D00EEE" w:rsidRPr="00D87562">
        <w:rPr>
          <w:bCs/>
          <w:color w:val="000000"/>
          <w:sz w:val="28"/>
          <w:szCs w:val="28"/>
        </w:rPr>
        <w:t>.</w:t>
      </w:r>
      <w:r w:rsidR="0051660B" w:rsidRPr="00D87562">
        <w:rPr>
          <w:sz w:val="28"/>
          <w:szCs w:val="28"/>
          <w:lang w:eastAsia="uk-UA"/>
        </w:rPr>
        <w:t xml:space="preserve"> </w:t>
      </w:r>
    </w:p>
    <w:p w14:paraId="7B2DF080" w14:textId="77777777" w:rsidR="00D474DF" w:rsidRPr="00D87562" w:rsidRDefault="00D474DF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  <w:u w:val="single"/>
        </w:rPr>
        <w:t xml:space="preserve">З метою законодавчого закріплення незалежності </w:t>
      </w:r>
      <w:r w:rsidR="00923F96" w:rsidRPr="00D87562">
        <w:rPr>
          <w:sz w:val="28"/>
          <w:szCs w:val="28"/>
          <w:u w:val="single"/>
        </w:rPr>
        <w:t xml:space="preserve">та спроможності </w:t>
      </w:r>
      <w:r w:rsidR="005C2FE6" w:rsidRPr="00D87562">
        <w:rPr>
          <w:sz w:val="28"/>
          <w:szCs w:val="28"/>
          <w:u w:val="single"/>
        </w:rPr>
        <w:t>вітчизняного регулятора ринків капіталу та організованих товарних ринків</w:t>
      </w:r>
      <w:r w:rsidR="005C2FE6" w:rsidRPr="00D87562" w:rsidDel="005C2FE6">
        <w:rPr>
          <w:sz w:val="28"/>
          <w:szCs w:val="28"/>
          <w:u w:val="single"/>
        </w:rPr>
        <w:t xml:space="preserve"> </w:t>
      </w:r>
      <w:r w:rsidR="00D00EEE" w:rsidRPr="00D87562">
        <w:rPr>
          <w:sz w:val="28"/>
          <w:szCs w:val="28"/>
          <w:u w:val="single"/>
        </w:rPr>
        <w:t xml:space="preserve">у </w:t>
      </w:r>
      <w:r w:rsidR="001B2334" w:rsidRPr="00D87562">
        <w:rPr>
          <w:sz w:val="28"/>
          <w:szCs w:val="28"/>
          <w:u w:val="single"/>
        </w:rPr>
        <w:t>Законо</w:t>
      </w:r>
      <w:r w:rsidR="000E2A8A">
        <w:rPr>
          <w:sz w:val="28"/>
          <w:szCs w:val="28"/>
          <w:u w:val="single"/>
        </w:rPr>
        <w:t>проєкт</w:t>
      </w:r>
      <w:r w:rsidR="001B2334" w:rsidRPr="00D87562">
        <w:rPr>
          <w:sz w:val="28"/>
          <w:szCs w:val="28"/>
          <w:u w:val="single"/>
        </w:rPr>
        <w:t>і</w:t>
      </w:r>
      <w:r w:rsidR="003132AE" w:rsidRPr="00D87562">
        <w:rPr>
          <w:sz w:val="28"/>
          <w:szCs w:val="28"/>
          <w:u w:val="single"/>
        </w:rPr>
        <w:t xml:space="preserve"> </w:t>
      </w:r>
      <w:r w:rsidRPr="00D87562">
        <w:rPr>
          <w:sz w:val="28"/>
          <w:szCs w:val="28"/>
          <w:u w:val="single"/>
        </w:rPr>
        <w:t>передбачається</w:t>
      </w:r>
      <w:r w:rsidR="00D00EEE" w:rsidRPr="00D87562">
        <w:rPr>
          <w:sz w:val="28"/>
          <w:szCs w:val="28"/>
          <w:u w:val="single"/>
        </w:rPr>
        <w:t xml:space="preserve"> наступне</w:t>
      </w:r>
      <w:r w:rsidRPr="00D87562">
        <w:rPr>
          <w:sz w:val="28"/>
          <w:szCs w:val="28"/>
          <w:u w:val="single"/>
        </w:rPr>
        <w:t>:</w:t>
      </w:r>
    </w:p>
    <w:p w14:paraId="7B2DF081" w14:textId="77777777" w:rsidR="00D474DF" w:rsidRPr="00D87562" w:rsidRDefault="00D474DF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1) закріплення у законодавстві гарантій незалежності Комісії, зокрема, шляхом передбачення:</w:t>
      </w:r>
    </w:p>
    <w:p w14:paraId="7B2DF082" w14:textId="77777777" w:rsidR="00582DB8" w:rsidRPr="00D87562" w:rsidRDefault="00D474DF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  <w:r w:rsidRPr="00D87562">
        <w:rPr>
          <w:rFonts w:ascii="Times New Roman" w:hAnsi="Times New Roman"/>
          <w:sz w:val="28"/>
          <w:szCs w:val="28"/>
        </w:rPr>
        <w:t>-</w:t>
      </w:r>
      <w:r w:rsidR="00D00EEE" w:rsidRPr="00804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EEE" w:rsidRPr="00D87562">
        <w:rPr>
          <w:rFonts w:ascii="Times New Roman" w:hAnsi="Times New Roman"/>
          <w:color w:val="000000"/>
          <w:sz w:val="28"/>
          <w:szCs w:val="28"/>
        </w:rPr>
        <w:t>операційної незалежності Комісії  при здійсненні своїх повноважень</w:t>
      </w:r>
      <w:r w:rsidR="003D7EE2" w:rsidRPr="00D87562">
        <w:rPr>
          <w:rFonts w:ascii="Times New Roman" w:hAnsi="Times New Roman"/>
          <w:sz w:val="28"/>
          <w:szCs w:val="28"/>
        </w:rPr>
        <w:t>;</w:t>
      </w:r>
    </w:p>
    <w:p w14:paraId="7B2DF083" w14:textId="77777777" w:rsidR="00D9171D" w:rsidRPr="00D87562" w:rsidRDefault="005C2FE6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  <w:r w:rsidRPr="00D8756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171D" w:rsidRPr="00D87562">
        <w:rPr>
          <w:rFonts w:ascii="Times New Roman" w:hAnsi="Times New Roman"/>
          <w:color w:val="000000"/>
          <w:sz w:val="28"/>
          <w:szCs w:val="28"/>
        </w:rPr>
        <w:t>захисту працівників Комісії від будь-якого незаконного впливу, тиску, втручання;</w:t>
      </w:r>
    </w:p>
    <w:p w14:paraId="7B2DF084" w14:textId="77777777" w:rsidR="00D474DF" w:rsidRPr="00D87562" w:rsidRDefault="00D474DF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  <w:r w:rsidRPr="00D87562">
        <w:rPr>
          <w:rFonts w:ascii="Times New Roman" w:hAnsi="Times New Roman"/>
          <w:sz w:val="28"/>
          <w:szCs w:val="28"/>
        </w:rPr>
        <w:t xml:space="preserve">- установлення </w:t>
      </w:r>
      <w:r w:rsidR="00582DB8" w:rsidRPr="00D87562">
        <w:rPr>
          <w:rFonts w:ascii="Times New Roman" w:hAnsi="Times New Roman"/>
          <w:sz w:val="28"/>
          <w:szCs w:val="28"/>
        </w:rPr>
        <w:t>особливостей</w:t>
      </w:r>
      <w:r w:rsidR="00582DB8" w:rsidRPr="00D87562">
        <w:rPr>
          <w:rFonts w:ascii="Times New Roman" w:hAnsi="Times New Roman"/>
          <w:b/>
          <w:sz w:val="28"/>
          <w:szCs w:val="28"/>
        </w:rPr>
        <w:t xml:space="preserve"> </w:t>
      </w:r>
      <w:r w:rsidRPr="00D87562">
        <w:rPr>
          <w:rFonts w:ascii="Times New Roman" w:hAnsi="Times New Roman"/>
          <w:sz w:val="28"/>
          <w:szCs w:val="28"/>
        </w:rPr>
        <w:t>фінансування та матеріально-технічного забезпечення</w:t>
      </w:r>
      <w:r w:rsidR="00582DB8" w:rsidRPr="00D87562">
        <w:rPr>
          <w:rFonts w:ascii="Times New Roman" w:hAnsi="Times New Roman"/>
          <w:sz w:val="28"/>
          <w:szCs w:val="28"/>
        </w:rPr>
        <w:t xml:space="preserve"> діяльності</w:t>
      </w:r>
      <w:r w:rsidRPr="00D87562">
        <w:rPr>
          <w:rFonts w:ascii="Times New Roman" w:hAnsi="Times New Roman"/>
          <w:sz w:val="28"/>
          <w:szCs w:val="28"/>
        </w:rPr>
        <w:t xml:space="preserve"> Комісії;</w:t>
      </w:r>
    </w:p>
    <w:p w14:paraId="7B2DF085" w14:textId="77777777" w:rsidR="003471D1" w:rsidRPr="00D87562" w:rsidRDefault="00D474DF" w:rsidP="00A76F51">
      <w:pPr>
        <w:widowControl w:val="0"/>
        <w:tabs>
          <w:tab w:val="left" w:pos="900"/>
          <w:tab w:val="left" w:pos="954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2) </w:t>
      </w:r>
      <w:r w:rsidR="007176A6" w:rsidRPr="00D87562">
        <w:rPr>
          <w:sz w:val="28"/>
          <w:szCs w:val="28"/>
        </w:rPr>
        <w:t xml:space="preserve">надання можливості </w:t>
      </w:r>
      <w:r w:rsidRPr="00D87562">
        <w:rPr>
          <w:color w:val="000000"/>
          <w:spacing w:val="5"/>
          <w:sz w:val="28"/>
          <w:szCs w:val="28"/>
        </w:rPr>
        <w:t xml:space="preserve">здійснення фінансування та </w:t>
      </w:r>
      <w:r w:rsidRPr="00D87562">
        <w:rPr>
          <w:sz w:val="28"/>
          <w:szCs w:val="28"/>
        </w:rPr>
        <w:t>матеріально-технічного забезпечення</w:t>
      </w:r>
      <w:r w:rsidRPr="00D87562">
        <w:rPr>
          <w:color w:val="000000"/>
          <w:spacing w:val="5"/>
          <w:sz w:val="28"/>
          <w:szCs w:val="28"/>
        </w:rPr>
        <w:t xml:space="preserve"> Комісії за рахунок </w:t>
      </w:r>
      <w:r w:rsidRPr="00D87562">
        <w:rPr>
          <w:sz w:val="28"/>
          <w:szCs w:val="28"/>
        </w:rPr>
        <w:t>надходжен</w:t>
      </w:r>
      <w:r w:rsidR="007176A6" w:rsidRPr="00D87562">
        <w:rPr>
          <w:sz w:val="28"/>
          <w:szCs w:val="28"/>
        </w:rPr>
        <w:t>ь</w:t>
      </w:r>
      <w:r w:rsidRPr="00D87562">
        <w:rPr>
          <w:sz w:val="28"/>
          <w:szCs w:val="28"/>
        </w:rPr>
        <w:t xml:space="preserve"> від надання Ко</w:t>
      </w:r>
      <w:r w:rsidR="001C3EC3" w:rsidRPr="00D87562">
        <w:rPr>
          <w:sz w:val="28"/>
          <w:szCs w:val="28"/>
        </w:rPr>
        <w:t xml:space="preserve">місією адміністративних послуг, </w:t>
      </w:r>
      <w:r w:rsidR="003D7EE2" w:rsidRPr="00D87562">
        <w:rPr>
          <w:sz w:val="28"/>
          <w:szCs w:val="28"/>
        </w:rPr>
        <w:t xml:space="preserve">сплати </w:t>
      </w:r>
      <w:r w:rsidRPr="00D87562">
        <w:rPr>
          <w:sz w:val="28"/>
          <w:szCs w:val="28"/>
        </w:rPr>
        <w:t>внесків</w:t>
      </w:r>
      <w:r w:rsidR="003D7EE2" w:rsidRPr="00D87562">
        <w:rPr>
          <w:b/>
          <w:sz w:val="28"/>
          <w:szCs w:val="28"/>
        </w:rPr>
        <w:t xml:space="preserve"> </w:t>
      </w:r>
      <w:r w:rsidR="003D7EE2" w:rsidRPr="00D87562">
        <w:rPr>
          <w:sz w:val="28"/>
          <w:szCs w:val="28"/>
        </w:rPr>
        <w:t>на регулювання</w:t>
      </w:r>
      <w:r w:rsidRPr="00D87562">
        <w:rPr>
          <w:sz w:val="28"/>
          <w:szCs w:val="28"/>
        </w:rPr>
        <w:t xml:space="preserve"> </w:t>
      </w:r>
      <w:r w:rsidR="00D9171D" w:rsidRPr="00D87562">
        <w:rPr>
          <w:sz w:val="28"/>
          <w:szCs w:val="28"/>
        </w:rPr>
        <w:t xml:space="preserve">професійними </w:t>
      </w:r>
      <w:r w:rsidRPr="00D87562">
        <w:rPr>
          <w:sz w:val="28"/>
          <w:szCs w:val="28"/>
        </w:rPr>
        <w:t xml:space="preserve">учасниками </w:t>
      </w:r>
      <w:r w:rsidR="00D9171D" w:rsidRPr="00D87562">
        <w:rPr>
          <w:sz w:val="28"/>
          <w:szCs w:val="28"/>
        </w:rPr>
        <w:t xml:space="preserve"> ринків капіталу та організованих товарних ринків </w:t>
      </w:r>
      <w:r w:rsidR="007176A6" w:rsidRPr="00D87562">
        <w:rPr>
          <w:sz w:val="28"/>
          <w:szCs w:val="28"/>
        </w:rPr>
        <w:t>та коштів, які надходять для Комісії в рамках програм допомоги Європейського Союзу, урядів іноземних держав, міжнародних організацій, донорських установ, інших джерел, не заборонених законодавством</w:t>
      </w:r>
      <w:r w:rsidR="00105923" w:rsidRPr="00D87562">
        <w:rPr>
          <w:sz w:val="28"/>
          <w:szCs w:val="28"/>
        </w:rPr>
        <w:t>, а також</w:t>
      </w:r>
      <w:r w:rsidRPr="00D87562">
        <w:rPr>
          <w:sz w:val="28"/>
          <w:szCs w:val="28"/>
        </w:rPr>
        <w:t xml:space="preserve"> </w:t>
      </w:r>
      <w:r w:rsidR="003471D1" w:rsidRPr="00D87562">
        <w:rPr>
          <w:sz w:val="28"/>
          <w:szCs w:val="28"/>
        </w:rPr>
        <w:t xml:space="preserve">надання Комісії права самостійно розподіляти та </w:t>
      </w:r>
      <w:r w:rsidR="001D0BD8" w:rsidRPr="00D87562">
        <w:rPr>
          <w:sz w:val="28"/>
          <w:szCs w:val="28"/>
        </w:rPr>
        <w:t>розпоряджатися</w:t>
      </w:r>
      <w:r w:rsidR="003B4FB9" w:rsidRPr="00D87562">
        <w:rPr>
          <w:sz w:val="28"/>
          <w:szCs w:val="28"/>
        </w:rPr>
        <w:t xml:space="preserve"> такими коштами;</w:t>
      </w:r>
    </w:p>
    <w:p w14:paraId="7B2DF086" w14:textId="77777777" w:rsidR="003B4FB9" w:rsidRPr="00D87562" w:rsidRDefault="003B4FB9" w:rsidP="00A76F51">
      <w:pPr>
        <w:widowControl w:val="0"/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3)</w:t>
      </w:r>
      <w:r w:rsidRPr="00D87562">
        <w:rPr>
          <w:color w:val="000000"/>
          <w:spacing w:val="5"/>
          <w:sz w:val="28"/>
          <w:szCs w:val="28"/>
        </w:rPr>
        <w:t xml:space="preserve"> </w:t>
      </w:r>
      <w:r w:rsidR="002F6F55" w:rsidRPr="00D87562">
        <w:rPr>
          <w:color w:val="000000"/>
          <w:spacing w:val="5"/>
          <w:sz w:val="28"/>
          <w:szCs w:val="28"/>
        </w:rPr>
        <w:t>забезпечення нагляду за процесом формування кошторису Комісії та контролю за його використанням</w:t>
      </w:r>
      <w:r w:rsidRPr="00D87562">
        <w:rPr>
          <w:sz w:val="28"/>
          <w:szCs w:val="28"/>
        </w:rPr>
        <w:t>;</w:t>
      </w:r>
    </w:p>
    <w:p w14:paraId="7B2DF087" w14:textId="77777777" w:rsidR="00D474DF" w:rsidRPr="00D87562" w:rsidRDefault="003B4FB9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color w:val="000000"/>
          <w:spacing w:val="5"/>
          <w:sz w:val="28"/>
          <w:szCs w:val="28"/>
        </w:rPr>
        <w:t>4</w:t>
      </w:r>
      <w:r w:rsidR="00D474DF" w:rsidRPr="00D87562">
        <w:rPr>
          <w:color w:val="000000"/>
          <w:spacing w:val="5"/>
          <w:sz w:val="28"/>
          <w:szCs w:val="28"/>
        </w:rPr>
        <w:t xml:space="preserve">) </w:t>
      </w:r>
      <w:r w:rsidR="00D474DF" w:rsidRPr="00D87562">
        <w:rPr>
          <w:sz w:val="28"/>
          <w:szCs w:val="28"/>
        </w:rPr>
        <w:t xml:space="preserve">закріплення </w:t>
      </w:r>
      <w:r w:rsidR="00105923" w:rsidRPr="00D87562">
        <w:rPr>
          <w:sz w:val="28"/>
          <w:szCs w:val="28"/>
        </w:rPr>
        <w:t>особливостей</w:t>
      </w:r>
      <w:r w:rsidR="00D474DF" w:rsidRPr="00D87562">
        <w:rPr>
          <w:sz w:val="28"/>
          <w:szCs w:val="28"/>
        </w:rPr>
        <w:t xml:space="preserve"> порядку прийняття, </w:t>
      </w:r>
      <w:r w:rsidR="00105923" w:rsidRPr="00D87562">
        <w:rPr>
          <w:sz w:val="28"/>
          <w:szCs w:val="28"/>
        </w:rPr>
        <w:t xml:space="preserve">набуття чинності </w:t>
      </w:r>
      <w:r w:rsidR="00D474DF" w:rsidRPr="00D87562">
        <w:rPr>
          <w:sz w:val="28"/>
          <w:szCs w:val="28"/>
        </w:rPr>
        <w:t xml:space="preserve">та оскарження актів Комісії; </w:t>
      </w:r>
    </w:p>
    <w:p w14:paraId="7B2DF088" w14:textId="77777777" w:rsidR="00D474DF" w:rsidRPr="00D87562" w:rsidRDefault="003B4FB9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color w:val="000000"/>
          <w:spacing w:val="5"/>
          <w:sz w:val="28"/>
          <w:szCs w:val="28"/>
        </w:rPr>
        <w:t>5</w:t>
      </w:r>
      <w:r w:rsidR="00D474DF" w:rsidRPr="00D87562">
        <w:rPr>
          <w:color w:val="000000"/>
          <w:spacing w:val="5"/>
          <w:sz w:val="28"/>
          <w:szCs w:val="28"/>
        </w:rPr>
        <w:t xml:space="preserve">) </w:t>
      </w:r>
      <w:r w:rsidR="001D0BD8" w:rsidRPr="00D87562">
        <w:rPr>
          <w:color w:val="000000"/>
          <w:spacing w:val="5"/>
          <w:sz w:val="28"/>
          <w:szCs w:val="28"/>
        </w:rPr>
        <w:t xml:space="preserve">закріплення статусу </w:t>
      </w:r>
      <w:r w:rsidR="00C950A5" w:rsidRPr="00D87562">
        <w:rPr>
          <w:color w:val="000000"/>
          <w:spacing w:val="5"/>
          <w:sz w:val="28"/>
          <w:szCs w:val="28"/>
        </w:rPr>
        <w:t>працівників Комісії</w:t>
      </w:r>
      <w:r w:rsidR="00A70F24" w:rsidRPr="00D87562">
        <w:rPr>
          <w:color w:val="000000"/>
          <w:spacing w:val="5"/>
          <w:sz w:val="28"/>
          <w:szCs w:val="28"/>
        </w:rPr>
        <w:t>,</w:t>
      </w:r>
      <w:r w:rsidR="00C950A5" w:rsidRPr="00D87562">
        <w:rPr>
          <w:color w:val="000000"/>
          <w:spacing w:val="5"/>
          <w:sz w:val="28"/>
          <w:szCs w:val="28"/>
        </w:rPr>
        <w:t xml:space="preserve"> </w:t>
      </w:r>
      <w:r w:rsidR="007E60AC" w:rsidRPr="00D87562">
        <w:rPr>
          <w:sz w:val="28"/>
          <w:szCs w:val="28"/>
        </w:rPr>
        <w:t xml:space="preserve">передбачення </w:t>
      </w:r>
      <w:r w:rsidR="00C950A5" w:rsidRPr="00D87562">
        <w:rPr>
          <w:sz w:val="28"/>
          <w:szCs w:val="28"/>
        </w:rPr>
        <w:t xml:space="preserve">для них </w:t>
      </w:r>
      <w:r w:rsidR="00C950A5" w:rsidRPr="00D87562">
        <w:rPr>
          <w:sz w:val="28"/>
          <w:szCs w:val="28"/>
        </w:rPr>
        <w:lastRenderedPageBreak/>
        <w:t>заборон та обмежень, а також</w:t>
      </w:r>
      <w:r w:rsidR="00D474DF" w:rsidRPr="00D87562">
        <w:rPr>
          <w:sz w:val="28"/>
          <w:szCs w:val="28"/>
        </w:rPr>
        <w:t xml:space="preserve"> </w:t>
      </w:r>
      <w:r w:rsidR="007E60AC" w:rsidRPr="00D87562">
        <w:rPr>
          <w:sz w:val="28"/>
          <w:szCs w:val="28"/>
        </w:rPr>
        <w:t xml:space="preserve">встановлення </w:t>
      </w:r>
      <w:r w:rsidR="00C950A5" w:rsidRPr="00D87562">
        <w:rPr>
          <w:sz w:val="28"/>
          <w:szCs w:val="28"/>
        </w:rPr>
        <w:t xml:space="preserve">їх </w:t>
      </w:r>
      <w:r w:rsidR="00105923" w:rsidRPr="00D87562">
        <w:rPr>
          <w:sz w:val="28"/>
          <w:szCs w:val="28"/>
        </w:rPr>
        <w:t>відповідальності</w:t>
      </w:r>
      <w:r w:rsidR="008E0E9E" w:rsidRPr="00D87562">
        <w:rPr>
          <w:sz w:val="28"/>
          <w:szCs w:val="28"/>
        </w:rPr>
        <w:t>;</w:t>
      </w:r>
    </w:p>
    <w:p w14:paraId="7B2DF089" w14:textId="77777777" w:rsidR="007176A6" w:rsidRPr="00D87562" w:rsidRDefault="003B4FB9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6</w:t>
      </w:r>
      <w:r w:rsidR="008E0E9E" w:rsidRPr="00D87562">
        <w:rPr>
          <w:sz w:val="28"/>
          <w:szCs w:val="28"/>
        </w:rPr>
        <w:t xml:space="preserve">) врегулювання питання проведення  Комісією </w:t>
      </w:r>
      <w:r w:rsidR="00D9171D" w:rsidRPr="00D87562">
        <w:rPr>
          <w:sz w:val="28"/>
          <w:szCs w:val="28"/>
        </w:rPr>
        <w:t xml:space="preserve">інспекцій </w:t>
      </w:r>
      <w:r w:rsidR="007176A6" w:rsidRPr="00D87562">
        <w:rPr>
          <w:sz w:val="28"/>
          <w:szCs w:val="28"/>
        </w:rPr>
        <w:t>та</w:t>
      </w:r>
      <w:r w:rsidR="00D9171D" w:rsidRPr="00D87562">
        <w:rPr>
          <w:sz w:val="28"/>
          <w:szCs w:val="28"/>
        </w:rPr>
        <w:t xml:space="preserve"> розслідувань</w:t>
      </w:r>
      <w:r w:rsidR="007176A6" w:rsidRPr="00D87562">
        <w:rPr>
          <w:sz w:val="28"/>
          <w:szCs w:val="28"/>
        </w:rPr>
        <w:t>;</w:t>
      </w:r>
    </w:p>
    <w:p w14:paraId="7B2DF08A" w14:textId="77777777" w:rsidR="008E0E9E" w:rsidRPr="00D87562" w:rsidRDefault="007176A6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7) удосконалення процедури розгляду</w:t>
      </w:r>
      <w:r w:rsidR="00905F01" w:rsidRPr="00D87562">
        <w:rPr>
          <w:sz w:val="28"/>
          <w:szCs w:val="28"/>
        </w:rPr>
        <w:t xml:space="preserve"> Комісією</w:t>
      </w:r>
      <w:r w:rsidRPr="00D87562">
        <w:rPr>
          <w:sz w:val="28"/>
          <w:szCs w:val="28"/>
        </w:rPr>
        <w:t xml:space="preserve"> справ про порушення законодавства</w:t>
      </w:r>
      <w:r w:rsidR="00905F01" w:rsidRPr="00D87562">
        <w:rPr>
          <w:sz w:val="28"/>
          <w:szCs w:val="28"/>
        </w:rPr>
        <w:t xml:space="preserve"> та порядку застосування</w:t>
      </w:r>
      <w:r w:rsidR="006A777B" w:rsidRPr="00D87562">
        <w:rPr>
          <w:sz w:val="28"/>
          <w:szCs w:val="28"/>
        </w:rPr>
        <w:t xml:space="preserve"> заходів впливу та </w:t>
      </w:r>
      <w:r w:rsidR="00923F96" w:rsidRPr="00D87562">
        <w:rPr>
          <w:sz w:val="28"/>
          <w:szCs w:val="28"/>
        </w:rPr>
        <w:t>фінансових</w:t>
      </w:r>
      <w:r w:rsidR="00905F01" w:rsidRPr="00D87562">
        <w:rPr>
          <w:sz w:val="28"/>
          <w:szCs w:val="28"/>
        </w:rPr>
        <w:t xml:space="preserve"> санкцій</w:t>
      </w:r>
      <w:r w:rsidR="008E0E9E" w:rsidRPr="00D87562">
        <w:rPr>
          <w:sz w:val="28"/>
          <w:szCs w:val="28"/>
        </w:rPr>
        <w:t>.</w:t>
      </w:r>
    </w:p>
    <w:p w14:paraId="7B2DF08B" w14:textId="77777777" w:rsidR="00D474DF" w:rsidRPr="00D87562" w:rsidRDefault="00D474DF" w:rsidP="00A76F51">
      <w:pPr>
        <w:widowControl w:val="0"/>
        <w:tabs>
          <w:tab w:val="left" w:pos="90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D87562">
        <w:rPr>
          <w:sz w:val="28"/>
          <w:szCs w:val="28"/>
          <w:u w:val="single"/>
        </w:rPr>
        <w:t xml:space="preserve">З метою створення правових умов для </w:t>
      </w:r>
      <w:r w:rsidR="006F6249" w:rsidRPr="00D87562">
        <w:rPr>
          <w:sz w:val="28"/>
          <w:szCs w:val="28"/>
          <w:u w:val="single"/>
        </w:rPr>
        <w:t>приєднання</w:t>
      </w:r>
      <w:r w:rsidRPr="00D87562">
        <w:rPr>
          <w:sz w:val="28"/>
          <w:szCs w:val="28"/>
          <w:u w:val="single"/>
        </w:rPr>
        <w:t xml:space="preserve"> Комісі</w:t>
      </w:r>
      <w:r w:rsidR="002F6F55" w:rsidRPr="00D87562">
        <w:rPr>
          <w:sz w:val="28"/>
          <w:szCs w:val="28"/>
          <w:u w:val="single"/>
        </w:rPr>
        <w:t>ї</w:t>
      </w:r>
      <w:r w:rsidRPr="00D87562">
        <w:rPr>
          <w:sz w:val="28"/>
          <w:szCs w:val="28"/>
          <w:u w:val="single"/>
        </w:rPr>
        <w:t xml:space="preserve"> </w:t>
      </w:r>
      <w:r w:rsidR="006F6249" w:rsidRPr="00D87562">
        <w:rPr>
          <w:sz w:val="28"/>
          <w:szCs w:val="28"/>
          <w:u w:val="single"/>
        </w:rPr>
        <w:t>до Меморандуму</w:t>
      </w:r>
      <w:r w:rsidR="008E0E9E" w:rsidRPr="00D87562">
        <w:rPr>
          <w:sz w:val="28"/>
          <w:szCs w:val="28"/>
          <w:u w:val="single"/>
        </w:rPr>
        <w:t xml:space="preserve"> IOSCO</w:t>
      </w:r>
      <w:r w:rsidRPr="00D87562">
        <w:rPr>
          <w:sz w:val="28"/>
          <w:szCs w:val="28"/>
        </w:rPr>
        <w:t xml:space="preserve"> та </w:t>
      </w:r>
      <w:r w:rsidR="006F6249" w:rsidRPr="00D87562">
        <w:rPr>
          <w:sz w:val="28"/>
          <w:szCs w:val="28"/>
        </w:rPr>
        <w:t>забезпечення можливості здійснення</w:t>
      </w:r>
      <w:r w:rsidRPr="00D87562">
        <w:rPr>
          <w:sz w:val="28"/>
          <w:szCs w:val="28"/>
        </w:rPr>
        <w:t xml:space="preserve"> міжнародного співробітництва Комісі</w:t>
      </w:r>
      <w:r w:rsidR="006F6249" w:rsidRPr="00D87562">
        <w:rPr>
          <w:sz w:val="28"/>
          <w:szCs w:val="28"/>
        </w:rPr>
        <w:t>єю</w:t>
      </w:r>
      <w:r w:rsidRPr="00D87562">
        <w:rPr>
          <w:sz w:val="28"/>
          <w:szCs w:val="28"/>
        </w:rPr>
        <w:t xml:space="preserve"> </w:t>
      </w:r>
      <w:r w:rsidR="006F6249" w:rsidRPr="00D87562">
        <w:rPr>
          <w:sz w:val="28"/>
          <w:szCs w:val="28"/>
        </w:rPr>
        <w:t>З</w:t>
      </w:r>
      <w:r w:rsidRPr="00D87562">
        <w:rPr>
          <w:sz w:val="28"/>
          <w:szCs w:val="28"/>
        </w:rPr>
        <w:t>аконо</w:t>
      </w:r>
      <w:r w:rsidR="000E2A8A">
        <w:rPr>
          <w:sz w:val="28"/>
          <w:szCs w:val="28"/>
        </w:rPr>
        <w:t>проєкт</w:t>
      </w:r>
      <w:r w:rsidRPr="00D87562">
        <w:rPr>
          <w:sz w:val="28"/>
          <w:szCs w:val="28"/>
        </w:rPr>
        <w:t xml:space="preserve">ом </w:t>
      </w:r>
      <w:r w:rsidR="00D904AB" w:rsidRPr="00D87562">
        <w:rPr>
          <w:sz w:val="28"/>
          <w:szCs w:val="28"/>
        </w:rPr>
        <w:t>пропонується передбачити</w:t>
      </w:r>
      <w:r w:rsidRPr="00D87562">
        <w:rPr>
          <w:sz w:val="28"/>
          <w:szCs w:val="28"/>
        </w:rPr>
        <w:t>:</w:t>
      </w:r>
    </w:p>
    <w:p w14:paraId="7B2DF08C" w14:textId="77777777" w:rsidR="001F51D1" w:rsidRPr="00D87562" w:rsidRDefault="00597877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87562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D474DF" w:rsidRPr="00D87562">
        <w:rPr>
          <w:rFonts w:ascii="Times New Roman" w:hAnsi="Times New Roman"/>
          <w:color w:val="000000"/>
          <w:spacing w:val="5"/>
          <w:sz w:val="28"/>
          <w:szCs w:val="28"/>
        </w:rPr>
        <w:t xml:space="preserve">) надання Комісії </w:t>
      </w:r>
      <w:r w:rsidRPr="00D87562">
        <w:rPr>
          <w:rFonts w:ascii="Times New Roman" w:hAnsi="Times New Roman"/>
          <w:color w:val="000000"/>
          <w:spacing w:val="5"/>
          <w:sz w:val="28"/>
          <w:szCs w:val="28"/>
        </w:rPr>
        <w:t>повноважень</w:t>
      </w:r>
      <w:r w:rsidR="001F51D1" w:rsidRPr="00D87562">
        <w:rPr>
          <w:rFonts w:ascii="Times New Roman" w:hAnsi="Times New Roman"/>
          <w:color w:val="000000"/>
          <w:spacing w:val="5"/>
          <w:sz w:val="28"/>
          <w:szCs w:val="28"/>
        </w:rPr>
        <w:t xml:space="preserve"> щодо </w:t>
      </w:r>
      <w:r w:rsidR="001F51D1" w:rsidRPr="00D87562">
        <w:rPr>
          <w:rFonts w:ascii="Times New Roman" w:hAnsi="Times New Roman"/>
          <w:color w:val="000000"/>
          <w:sz w:val="28"/>
          <w:szCs w:val="28"/>
        </w:rPr>
        <w:t>проведення розслідувань для надання допомоги регулятору іноземної держави у рамках міжнародного співробітництва</w:t>
      </w:r>
      <w:r w:rsidR="00D904AB" w:rsidRPr="00D87562">
        <w:rPr>
          <w:rFonts w:ascii="Times New Roman" w:hAnsi="Times New Roman"/>
          <w:color w:val="000000"/>
          <w:sz w:val="28"/>
          <w:szCs w:val="28"/>
        </w:rPr>
        <w:t>;</w:t>
      </w:r>
    </w:p>
    <w:p w14:paraId="7B2DF08D" w14:textId="77777777" w:rsidR="00D474DF" w:rsidRPr="00D87562" w:rsidRDefault="00597877" w:rsidP="00A76F51">
      <w:pPr>
        <w:widowControl w:val="0"/>
        <w:tabs>
          <w:tab w:val="left" w:pos="90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D87562">
        <w:rPr>
          <w:color w:val="000000"/>
          <w:spacing w:val="5"/>
          <w:sz w:val="28"/>
          <w:szCs w:val="28"/>
        </w:rPr>
        <w:t xml:space="preserve"> </w:t>
      </w:r>
      <w:r w:rsidR="00D904AB" w:rsidRPr="00D87562">
        <w:rPr>
          <w:color w:val="000000"/>
          <w:spacing w:val="5"/>
          <w:sz w:val="28"/>
          <w:szCs w:val="28"/>
        </w:rPr>
        <w:t>2</w:t>
      </w:r>
      <w:r w:rsidR="00D474DF" w:rsidRPr="00D87562">
        <w:rPr>
          <w:color w:val="000000"/>
          <w:spacing w:val="5"/>
          <w:sz w:val="28"/>
          <w:szCs w:val="28"/>
        </w:rPr>
        <w:t>) правові засади здійснення Комісією обміну інформацією</w:t>
      </w:r>
      <w:r w:rsidR="00D904AB" w:rsidRPr="00D87562">
        <w:rPr>
          <w:color w:val="000000"/>
          <w:spacing w:val="5"/>
          <w:sz w:val="28"/>
          <w:szCs w:val="28"/>
        </w:rPr>
        <w:t xml:space="preserve">, зокрема, </w:t>
      </w:r>
      <w:r w:rsidR="00D904AB" w:rsidRPr="00D87562">
        <w:rPr>
          <w:sz w:val="28"/>
          <w:szCs w:val="28"/>
        </w:rPr>
        <w:t>інформацією, яка містить банківську таємницю та персональні данні</w:t>
      </w:r>
      <w:r w:rsidR="008E0E9E" w:rsidRPr="00D87562">
        <w:rPr>
          <w:color w:val="000000"/>
          <w:spacing w:val="5"/>
          <w:sz w:val="28"/>
          <w:szCs w:val="28"/>
        </w:rPr>
        <w:t>,</w:t>
      </w:r>
      <w:r w:rsidR="00D474DF" w:rsidRPr="00D87562">
        <w:rPr>
          <w:color w:val="000000"/>
          <w:spacing w:val="5"/>
          <w:sz w:val="28"/>
          <w:szCs w:val="28"/>
        </w:rPr>
        <w:t xml:space="preserve"> а також забезпечення збереження</w:t>
      </w:r>
      <w:r w:rsidR="00905F01" w:rsidRPr="00D87562">
        <w:rPr>
          <w:color w:val="000000"/>
          <w:spacing w:val="5"/>
          <w:sz w:val="28"/>
          <w:szCs w:val="28"/>
        </w:rPr>
        <w:t xml:space="preserve"> інформації</w:t>
      </w:r>
      <w:r w:rsidR="008E0E9E" w:rsidRPr="00D87562">
        <w:rPr>
          <w:color w:val="000000"/>
          <w:spacing w:val="5"/>
          <w:sz w:val="28"/>
          <w:szCs w:val="28"/>
        </w:rPr>
        <w:t>, отриманої в рамках міжнародного с</w:t>
      </w:r>
      <w:r w:rsidR="00905F01" w:rsidRPr="00D87562">
        <w:rPr>
          <w:color w:val="000000"/>
          <w:spacing w:val="5"/>
          <w:sz w:val="28"/>
          <w:szCs w:val="28"/>
        </w:rPr>
        <w:t>півробітництва</w:t>
      </w:r>
      <w:r w:rsidR="00D474DF" w:rsidRPr="00D87562">
        <w:rPr>
          <w:color w:val="000000"/>
          <w:spacing w:val="5"/>
          <w:sz w:val="28"/>
          <w:szCs w:val="28"/>
        </w:rPr>
        <w:t>.</w:t>
      </w:r>
    </w:p>
    <w:p w14:paraId="7B2DF08E" w14:textId="77777777" w:rsidR="00AF2D9E" w:rsidRPr="00D87562" w:rsidRDefault="006D2AD9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color w:val="000000"/>
          <w:sz w:val="28"/>
          <w:szCs w:val="28"/>
        </w:rPr>
      </w:pPr>
      <w:r w:rsidRPr="00D87562">
        <w:rPr>
          <w:rFonts w:ascii="Times New Roman" w:hAnsi="Times New Roman"/>
          <w:sz w:val="28"/>
          <w:szCs w:val="28"/>
        </w:rPr>
        <w:t>З метою імплементації положень Регламенту ЄС № 596/2014 від 16  квітня 2014 року про зловживання на ринку Законо</w:t>
      </w:r>
      <w:r w:rsidR="000E2A8A">
        <w:rPr>
          <w:rFonts w:ascii="Times New Roman" w:hAnsi="Times New Roman"/>
          <w:sz w:val="28"/>
          <w:szCs w:val="28"/>
        </w:rPr>
        <w:t>проєкт</w:t>
      </w:r>
      <w:r w:rsidRPr="00D87562">
        <w:rPr>
          <w:rFonts w:ascii="Times New Roman" w:hAnsi="Times New Roman"/>
          <w:sz w:val="28"/>
          <w:szCs w:val="28"/>
        </w:rPr>
        <w:t xml:space="preserve">ом, зокрема, </w:t>
      </w:r>
      <w:r w:rsidR="00CE15D5" w:rsidRPr="00D87562">
        <w:rPr>
          <w:rFonts w:ascii="Times New Roman" w:hAnsi="Times New Roman"/>
          <w:sz w:val="28"/>
          <w:szCs w:val="28"/>
        </w:rPr>
        <w:t xml:space="preserve">передбачено </w:t>
      </w:r>
      <w:r w:rsidR="00CE15D5" w:rsidRPr="00D87562">
        <w:rPr>
          <w:rFonts w:ascii="Times New Roman" w:hAnsi="Times New Roman"/>
          <w:color w:val="000000"/>
          <w:sz w:val="28"/>
          <w:szCs w:val="28"/>
        </w:rPr>
        <w:t xml:space="preserve">викладення у новій редакції </w:t>
      </w:r>
      <w:r w:rsidRPr="00D87562">
        <w:rPr>
          <w:rFonts w:ascii="Times New Roman" w:hAnsi="Times New Roman"/>
          <w:color w:val="000000"/>
          <w:sz w:val="28"/>
          <w:szCs w:val="28"/>
        </w:rPr>
        <w:t>Розділ</w:t>
      </w:r>
      <w:r w:rsidR="00CE15D5" w:rsidRPr="00D87562">
        <w:rPr>
          <w:rFonts w:ascii="Times New Roman" w:hAnsi="Times New Roman"/>
          <w:color w:val="000000"/>
          <w:sz w:val="28"/>
          <w:szCs w:val="28"/>
        </w:rPr>
        <w:t>у</w:t>
      </w:r>
      <w:r w:rsidRPr="00D87562">
        <w:rPr>
          <w:rFonts w:ascii="Times New Roman" w:hAnsi="Times New Roman"/>
          <w:color w:val="000000"/>
          <w:sz w:val="28"/>
          <w:szCs w:val="28"/>
        </w:rPr>
        <w:t xml:space="preserve"> ХІІ «Протидія зловживанням на ринках капіталу» Закону України «Про ринк</w:t>
      </w:r>
      <w:r w:rsidR="00AF2D9E" w:rsidRPr="00D87562">
        <w:rPr>
          <w:rFonts w:ascii="Times New Roman" w:hAnsi="Times New Roman"/>
          <w:color w:val="000000"/>
          <w:sz w:val="28"/>
          <w:szCs w:val="28"/>
        </w:rPr>
        <w:t>и капіталу та організовані товарні ринки</w:t>
      </w:r>
      <w:r w:rsidRPr="00D87562">
        <w:rPr>
          <w:rFonts w:ascii="Times New Roman" w:hAnsi="Times New Roman"/>
          <w:color w:val="000000"/>
          <w:sz w:val="28"/>
          <w:szCs w:val="28"/>
        </w:rPr>
        <w:t>»</w:t>
      </w:r>
      <w:r w:rsidR="00AF2D9E" w:rsidRPr="00D87562">
        <w:rPr>
          <w:rFonts w:ascii="Times New Roman" w:hAnsi="Times New Roman"/>
          <w:color w:val="000000"/>
          <w:sz w:val="28"/>
          <w:szCs w:val="28"/>
        </w:rPr>
        <w:t>,</w:t>
      </w:r>
      <w:r w:rsidR="00212E67" w:rsidRPr="00D87562">
        <w:rPr>
          <w:rFonts w:ascii="Times New Roman" w:hAnsi="Times New Roman"/>
          <w:color w:val="000000"/>
          <w:sz w:val="28"/>
          <w:szCs w:val="28"/>
        </w:rPr>
        <w:t xml:space="preserve"> яким</w:t>
      </w:r>
      <w:r w:rsidR="00AF2D9E" w:rsidRPr="00D87562">
        <w:rPr>
          <w:rFonts w:ascii="Times New Roman" w:hAnsi="Times New Roman"/>
          <w:color w:val="000000"/>
          <w:sz w:val="28"/>
          <w:szCs w:val="28"/>
        </w:rPr>
        <w:t xml:space="preserve"> передбачено врегулювання питання протидії маніпулюванню на ринках капіталу</w:t>
      </w:r>
      <w:r w:rsidR="00CE15D5" w:rsidRPr="00D87562">
        <w:rPr>
          <w:rFonts w:ascii="Times New Roman" w:hAnsi="Times New Roman"/>
          <w:color w:val="000000"/>
          <w:sz w:val="28"/>
          <w:szCs w:val="28"/>
        </w:rPr>
        <w:t>,</w:t>
      </w:r>
      <w:r w:rsidR="00AF2D9E" w:rsidRPr="00D87562">
        <w:rPr>
          <w:rFonts w:ascii="Times New Roman" w:hAnsi="Times New Roman"/>
          <w:color w:val="000000"/>
          <w:sz w:val="28"/>
          <w:szCs w:val="28"/>
        </w:rPr>
        <w:t xml:space="preserve"> вчиненню інсайдерських правочинів та неправомірного розкриття інсайдерської інформації. Крім того, зазначений розділ доповнено нормами, які спрямовані на протидію фінансовим пірамідам. </w:t>
      </w:r>
    </w:p>
    <w:p w14:paraId="7B2DF08F" w14:textId="77777777" w:rsidR="00AF2D9E" w:rsidRPr="00D87562" w:rsidRDefault="00517FBB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color w:val="000000"/>
          <w:sz w:val="28"/>
          <w:szCs w:val="28"/>
        </w:rPr>
      </w:pPr>
      <w:r w:rsidRPr="00D87562">
        <w:rPr>
          <w:rFonts w:ascii="Times New Roman" w:hAnsi="Times New Roman"/>
          <w:color w:val="000000"/>
          <w:sz w:val="28"/>
          <w:szCs w:val="28"/>
        </w:rPr>
        <w:t>Також, Законо</w:t>
      </w:r>
      <w:r w:rsidR="000E2A8A">
        <w:rPr>
          <w:rFonts w:ascii="Times New Roman" w:hAnsi="Times New Roman"/>
          <w:color w:val="000000"/>
          <w:sz w:val="28"/>
          <w:szCs w:val="28"/>
        </w:rPr>
        <w:t>проєкт</w:t>
      </w:r>
      <w:r w:rsidRPr="00D87562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212E67" w:rsidRPr="00D87562">
        <w:rPr>
          <w:rFonts w:ascii="Times New Roman" w:hAnsi="Times New Roman"/>
          <w:color w:val="000000"/>
          <w:sz w:val="28"/>
          <w:szCs w:val="28"/>
        </w:rPr>
        <w:t>передбачено доповнення Закону України «Про товарні біржі» новим розділом VI-I «Протидія зловживанням на товарних біржах» з метою врегулювання питання протидії маніпулюванню на організованих товарних ринках</w:t>
      </w:r>
      <w:r w:rsidR="00CE15D5" w:rsidRPr="00D875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2E67" w:rsidRPr="00D87562">
        <w:rPr>
          <w:rFonts w:ascii="Times New Roman" w:hAnsi="Times New Roman"/>
          <w:color w:val="000000"/>
          <w:sz w:val="28"/>
          <w:szCs w:val="28"/>
        </w:rPr>
        <w:t>вчиненню інсайдерських правочинів та неправомірного розкриття інсайдерської інформації.</w:t>
      </w:r>
    </w:p>
    <w:p w14:paraId="7B2DF090" w14:textId="77777777" w:rsidR="006D2AD9" w:rsidRPr="00D87562" w:rsidRDefault="006D2AD9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  <w:r w:rsidRPr="00D87562">
        <w:rPr>
          <w:rFonts w:ascii="Times New Roman" w:hAnsi="Times New Roman"/>
          <w:sz w:val="28"/>
          <w:szCs w:val="28"/>
        </w:rPr>
        <w:t xml:space="preserve"> </w:t>
      </w:r>
    </w:p>
    <w:p w14:paraId="7B2DF091" w14:textId="77777777" w:rsidR="00D474DF" w:rsidRPr="00D87562" w:rsidRDefault="005A00E3" w:rsidP="00A76F51">
      <w:pPr>
        <w:widowControl w:val="0"/>
        <w:tabs>
          <w:tab w:val="left" w:pos="900"/>
        </w:tabs>
        <w:ind w:firstLine="567"/>
        <w:jc w:val="both"/>
        <w:rPr>
          <w:b/>
          <w:bCs/>
          <w:sz w:val="28"/>
          <w:szCs w:val="28"/>
        </w:rPr>
      </w:pPr>
      <w:r w:rsidRPr="00D87562">
        <w:rPr>
          <w:b/>
          <w:bCs/>
          <w:sz w:val="28"/>
          <w:szCs w:val="28"/>
        </w:rPr>
        <w:t>4</w:t>
      </w:r>
      <w:r w:rsidR="005B3C8D" w:rsidRPr="00D87562">
        <w:rPr>
          <w:b/>
          <w:bCs/>
          <w:sz w:val="28"/>
          <w:szCs w:val="28"/>
        </w:rPr>
        <w:t xml:space="preserve">. </w:t>
      </w:r>
      <w:r w:rsidR="00D474DF" w:rsidRPr="00D87562">
        <w:rPr>
          <w:b/>
          <w:bCs/>
          <w:sz w:val="28"/>
          <w:szCs w:val="28"/>
        </w:rPr>
        <w:t>Правові аспекти</w:t>
      </w:r>
    </w:p>
    <w:p w14:paraId="7B2DF092" w14:textId="77777777" w:rsidR="00285308" w:rsidRPr="00D87562" w:rsidRDefault="00285308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Правовідносини у цій сфері регулюються Закон</w:t>
      </w:r>
      <w:r w:rsidR="003B4FB9" w:rsidRPr="00D87562">
        <w:rPr>
          <w:sz w:val="28"/>
          <w:szCs w:val="28"/>
        </w:rPr>
        <w:t>о</w:t>
      </w:r>
      <w:r w:rsidRPr="00D87562">
        <w:rPr>
          <w:sz w:val="28"/>
          <w:szCs w:val="28"/>
        </w:rPr>
        <w:t>м України «</w:t>
      </w:r>
      <w:r w:rsidR="003C707D" w:rsidRPr="00D87562">
        <w:rPr>
          <w:sz w:val="28"/>
          <w:szCs w:val="28"/>
        </w:rPr>
        <w:t>Про Національну комісію</w:t>
      </w:r>
      <w:r w:rsidR="005C2FE6" w:rsidRPr="00D87562">
        <w:rPr>
          <w:sz w:val="28"/>
          <w:szCs w:val="28"/>
        </w:rPr>
        <w:t xml:space="preserve"> з</w:t>
      </w:r>
      <w:r w:rsidR="003C707D" w:rsidRPr="00D87562">
        <w:rPr>
          <w:sz w:val="28"/>
          <w:szCs w:val="28"/>
        </w:rPr>
        <w:t xml:space="preserve"> </w:t>
      </w:r>
      <w:r w:rsidR="00212E67" w:rsidRPr="00D87562">
        <w:rPr>
          <w:sz w:val="28"/>
          <w:szCs w:val="28"/>
        </w:rPr>
        <w:t>цінних паперів та бірж</w:t>
      </w:r>
      <w:r w:rsidR="003B4FB9" w:rsidRPr="00D87562">
        <w:rPr>
          <w:sz w:val="28"/>
          <w:szCs w:val="28"/>
        </w:rPr>
        <w:t>»</w:t>
      </w:r>
      <w:r w:rsidRPr="00D87562">
        <w:rPr>
          <w:sz w:val="28"/>
          <w:szCs w:val="28"/>
        </w:rPr>
        <w:t xml:space="preserve">, іншими законодавчими та нормативно-правовими актами в цій галузі. </w:t>
      </w:r>
    </w:p>
    <w:p w14:paraId="7B2DF093" w14:textId="77777777" w:rsidR="00D95A98" w:rsidRDefault="00D95A98" w:rsidP="00A76F51">
      <w:pPr>
        <w:pStyle w:val="Iauiue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87562">
        <w:rPr>
          <w:sz w:val="28"/>
          <w:szCs w:val="28"/>
          <w:lang w:val="uk-UA"/>
        </w:rPr>
        <w:t>Реалізація акта не потребує внесення змін до інших законів України, але потребуватиме розробки нових нормативно-правових актів.</w:t>
      </w:r>
    </w:p>
    <w:p w14:paraId="7B2DF094" w14:textId="77777777" w:rsidR="00A76F51" w:rsidRPr="00D87562" w:rsidRDefault="00A76F51" w:rsidP="00A76F51">
      <w:pPr>
        <w:pStyle w:val="Iauiue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14:paraId="7B2DF095" w14:textId="77777777" w:rsidR="00285308" w:rsidRPr="00D87562" w:rsidRDefault="005A00E3" w:rsidP="00A76F51">
      <w:pPr>
        <w:widowControl w:val="0"/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D87562">
        <w:rPr>
          <w:b/>
          <w:sz w:val="28"/>
          <w:szCs w:val="28"/>
        </w:rPr>
        <w:t>5</w:t>
      </w:r>
      <w:r w:rsidR="00285308" w:rsidRPr="00D87562">
        <w:rPr>
          <w:b/>
          <w:sz w:val="28"/>
          <w:szCs w:val="28"/>
        </w:rPr>
        <w:t xml:space="preserve">. Фінансово-економічне обґрунтування </w:t>
      </w:r>
    </w:p>
    <w:p w14:paraId="7B2DF096" w14:textId="77777777" w:rsidR="00285308" w:rsidRDefault="00D474DF" w:rsidP="00A76F51">
      <w:pPr>
        <w:pStyle w:val="a7"/>
        <w:widowControl w:val="0"/>
        <w:tabs>
          <w:tab w:val="left" w:pos="900"/>
        </w:tabs>
        <w:spacing w:line="240" w:lineRule="auto"/>
        <w:ind w:firstLine="567"/>
        <w:rPr>
          <w:color w:val="000000"/>
          <w:szCs w:val="28"/>
        </w:rPr>
      </w:pPr>
      <w:r w:rsidRPr="00B55225">
        <w:rPr>
          <w:color w:val="000000"/>
          <w:szCs w:val="28"/>
        </w:rPr>
        <w:t>Реалізація</w:t>
      </w:r>
      <w:r w:rsidR="00285308" w:rsidRPr="00B55225">
        <w:rPr>
          <w:color w:val="000000"/>
          <w:szCs w:val="28"/>
        </w:rPr>
        <w:t xml:space="preserve"> Законо</w:t>
      </w:r>
      <w:r w:rsidR="000E2A8A">
        <w:rPr>
          <w:color w:val="000000"/>
          <w:szCs w:val="28"/>
        </w:rPr>
        <w:t>проєкт</w:t>
      </w:r>
      <w:r w:rsidR="00F472AB" w:rsidRPr="00B55225">
        <w:rPr>
          <w:color w:val="000000"/>
          <w:szCs w:val="28"/>
        </w:rPr>
        <w:t>у</w:t>
      </w:r>
      <w:r w:rsidR="00285308" w:rsidRPr="00B55225">
        <w:rPr>
          <w:color w:val="000000"/>
          <w:szCs w:val="28"/>
        </w:rPr>
        <w:t xml:space="preserve"> потребує додаткових витрат з Державного бюджету України</w:t>
      </w:r>
      <w:r w:rsidR="005C2FE6" w:rsidRPr="00B55225">
        <w:rPr>
          <w:color w:val="000000"/>
          <w:szCs w:val="28"/>
        </w:rPr>
        <w:t xml:space="preserve"> </w:t>
      </w:r>
      <w:r w:rsidR="001B7E28" w:rsidRPr="00B55225">
        <w:rPr>
          <w:color w:val="000000"/>
          <w:szCs w:val="28"/>
        </w:rPr>
        <w:t>на</w:t>
      </w:r>
      <w:r w:rsidR="005C2FE6" w:rsidRPr="00B55225">
        <w:rPr>
          <w:color w:val="000000"/>
          <w:szCs w:val="28"/>
        </w:rPr>
        <w:t xml:space="preserve"> підвищення фінансової спроможності Національної комісії з цінних паперів та бірж</w:t>
      </w:r>
      <w:r w:rsidR="00285308" w:rsidRPr="00B55225">
        <w:rPr>
          <w:color w:val="000000"/>
          <w:szCs w:val="28"/>
        </w:rPr>
        <w:t>.</w:t>
      </w:r>
      <w:r w:rsidR="00CE15D5" w:rsidRPr="00B55225">
        <w:rPr>
          <w:color w:val="000000"/>
          <w:szCs w:val="28"/>
        </w:rPr>
        <w:t xml:space="preserve"> Зазначені витрати будуть нівельовані внаслідок ефекту покращення якості державного регулювання ринків капіталу та організованих товарних ринків</w:t>
      </w:r>
      <w:r w:rsidR="001777B5" w:rsidRPr="00B55225">
        <w:rPr>
          <w:color w:val="000000"/>
          <w:szCs w:val="28"/>
        </w:rPr>
        <w:t>, підвищення ефективності роботи зазначених ринків</w:t>
      </w:r>
      <w:r w:rsidR="00CE15D5" w:rsidRPr="00B55225">
        <w:rPr>
          <w:color w:val="000000"/>
          <w:szCs w:val="28"/>
        </w:rPr>
        <w:t xml:space="preserve"> та </w:t>
      </w:r>
      <w:r w:rsidR="001777B5" w:rsidRPr="00B55225">
        <w:rPr>
          <w:color w:val="000000"/>
          <w:szCs w:val="28"/>
        </w:rPr>
        <w:t>співмірні з</w:t>
      </w:r>
      <w:r w:rsidR="00CE15D5" w:rsidRPr="00B55225">
        <w:rPr>
          <w:color w:val="000000"/>
          <w:szCs w:val="28"/>
        </w:rPr>
        <w:t xml:space="preserve"> надходжен</w:t>
      </w:r>
      <w:r w:rsidR="001777B5" w:rsidRPr="00B55225">
        <w:rPr>
          <w:color w:val="000000"/>
          <w:szCs w:val="28"/>
        </w:rPr>
        <w:t>нями</w:t>
      </w:r>
      <w:r w:rsidR="00CE15D5" w:rsidRPr="00B55225">
        <w:rPr>
          <w:color w:val="000000"/>
          <w:szCs w:val="28"/>
        </w:rPr>
        <w:t xml:space="preserve"> до бюджету </w:t>
      </w:r>
      <w:r w:rsidR="001777B5" w:rsidRPr="00B55225">
        <w:rPr>
          <w:color w:val="000000"/>
          <w:szCs w:val="28"/>
        </w:rPr>
        <w:t xml:space="preserve">від </w:t>
      </w:r>
      <w:r w:rsidR="00CE15D5" w:rsidRPr="00B55225">
        <w:rPr>
          <w:color w:val="000000"/>
          <w:szCs w:val="28"/>
        </w:rPr>
        <w:t>застосування фінансових санкцій (штрафів) за порушення законодавства про ринки капіталу та організовані товарні ринки, законодавства про акціонерні товариства, законодавства про захист прав споживачів.</w:t>
      </w:r>
    </w:p>
    <w:p w14:paraId="7B2DF097" w14:textId="77777777" w:rsidR="00A76F51" w:rsidRPr="00D87562" w:rsidRDefault="00A76F51" w:rsidP="00A76F51">
      <w:pPr>
        <w:pStyle w:val="a7"/>
        <w:widowControl w:val="0"/>
        <w:tabs>
          <w:tab w:val="left" w:pos="900"/>
        </w:tabs>
        <w:spacing w:line="240" w:lineRule="auto"/>
        <w:ind w:firstLine="567"/>
        <w:rPr>
          <w:color w:val="000000"/>
          <w:szCs w:val="28"/>
        </w:rPr>
      </w:pPr>
    </w:p>
    <w:p w14:paraId="7B2DF098" w14:textId="77777777" w:rsidR="00031740" w:rsidRPr="00D87562" w:rsidRDefault="005A00E3" w:rsidP="00A76F51">
      <w:pPr>
        <w:pStyle w:val="ad"/>
        <w:widowControl w:val="0"/>
        <w:tabs>
          <w:tab w:val="left" w:pos="900"/>
        </w:tabs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56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95A98" w:rsidRPr="00D87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740" w:rsidRPr="00D8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40" w:rsidRPr="00D87562">
        <w:rPr>
          <w:rFonts w:ascii="Times New Roman" w:hAnsi="Times New Roman" w:cs="Times New Roman"/>
          <w:b/>
          <w:bCs/>
          <w:sz w:val="28"/>
          <w:szCs w:val="28"/>
        </w:rPr>
        <w:t>Прогноз соціально-економічних та інших наслідків прийняття Закону</w:t>
      </w:r>
    </w:p>
    <w:p w14:paraId="7B2DF099" w14:textId="77777777" w:rsidR="00D95A98" w:rsidRPr="00D87562" w:rsidRDefault="00D95A98" w:rsidP="00A76F51">
      <w:pPr>
        <w:widowControl w:val="0"/>
        <w:tabs>
          <w:tab w:val="left" w:pos="900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D87562">
        <w:rPr>
          <w:sz w:val="28"/>
          <w:szCs w:val="28"/>
        </w:rPr>
        <w:t xml:space="preserve">Прийняття </w:t>
      </w:r>
      <w:r w:rsidR="000E2A8A">
        <w:rPr>
          <w:sz w:val="28"/>
          <w:szCs w:val="28"/>
        </w:rPr>
        <w:t>проєкт</w:t>
      </w:r>
      <w:r w:rsidR="00EE48F3" w:rsidRPr="00D87562">
        <w:rPr>
          <w:sz w:val="28"/>
          <w:szCs w:val="28"/>
        </w:rPr>
        <w:t xml:space="preserve">у Закону України </w:t>
      </w:r>
      <w:r w:rsidR="005C2FE6" w:rsidRPr="00D87562">
        <w:rPr>
          <w:sz w:val="28"/>
          <w:szCs w:val="28"/>
        </w:rPr>
        <w:t>«</w:t>
      </w:r>
      <w:r w:rsidR="003C707D" w:rsidRPr="00D87562">
        <w:rPr>
          <w:sz w:val="28"/>
          <w:szCs w:val="28"/>
        </w:rPr>
        <w:t xml:space="preserve">Про Національну комісію </w:t>
      </w:r>
      <w:r w:rsidR="00212E67" w:rsidRPr="00D87562">
        <w:rPr>
          <w:sz w:val="28"/>
          <w:szCs w:val="28"/>
        </w:rPr>
        <w:t>з цінних паперів та бірж</w:t>
      </w:r>
      <w:r w:rsidR="001B2334" w:rsidRPr="00D87562">
        <w:rPr>
          <w:sz w:val="28"/>
          <w:szCs w:val="28"/>
        </w:rPr>
        <w:t>»</w:t>
      </w:r>
      <w:r w:rsidR="00EE48F3" w:rsidRPr="00D87562">
        <w:rPr>
          <w:sz w:val="28"/>
          <w:szCs w:val="28"/>
        </w:rPr>
        <w:t xml:space="preserve"> </w:t>
      </w:r>
      <w:r w:rsidRPr="00D87562">
        <w:rPr>
          <w:color w:val="000000"/>
          <w:spacing w:val="7"/>
          <w:sz w:val="28"/>
          <w:szCs w:val="28"/>
        </w:rPr>
        <w:t>дозволить:</w:t>
      </w:r>
    </w:p>
    <w:p w14:paraId="7B2DF09A" w14:textId="77777777" w:rsidR="00CD27DD" w:rsidRPr="00D87562" w:rsidRDefault="001C3EC3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color w:val="000000"/>
          <w:spacing w:val="7"/>
          <w:sz w:val="28"/>
          <w:szCs w:val="28"/>
        </w:rPr>
        <w:t xml:space="preserve">- </w:t>
      </w:r>
      <w:r w:rsidR="00CD27DD" w:rsidRPr="00D87562">
        <w:rPr>
          <w:sz w:val="28"/>
          <w:szCs w:val="28"/>
        </w:rPr>
        <w:t xml:space="preserve">з метою запобігання зловживанням на ринках капіталу та організованих товарних ринках </w:t>
      </w:r>
      <w:r w:rsidR="001B2334" w:rsidRPr="00D87562">
        <w:rPr>
          <w:sz w:val="28"/>
          <w:szCs w:val="28"/>
        </w:rPr>
        <w:t>побуд</w:t>
      </w:r>
      <w:r w:rsidR="00CD27DD" w:rsidRPr="00D87562">
        <w:rPr>
          <w:sz w:val="28"/>
          <w:szCs w:val="28"/>
        </w:rPr>
        <w:t>увати</w:t>
      </w:r>
      <w:r w:rsidR="001B2334" w:rsidRPr="00D87562">
        <w:rPr>
          <w:sz w:val="28"/>
          <w:szCs w:val="28"/>
        </w:rPr>
        <w:t xml:space="preserve"> ефективн</w:t>
      </w:r>
      <w:r w:rsidR="00CD27DD" w:rsidRPr="00D87562">
        <w:rPr>
          <w:sz w:val="28"/>
          <w:szCs w:val="28"/>
        </w:rPr>
        <w:t>у</w:t>
      </w:r>
      <w:r w:rsidR="001B2334" w:rsidRPr="00D87562">
        <w:rPr>
          <w:sz w:val="28"/>
          <w:szCs w:val="28"/>
        </w:rPr>
        <w:t xml:space="preserve"> систем</w:t>
      </w:r>
      <w:r w:rsidR="00CD27DD" w:rsidRPr="00D87562">
        <w:rPr>
          <w:sz w:val="28"/>
          <w:szCs w:val="28"/>
        </w:rPr>
        <w:t>у</w:t>
      </w:r>
      <w:r w:rsidR="001B2334" w:rsidRPr="00D87562">
        <w:rPr>
          <w:sz w:val="28"/>
          <w:szCs w:val="28"/>
        </w:rPr>
        <w:t xml:space="preserve"> </w:t>
      </w:r>
      <w:r w:rsidR="00CD27DD" w:rsidRPr="00D87562">
        <w:rPr>
          <w:sz w:val="28"/>
          <w:szCs w:val="28"/>
        </w:rPr>
        <w:t xml:space="preserve">нагляду та правозастосування на зазначених вітчизняних ринках </w:t>
      </w:r>
      <w:r w:rsidR="001B2334" w:rsidRPr="00D87562">
        <w:rPr>
          <w:sz w:val="28"/>
          <w:szCs w:val="28"/>
        </w:rPr>
        <w:t>у відповідності з Принципам IOSCO та положеннями відповідних актів Європейського Союзу, що регулюють питання в сфері боротьби із зловживаннями на ринку</w:t>
      </w:r>
      <w:r w:rsidR="00CD27DD" w:rsidRPr="00D87562">
        <w:rPr>
          <w:sz w:val="28"/>
          <w:szCs w:val="28"/>
        </w:rPr>
        <w:t>;</w:t>
      </w:r>
    </w:p>
    <w:p w14:paraId="7B2DF09B" w14:textId="77777777" w:rsidR="00F472AB" w:rsidRPr="00D87562" w:rsidRDefault="00F472AB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>-</w:t>
      </w:r>
      <w:r w:rsidR="001B2334" w:rsidRPr="00D87562">
        <w:rPr>
          <w:sz w:val="28"/>
          <w:szCs w:val="28"/>
        </w:rPr>
        <w:t xml:space="preserve"> </w:t>
      </w:r>
      <w:bookmarkStart w:id="10" w:name="_Hlk56190919"/>
      <w:r w:rsidR="001B2334" w:rsidRPr="00D87562">
        <w:rPr>
          <w:sz w:val="28"/>
          <w:szCs w:val="28"/>
        </w:rPr>
        <w:t xml:space="preserve">з метою виконання Україною </w:t>
      </w:r>
      <w:bookmarkEnd w:id="10"/>
      <w:r w:rsidRPr="00D87562">
        <w:rPr>
          <w:sz w:val="28"/>
          <w:szCs w:val="28"/>
        </w:rPr>
        <w:t>зобов’язання, визначеного пунктом 24 Меморандуму між Україною та Міжнародним валютним фондом про економічну і фінансову політику, забезпечити приведення повноважень, незалежності та інституційної спроможності національного регулятора фондового ринку у відповідність з Принципам IOSCO;</w:t>
      </w:r>
    </w:p>
    <w:p w14:paraId="7B2DF09C" w14:textId="77777777" w:rsidR="001B2334" w:rsidRPr="00D87562" w:rsidRDefault="00F472AB" w:rsidP="00A76F51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D87562">
        <w:rPr>
          <w:sz w:val="28"/>
          <w:szCs w:val="28"/>
        </w:rPr>
        <w:t xml:space="preserve">- з метою забезпечення виконання Україною </w:t>
      </w:r>
      <w:r w:rsidR="001B2334" w:rsidRPr="00D87562">
        <w:rPr>
          <w:sz w:val="28"/>
          <w:szCs w:val="28"/>
        </w:rPr>
        <w:t>вимог, необхідних для приєднання вітчизняного регулятора фондового ринку до Меморандуму IOSCO, забезпечит</w:t>
      </w:r>
      <w:r w:rsidRPr="00D87562">
        <w:rPr>
          <w:sz w:val="28"/>
          <w:szCs w:val="28"/>
        </w:rPr>
        <w:t>и</w:t>
      </w:r>
      <w:r w:rsidR="001B2334" w:rsidRPr="00D87562">
        <w:rPr>
          <w:sz w:val="28"/>
          <w:szCs w:val="28"/>
        </w:rPr>
        <w:t xml:space="preserve"> правові умови для здійснення ним міжнародної співпраці в сфері боротьби із зловживаннями на ринку</w:t>
      </w:r>
      <w:r w:rsidRPr="00D87562">
        <w:rPr>
          <w:sz w:val="28"/>
          <w:szCs w:val="28"/>
        </w:rPr>
        <w:t>;</w:t>
      </w:r>
    </w:p>
    <w:p w14:paraId="7B2DF09D" w14:textId="77777777" w:rsidR="00D95A98" w:rsidRPr="00D87562" w:rsidRDefault="00D95A98" w:rsidP="00A76F51">
      <w:pPr>
        <w:pStyle w:val="ab"/>
        <w:tabs>
          <w:tab w:val="left" w:pos="0"/>
          <w:tab w:val="left" w:pos="900"/>
        </w:tabs>
        <w:ind w:right="0" w:firstLine="567"/>
        <w:rPr>
          <w:b w:val="0"/>
          <w:sz w:val="28"/>
        </w:rPr>
      </w:pPr>
      <w:r w:rsidRPr="00D87562">
        <w:rPr>
          <w:b w:val="0"/>
          <w:sz w:val="28"/>
        </w:rPr>
        <w:t>- покращ</w:t>
      </w:r>
      <w:r w:rsidR="003B4FB9" w:rsidRPr="00D87562">
        <w:rPr>
          <w:b w:val="0"/>
          <w:sz w:val="28"/>
        </w:rPr>
        <w:t>ити дисциплінованість</w:t>
      </w:r>
      <w:r w:rsidRPr="00D87562">
        <w:rPr>
          <w:b w:val="0"/>
          <w:sz w:val="28"/>
        </w:rPr>
        <w:t xml:space="preserve"> учасників </w:t>
      </w:r>
      <w:r w:rsidR="00330237" w:rsidRPr="00D87562">
        <w:rPr>
          <w:b w:val="0"/>
          <w:sz w:val="28"/>
        </w:rPr>
        <w:t xml:space="preserve">ринків капіталу та організованих товарних ринків </w:t>
      </w:r>
      <w:r w:rsidRPr="00D87562">
        <w:rPr>
          <w:b w:val="0"/>
          <w:sz w:val="28"/>
        </w:rPr>
        <w:t xml:space="preserve">та сприяти боротьбі з </w:t>
      </w:r>
      <w:r w:rsidR="00330237" w:rsidRPr="00D87562">
        <w:rPr>
          <w:b w:val="0"/>
          <w:sz w:val="28"/>
        </w:rPr>
        <w:t xml:space="preserve">порушеннями законодавства </w:t>
      </w:r>
      <w:r w:rsidRPr="00D87562">
        <w:rPr>
          <w:b w:val="0"/>
          <w:sz w:val="28"/>
        </w:rPr>
        <w:t>на</w:t>
      </w:r>
      <w:r w:rsidR="00F472AB" w:rsidRPr="00D87562">
        <w:rPr>
          <w:b w:val="0"/>
          <w:sz w:val="28"/>
        </w:rPr>
        <w:t xml:space="preserve"> зазначених</w:t>
      </w:r>
      <w:r w:rsidR="00330237" w:rsidRPr="00D87562">
        <w:rPr>
          <w:b w:val="0"/>
          <w:sz w:val="28"/>
        </w:rPr>
        <w:t xml:space="preserve"> ринках</w:t>
      </w:r>
      <w:r w:rsidRPr="00D87562">
        <w:rPr>
          <w:b w:val="0"/>
          <w:sz w:val="28"/>
        </w:rPr>
        <w:t>;</w:t>
      </w:r>
    </w:p>
    <w:p w14:paraId="7B2DF09E" w14:textId="77777777" w:rsidR="00B4469E" w:rsidRDefault="00D95A98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  <w:r w:rsidRPr="00D87562">
        <w:rPr>
          <w:rFonts w:ascii="Times New Roman" w:hAnsi="Times New Roman"/>
          <w:b/>
          <w:sz w:val="28"/>
          <w:szCs w:val="28"/>
        </w:rPr>
        <w:t xml:space="preserve">- </w:t>
      </w:r>
      <w:r w:rsidRPr="00D87562">
        <w:rPr>
          <w:rFonts w:ascii="Times New Roman" w:hAnsi="Times New Roman"/>
          <w:sz w:val="28"/>
          <w:szCs w:val="28"/>
        </w:rPr>
        <w:t xml:space="preserve">збільшити інвестиції в економіку України, зокрема через підвищення довіри до </w:t>
      </w:r>
      <w:r w:rsidR="002E5038" w:rsidRPr="00D87562">
        <w:rPr>
          <w:rFonts w:ascii="Times New Roman" w:hAnsi="Times New Roman"/>
          <w:sz w:val="28"/>
          <w:szCs w:val="28"/>
        </w:rPr>
        <w:t xml:space="preserve">ефективності </w:t>
      </w:r>
      <w:r w:rsidRPr="00D87562">
        <w:rPr>
          <w:rFonts w:ascii="Times New Roman" w:hAnsi="Times New Roman"/>
          <w:sz w:val="28"/>
          <w:szCs w:val="28"/>
        </w:rPr>
        <w:t xml:space="preserve">державного регулювання </w:t>
      </w:r>
      <w:r w:rsidR="003C707D" w:rsidRPr="00D87562">
        <w:rPr>
          <w:rFonts w:ascii="Times New Roman" w:hAnsi="Times New Roman"/>
          <w:sz w:val="28"/>
          <w:szCs w:val="28"/>
        </w:rPr>
        <w:t>ринків капіталу та організованих товарних ринків</w:t>
      </w:r>
      <w:r w:rsidRPr="00D87562">
        <w:rPr>
          <w:rFonts w:ascii="Times New Roman" w:hAnsi="Times New Roman"/>
          <w:sz w:val="28"/>
          <w:szCs w:val="28"/>
        </w:rPr>
        <w:t>.</w:t>
      </w:r>
    </w:p>
    <w:p w14:paraId="7B2DF09F" w14:textId="77777777" w:rsidR="00797FDB" w:rsidRDefault="00797FDB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</w:p>
    <w:p w14:paraId="7B2DF0A0" w14:textId="77777777" w:rsidR="00797FDB" w:rsidRDefault="00797FDB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sz w:val="28"/>
          <w:szCs w:val="28"/>
        </w:rPr>
      </w:pPr>
    </w:p>
    <w:p w14:paraId="7B2DF0A1" w14:textId="74BB35C3" w:rsidR="00797FDB" w:rsidRDefault="00797FDB" w:rsidP="00A76F51">
      <w:pPr>
        <w:pStyle w:val="a5"/>
        <w:widowControl w:val="0"/>
        <w:tabs>
          <w:tab w:val="left" w:pos="900"/>
          <w:tab w:val="left" w:pos="954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797FDB">
        <w:rPr>
          <w:rFonts w:ascii="Times New Roman" w:hAnsi="Times New Roman"/>
          <w:b/>
          <w:sz w:val="28"/>
          <w:szCs w:val="28"/>
        </w:rPr>
        <w:t xml:space="preserve">Народний депутат України       </w:t>
      </w:r>
      <w:r w:rsidR="00862CB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97FDB">
        <w:rPr>
          <w:rFonts w:ascii="Times New Roman" w:hAnsi="Times New Roman"/>
          <w:b/>
          <w:sz w:val="28"/>
          <w:szCs w:val="28"/>
        </w:rPr>
        <w:t xml:space="preserve">   Д. </w:t>
      </w:r>
      <w:r w:rsidR="00A76F51">
        <w:rPr>
          <w:rFonts w:ascii="Times New Roman" w:hAnsi="Times New Roman"/>
          <w:b/>
          <w:sz w:val="28"/>
          <w:szCs w:val="28"/>
        </w:rPr>
        <w:t xml:space="preserve">О. </w:t>
      </w:r>
      <w:r w:rsidRPr="00797FDB">
        <w:rPr>
          <w:rFonts w:ascii="Times New Roman" w:hAnsi="Times New Roman"/>
          <w:b/>
          <w:sz w:val="28"/>
          <w:szCs w:val="28"/>
        </w:rPr>
        <w:t>Гетманцев</w:t>
      </w:r>
    </w:p>
    <w:p w14:paraId="286A8C44" w14:textId="42C2F2F7" w:rsidR="00862CB9" w:rsidRPr="00797FDB" w:rsidRDefault="00862CB9" w:rsidP="00862CB9">
      <w:pPr>
        <w:pStyle w:val="a5"/>
        <w:widowControl w:val="0"/>
        <w:tabs>
          <w:tab w:val="left" w:pos="900"/>
          <w:tab w:val="left" w:pos="9540"/>
        </w:tabs>
        <w:spacing w:before="0"/>
        <w:ind w:left="1224" w:firstLine="4440"/>
        <w:rPr>
          <w:rFonts w:ascii="Times New Roman" w:hAnsi="Times New Roman"/>
          <w:b/>
          <w:color w:val="000000"/>
          <w:spacing w:val="5"/>
          <w:sz w:val="28"/>
          <w:szCs w:val="28"/>
          <w:highlight w:val="cyan"/>
        </w:rPr>
      </w:pPr>
      <w:r>
        <w:rPr>
          <w:rFonts w:ascii="Times New Roman" w:hAnsi="Times New Roman"/>
          <w:b/>
          <w:spacing w:val="5"/>
          <w:sz w:val="28"/>
          <w:szCs w:val="28"/>
        </w:rPr>
        <w:t>та інші народні депутати</w:t>
      </w:r>
    </w:p>
    <w:sectPr w:rsidR="00862CB9" w:rsidRPr="00797FDB" w:rsidSect="00D87562">
      <w:footerReference w:type="even" r:id="rId10"/>
      <w:footerReference w:type="default" r:id="rId11"/>
      <w:pgSz w:w="11906" w:h="16838"/>
      <w:pgMar w:top="850" w:right="850" w:bottom="850" w:left="1417" w:header="708" w:footer="7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F3D5" w14:textId="77777777" w:rsidR="00A83C8A" w:rsidRDefault="00A83C8A">
      <w:r>
        <w:separator/>
      </w:r>
    </w:p>
  </w:endnote>
  <w:endnote w:type="continuationSeparator" w:id="0">
    <w:p w14:paraId="3B478254" w14:textId="77777777" w:rsidR="00A83C8A" w:rsidRDefault="00A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0A6" w14:textId="77777777" w:rsidR="00CA0C0D" w:rsidRDefault="00CA0C0D" w:rsidP="00FF59A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B2DF0A7" w14:textId="77777777" w:rsidR="00CA0C0D" w:rsidRDefault="00CA0C0D" w:rsidP="0065749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0A8" w14:textId="45D574BB" w:rsidR="00CA0C0D" w:rsidRDefault="00CA0C0D" w:rsidP="00D87562">
    <w:pPr>
      <w:pStyle w:val="af0"/>
      <w:framePr w:wrap="around" w:vAnchor="text" w:hAnchor="page" w:x="10945" w:y="256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A3FB5">
      <w:rPr>
        <w:rStyle w:val="af4"/>
        <w:noProof/>
      </w:rPr>
      <w:t>2</w:t>
    </w:r>
    <w:r>
      <w:rPr>
        <w:rStyle w:val="af4"/>
      </w:rPr>
      <w:fldChar w:fldCharType="end"/>
    </w:r>
  </w:p>
  <w:p w14:paraId="7B2DF0A9" w14:textId="77777777" w:rsidR="00CA0C0D" w:rsidRDefault="00CA0C0D" w:rsidP="0065749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8A5E" w14:textId="77777777" w:rsidR="00A83C8A" w:rsidRDefault="00A83C8A">
      <w:r>
        <w:separator/>
      </w:r>
    </w:p>
  </w:footnote>
  <w:footnote w:type="continuationSeparator" w:id="0">
    <w:p w14:paraId="0ED50494" w14:textId="77777777" w:rsidR="00A83C8A" w:rsidRDefault="00A8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4"/>
    <w:multiLevelType w:val="hybridMultilevel"/>
    <w:tmpl w:val="FFBEBF46"/>
    <w:lvl w:ilvl="0" w:tplc="A9CEE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3074AA3"/>
    <w:multiLevelType w:val="hybridMultilevel"/>
    <w:tmpl w:val="4D5C4346"/>
    <w:lvl w:ilvl="0" w:tplc="FE744BDC">
      <w:start w:val="1"/>
      <w:numFmt w:val="upperRoman"/>
      <w:lvlText w:val="Розділ 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2E6358C"/>
    <w:multiLevelType w:val="hybridMultilevel"/>
    <w:tmpl w:val="474CA748"/>
    <w:lvl w:ilvl="0" w:tplc="A118B08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5842A51"/>
    <w:multiLevelType w:val="hybridMultilevel"/>
    <w:tmpl w:val="3AE02EF2"/>
    <w:lvl w:ilvl="0" w:tplc="812CDD68">
      <w:start w:val="1"/>
      <w:numFmt w:val="decimal"/>
      <w:lvlText w:val="Стаття %1."/>
      <w:lvlJc w:val="left"/>
      <w:pPr>
        <w:ind w:left="6881" w:hanging="360"/>
      </w:pPr>
      <w:rPr>
        <w:rFonts w:cs="Times New Roman" w:hint="default"/>
        <w:b/>
      </w:rPr>
    </w:lvl>
    <w:lvl w:ilvl="1" w:tplc="2ACE76A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B8D2551"/>
    <w:multiLevelType w:val="hybridMultilevel"/>
    <w:tmpl w:val="131C65F8"/>
    <w:lvl w:ilvl="0" w:tplc="B1686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C82"/>
    <w:multiLevelType w:val="singleLevel"/>
    <w:tmpl w:val="B448B0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A73C9"/>
    <w:multiLevelType w:val="hybridMultilevel"/>
    <w:tmpl w:val="4D5C4346"/>
    <w:lvl w:ilvl="0" w:tplc="FE744BDC">
      <w:start w:val="1"/>
      <w:numFmt w:val="upperRoman"/>
      <w:lvlText w:val="Розділ 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F65209F"/>
    <w:multiLevelType w:val="multilevel"/>
    <w:tmpl w:val="1CAC79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C8D"/>
    <w:rsid w:val="00024C5C"/>
    <w:rsid w:val="000257CE"/>
    <w:rsid w:val="00027210"/>
    <w:rsid w:val="00031740"/>
    <w:rsid w:val="00050975"/>
    <w:rsid w:val="000B08B4"/>
    <w:rsid w:val="000B575C"/>
    <w:rsid w:val="000C2DA5"/>
    <w:rsid w:val="000E0AC1"/>
    <w:rsid w:val="000E2A8A"/>
    <w:rsid w:val="000E445F"/>
    <w:rsid w:val="000F544E"/>
    <w:rsid w:val="00105923"/>
    <w:rsid w:val="00137CA6"/>
    <w:rsid w:val="00145311"/>
    <w:rsid w:val="00150015"/>
    <w:rsid w:val="0015249C"/>
    <w:rsid w:val="00153321"/>
    <w:rsid w:val="00167884"/>
    <w:rsid w:val="001728EE"/>
    <w:rsid w:val="001777B5"/>
    <w:rsid w:val="001A4761"/>
    <w:rsid w:val="001B2334"/>
    <w:rsid w:val="001B3665"/>
    <w:rsid w:val="001B48A5"/>
    <w:rsid w:val="001B530E"/>
    <w:rsid w:val="001B7E28"/>
    <w:rsid w:val="001C3EC3"/>
    <w:rsid w:val="001D0BD8"/>
    <w:rsid w:val="001E729F"/>
    <w:rsid w:val="001F3C89"/>
    <w:rsid w:val="001F51D1"/>
    <w:rsid w:val="00207A70"/>
    <w:rsid w:val="00212E67"/>
    <w:rsid w:val="00224FCB"/>
    <w:rsid w:val="002425E6"/>
    <w:rsid w:val="002661D3"/>
    <w:rsid w:val="00267069"/>
    <w:rsid w:val="00285308"/>
    <w:rsid w:val="00290767"/>
    <w:rsid w:val="002C6DD1"/>
    <w:rsid w:val="002E3FA5"/>
    <w:rsid w:val="002E5038"/>
    <w:rsid w:val="002F14B4"/>
    <w:rsid w:val="002F6C2C"/>
    <w:rsid w:val="002F6F55"/>
    <w:rsid w:val="0030260A"/>
    <w:rsid w:val="003132AE"/>
    <w:rsid w:val="00325948"/>
    <w:rsid w:val="00330237"/>
    <w:rsid w:val="0033269E"/>
    <w:rsid w:val="0034245C"/>
    <w:rsid w:val="003443B3"/>
    <w:rsid w:val="003471D1"/>
    <w:rsid w:val="00355CE1"/>
    <w:rsid w:val="003626B3"/>
    <w:rsid w:val="00387FD0"/>
    <w:rsid w:val="00396F4E"/>
    <w:rsid w:val="003B4FB9"/>
    <w:rsid w:val="003C707D"/>
    <w:rsid w:val="003D1386"/>
    <w:rsid w:val="003D51B2"/>
    <w:rsid w:val="003D5C52"/>
    <w:rsid w:val="003D7EE2"/>
    <w:rsid w:val="003F163A"/>
    <w:rsid w:val="00401366"/>
    <w:rsid w:val="00401C08"/>
    <w:rsid w:val="004266B1"/>
    <w:rsid w:val="00444C3E"/>
    <w:rsid w:val="00451B61"/>
    <w:rsid w:val="00453B3E"/>
    <w:rsid w:val="004741F4"/>
    <w:rsid w:val="00486E38"/>
    <w:rsid w:val="004B306F"/>
    <w:rsid w:val="004C47DF"/>
    <w:rsid w:val="004E01CB"/>
    <w:rsid w:val="004F23ED"/>
    <w:rsid w:val="0050517E"/>
    <w:rsid w:val="0051660B"/>
    <w:rsid w:val="00517FBB"/>
    <w:rsid w:val="00554C7B"/>
    <w:rsid w:val="005816E2"/>
    <w:rsid w:val="00582DB8"/>
    <w:rsid w:val="005839CF"/>
    <w:rsid w:val="00584FE7"/>
    <w:rsid w:val="00597877"/>
    <w:rsid w:val="005A00E3"/>
    <w:rsid w:val="005A1975"/>
    <w:rsid w:val="005B3C8D"/>
    <w:rsid w:val="005B7518"/>
    <w:rsid w:val="005C01F0"/>
    <w:rsid w:val="005C0C80"/>
    <w:rsid w:val="005C2FE6"/>
    <w:rsid w:val="005C569D"/>
    <w:rsid w:val="005C70E3"/>
    <w:rsid w:val="005C762A"/>
    <w:rsid w:val="005E124E"/>
    <w:rsid w:val="005E59C9"/>
    <w:rsid w:val="005E72A2"/>
    <w:rsid w:val="005F451C"/>
    <w:rsid w:val="00621E29"/>
    <w:rsid w:val="00646BDC"/>
    <w:rsid w:val="006540B4"/>
    <w:rsid w:val="0065749A"/>
    <w:rsid w:val="00677C19"/>
    <w:rsid w:val="00695346"/>
    <w:rsid w:val="006A777B"/>
    <w:rsid w:val="006D101A"/>
    <w:rsid w:val="006D2AD9"/>
    <w:rsid w:val="006F3639"/>
    <w:rsid w:val="006F42A4"/>
    <w:rsid w:val="006F6249"/>
    <w:rsid w:val="00705FFB"/>
    <w:rsid w:val="00706413"/>
    <w:rsid w:val="00711806"/>
    <w:rsid w:val="007176A6"/>
    <w:rsid w:val="007218D7"/>
    <w:rsid w:val="00722306"/>
    <w:rsid w:val="007326A9"/>
    <w:rsid w:val="0078019E"/>
    <w:rsid w:val="00797FDB"/>
    <w:rsid w:val="007B0F37"/>
    <w:rsid w:val="007B427A"/>
    <w:rsid w:val="007C4674"/>
    <w:rsid w:val="007D158D"/>
    <w:rsid w:val="007D3DD6"/>
    <w:rsid w:val="007E60AC"/>
    <w:rsid w:val="007E698C"/>
    <w:rsid w:val="008038BD"/>
    <w:rsid w:val="00804088"/>
    <w:rsid w:val="00842830"/>
    <w:rsid w:val="0086182A"/>
    <w:rsid w:val="00862CB9"/>
    <w:rsid w:val="00876012"/>
    <w:rsid w:val="008C5A6B"/>
    <w:rsid w:val="008E0E9E"/>
    <w:rsid w:val="00905F01"/>
    <w:rsid w:val="00907FAC"/>
    <w:rsid w:val="00911CDA"/>
    <w:rsid w:val="00914C92"/>
    <w:rsid w:val="0091622A"/>
    <w:rsid w:val="00917C52"/>
    <w:rsid w:val="00923F96"/>
    <w:rsid w:val="009321D9"/>
    <w:rsid w:val="00940586"/>
    <w:rsid w:val="009714D3"/>
    <w:rsid w:val="00994665"/>
    <w:rsid w:val="00995CFC"/>
    <w:rsid w:val="009C304A"/>
    <w:rsid w:val="009C763C"/>
    <w:rsid w:val="009E006B"/>
    <w:rsid w:val="009E0AC9"/>
    <w:rsid w:val="009F2DD1"/>
    <w:rsid w:val="009F537E"/>
    <w:rsid w:val="00A05287"/>
    <w:rsid w:val="00A1200F"/>
    <w:rsid w:val="00A44B02"/>
    <w:rsid w:val="00A70F24"/>
    <w:rsid w:val="00A76F51"/>
    <w:rsid w:val="00A83C08"/>
    <w:rsid w:val="00A83C8A"/>
    <w:rsid w:val="00A855F5"/>
    <w:rsid w:val="00AA1799"/>
    <w:rsid w:val="00AA5F74"/>
    <w:rsid w:val="00AB5F24"/>
    <w:rsid w:val="00AC2841"/>
    <w:rsid w:val="00AF2D9E"/>
    <w:rsid w:val="00AF4209"/>
    <w:rsid w:val="00B01F76"/>
    <w:rsid w:val="00B030DD"/>
    <w:rsid w:val="00B34368"/>
    <w:rsid w:val="00B4469E"/>
    <w:rsid w:val="00B548B3"/>
    <w:rsid w:val="00B55225"/>
    <w:rsid w:val="00B5739D"/>
    <w:rsid w:val="00B6404F"/>
    <w:rsid w:val="00B82B49"/>
    <w:rsid w:val="00B914AD"/>
    <w:rsid w:val="00B92982"/>
    <w:rsid w:val="00BB7471"/>
    <w:rsid w:val="00BD1D15"/>
    <w:rsid w:val="00BE38AC"/>
    <w:rsid w:val="00BE491E"/>
    <w:rsid w:val="00C04EA8"/>
    <w:rsid w:val="00C31572"/>
    <w:rsid w:val="00C55380"/>
    <w:rsid w:val="00C5585D"/>
    <w:rsid w:val="00C9496E"/>
    <w:rsid w:val="00C950A5"/>
    <w:rsid w:val="00CA0C0D"/>
    <w:rsid w:val="00CA5F54"/>
    <w:rsid w:val="00CD27DD"/>
    <w:rsid w:val="00CE15D5"/>
    <w:rsid w:val="00CE4267"/>
    <w:rsid w:val="00CF095E"/>
    <w:rsid w:val="00CF1290"/>
    <w:rsid w:val="00D00EEE"/>
    <w:rsid w:val="00D049B7"/>
    <w:rsid w:val="00D26D8C"/>
    <w:rsid w:val="00D314C2"/>
    <w:rsid w:val="00D411CF"/>
    <w:rsid w:val="00D42AF6"/>
    <w:rsid w:val="00D474DF"/>
    <w:rsid w:val="00D52FBA"/>
    <w:rsid w:val="00D72952"/>
    <w:rsid w:val="00D87562"/>
    <w:rsid w:val="00D904AB"/>
    <w:rsid w:val="00D9171D"/>
    <w:rsid w:val="00D95A98"/>
    <w:rsid w:val="00DA73AC"/>
    <w:rsid w:val="00DB0707"/>
    <w:rsid w:val="00DC6EB6"/>
    <w:rsid w:val="00DE6A94"/>
    <w:rsid w:val="00DF0F39"/>
    <w:rsid w:val="00DF3550"/>
    <w:rsid w:val="00E1072D"/>
    <w:rsid w:val="00E1239B"/>
    <w:rsid w:val="00E22F9C"/>
    <w:rsid w:val="00E3428C"/>
    <w:rsid w:val="00E81B94"/>
    <w:rsid w:val="00E833E5"/>
    <w:rsid w:val="00E92C6E"/>
    <w:rsid w:val="00EA122F"/>
    <w:rsid w:val="00EA3FB5"/>
    <w:rsid w:val="00ED7120"/>
    <w:rsid w:val="00EE1D85"/>
    <w:rsid w:val="00EE48F3"/>
    <w:rsid w:val="00EF6FDF"/>
    <w:rsid w:val="00F234D0"/>
    <w:rsid w:val="00F4270A"/>
    <w:rsid w:val="00F43F60"/>
    <w:rsid w:val="00F472AB"/>
    <w:rsid w:val="00F710E3"/>
    <w:rsid w:val="00FA11D2"/>
    <w:rsid w:val="00FB05A7"/>
    <w:rsid w:val="00FB1D67"/>
    <w:rsid w:val="00FD3D4F"/>
    <w:rsid w:val="00FF59A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DF050"/>
  <w14:defaultImageDpi w14:val="0"/>
  <w15:docId w15:val="{FBF6FC3D-5B07-CC42-BEF2-F6A6D7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8D"/>
    <w:rPr>
      <w:lang w:eastAsia="ru-RU"/>
    </w:rPr>
  </w:style>
  <w:style w:type="paragraph" w:styleId="1">
    <w:name w:val="heading 1"/>
    <w:aliases w:val="Розділ"/>
    <w:basedOn w:val="a"/>
    <w:next w:val="a"/>
    <w:link w:val="10"/>
    <w:uiPriority w:val="9"/>
    <w:qFormat/>
    <w:rsid w:val="003D1386"/>
    <w:pPr>
      <w:keepNext/>
      <w:keepLines/>
      <w:spacing w:before="240"/>
      <w:outlineLvl w:val="0"/>
    </w:pPr>
    <w:rPr>
      <w:b/>
      <w:sz w:val="28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1) у статті 1:"/>
    <w:basedOn w:val="a"/>
    <w:next w:val="a"/>
    <w:link w:val="30"/>
    <w:uiPriority w:val="9"/>
    <w:unhideWhenUsed/>
    <w:qFormat/>
    <w:rsid w:val="006D2AD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Знак"/>
    <w:link w:val="1"/>
    <w:uiPriority w:val="9"/>
    <w:locked/>
    <w:rsid w:val="003D1386"/>
    <w:rPr>
      <w:rFonts w:cs="Times New Roman"/>
      <w:b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locked/>
    <w:rsid w:val="009714D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1) у статті 1: Знак"/>
    <w:link w:val="3"/>
    <w:uiPriority w:val="9"/>
    <w:locked/>
    <w:rsid w:val="006D2AD9"/>
    <w:rPr>
      <w:rFonts w:ascii="Calibri Light" w:hAnsi="Calibri Light" w:cs="Times New Roman"/>
      <w:color w:val="1F4D78"/>
      <w:sz w:val="24"/>
      <w:szCs w:val="24"/>
      <w:lang w:val="en-US" w:eastAsia="en-US"/>
    </w:rPr>
  </w:style>
  <w:style w:type="paragraph" w:styleId="a3">
    <w:name w:val="Title"/>
    <w:basedOn w:val="a"/>
    <w:link w:val="a4"/>
    <w:uiPriority w:val="10"/>
    <w:qFormat/>
    <w:rsid w:val="005B3C8D"/>
    <w:pPr>
      <w:jc w:val="center"/>
    </w:pPr>
    <w:rPr>
      <w:sz w:val="28"/>
    </w:rPr>
  </w:style>
  <w:style w:type="character" w:customStyle="1" w:styleId="a4">
    <w:name w:val="Назва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a5">
    <w:name w:val="Нормальний текст"/>
    <w:basedOn w:val="a"/>
    <w:rsid w:val="00F4270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6">
    <w:name w:val="Назва документа"/>
    <w:basedOn w:val="a"/>
    <w:next w:val="a"/>
    <w:rsid w:val="005B3C8D"/>
    <w:pPr>
      <w:keepNext/>
      <w:keepLines/>
      <w:spacing w:before="360" w:after="360"/>
      <w:jc w:val="center"/>
    </w:pPr>
    <w:rPr>
      <w:rFonts w:ascii="Antiqua" w:hAnsi="Antiqua"/>
      <w:b/>
      <w:sz w:val="26"/>
    </w:rPr>
  </w:style>
  <w:style w:type="paragraph" w:styleId="a7">
    <w:name w:val="Body Text"/>
    <w:basedOn w:val="a"/>
    <w:link w:val="a8"/>
    <w:uiPriority w:val="99"/>
    <w:rsid w:val="00285308"/>
    <w:pPr>
      <w:spacing w:line="260" w:lineRule="auto"/>
      <w:jc w:val="both"/>
    </w:pPr>
    <w:rPr>
      <w:sz w:val="28"/>
    </w:rPr>
  </w:style>
  <w:style w:type="character" w:customStyle="1" w:styleId="a8">
    <w:name w:val="Основний текст Знак"/>
    <w:link w:val="a7"/>
    <w:uiPriority w:val="99"/>
    <w:semiHidden/>
    <w:locked/>
    <w:rPr>
      <w:rFonts w:cs="Times New Roman"/>
      <w:lang w:val="x-none" w:eastAsia="ru-RU"/>
    </w:rPr>
  </w:style>
  <w:style w:type="paragraph" w:styleId="21">
    <w:name w:val="Body Text 2"/>
    <w:basedOn w:val="a"/>
    <w:link w:val="22"/>
    <w:uiPriority w:val="99"/>
    <w:rsid w:val="00285308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locked/>
    <w:rPr>
      <w:rFonts w:cs="Times New Roman"/>
      <w:lang w:val="x-none" w:eastAsia="ru-RU"/>
    </w:rPr>
  </w:style>
  <w:style w:type="paragraph" w:styleId="a9">
    <w:name w:val="Body Text Indent"/>
    <w:basedOn w:val="a"/>
    <w:link w:val="aa"/>
    <w:uiPriority w:val="99"/>
    <w:rsid w:val="00285308"/>
    <w:pPr>
      <w:spacing w:line="260" w:lineRule="auto"/>
      <w:ind w:firstLine="567"/>
      <w:jc w:val="both"/>
    </w:pPr>
    <w:rPr>
      <w:sz w:val="28"/>
    </w:rPr>
  </w:style>
  <w:style w:type="character" w:customStyle="1" w:styleId="aa">
    <w:name w:val="Основний текст з відступом Знак"/>
    <w:link w:val="a9"/>
    <w:uiPriority w:val="99"/>
    <w:semiHidden/>
    <w:locked/>
    <w:rPr>
      <w:rFonts w:cs="Times New Roman"/>
      <w:lang w:val="x-none" w:eastAsia="ru-RU"/>
    </w:rPr>
  </w:style>
  <w:style w:type="paragraph" w:customStyle="1" w:styleId="ab">
    <w:name w:val="Îñíîâíîé òåêñò ñ îòñòóïîì"/>
    <w:basedOn w:val="a"/>
    <w:rsid w:val="00285308"/>
    <w:pPr>
      <w:widowControl w:val="0"/>
      <w:ind w:right="-766" w:firstLine="720"/>
      <w:jc w:val="both"/>
    </w:pPr>
    <w:rPr>
      <w:b/>
      <w:sz w:val="24"/>
      <w:szCs w:val="28"/>
    </w:rPr>
  </w:style>
  <w:style w:type="paragraph" w:customStyle="1" w:styleId="ac">
    <w:name w:val="! ТХТ"/>
    <w:rsid w:val="00153321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Iauiue">
    <w:name w:val="Iau?iue"/>
    <w:rsid w:val="00D95A98"/>
    <w:pPr>
      <w:widowControl w:val="0"/>
      <w:autoSpaceDE w:val="0"/>
      <w:autoSpaceDN w:val="0"/>
    </w:pPr>
    <w:rPr>
      <w:sz w:val="24"/>
      <w:szCs w:val="24"/>
      <w:lang w:val="ru-RU"/>
    </w:rPr>
  </w:style>
  <w:style w:type="paragraph" w:styleId="23">
    <w:name w:val="Body Text Indent 2"/>
    <w:basedOn w:val="a"/>
    <w:link w:val="24"/>
    <w:uiPriority w:val="99"/>
    <w:rsid w:val="00D95A9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locked/>
    <w:rPr>
      <w:rFonts w:cs="Times New Roman"/>
      <w:lang w:val="x-none" w:eastAsia="ru-RU"/>
    </w:rPr>
  </w:style>
  <w:style w:type="paragraph" w:customStyle="1" w:styleId="ad">
    <w:name w:val="_о___іїР__ ¾¬Ð"/>
    <w:basedOn w:val="a"/>
    <w:rsid w:val="00031740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table" w:styleId="ae">
    <w:name w:val="Table Grid"/>
    <w:basedOn w:val="a1"/>
    <w:uiPriority w:val="39"/>
    <w:rsid w:val="005C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A1975"/>
    <w:rPr>
      <w:rFonts w:ascii="Verdana" w:hAnsi="Verdana"/>
      <w:lang w:val="en-US" w:eastAsia="en-US"/>
    </w:rPr>
  </w:style>
  <w:style w:type="paragraph" w:styleId="af0">
    <w:name w:val="footer"/>
    <w:basedOn w:val="a"/>
    <w:link w:val="af1"/>
    <w:uiPriority w:val="99"/>
    <w:rsid w:val="0065749A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semiHidden/>
    <w:locked/>
    <w:rPr>
      <w:rFonts w:cs="Times New Roman"/>
      <w:lang w:val="x-none" w:eastAsia="ru-RU"/>
    </w:rPr>
  </w:style>
  <w:style w:type="paragraph" w:styleId="af2">
    <w:name w:val="header"/>
    <w:basedOn w:val="a"/>
    <w:link w:val="af3"/>
    <w:uiPriority w:val="99"/>
    <w:rsid w:val="005A00E3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link w:val="af2"/>
    <w:uiPriority w:val="99"/>
    <w:semiHidden/>
    <w:locked/>
    <w:rPr>
      <w:rFonts w:cs="Times New Roman"/>
      <w:lang w:val="x-none" w:eastAsia="ru-RU"/>
    </w:rPr>
  </w:style>
  <w:style w:type="character" w:styleId="af4">
    <w:name w:val="page number"/>
    <w:uiPriority w:val="99"/>
    <w:rsid w:val="0065749A"/>
    <w:rPr>
      <w:rFonts w:cs="Times New Roman"/>
    </w:rPr>
  </w:style>
  <w:style w:type="character" w:styleId="af5">
    <w:name w:val="annotation reference"/>
    <w:uiPriority w:val="99"/>
    <w:rsid w:val="0015249C"/>
    <w:rPr>
      <w:rFonts w:cs="Times New Roman"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584FE7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link w:val="af6"/>
    <w:uiPriority w:val="99"/>
    <w:semiHidden/>
    <w:locked/>
    <w:rPr>
      <w:rFonts w:ascii="Segoe UI Symbol" w:hAnsi="Segoe UI Symbol" w:cs="Segoe UI Symbol"/>
      <w:sz w:val="18"/>
      <w:szCs w:val="18"/>
      <w:lang w:val="x-none" w:eastAsia="ru-RU"/>
    </w:rPr>
  </w:style>
  <w:style w:type="paragraph" w:styleId="af8">
    <w:name w:val="annotation text"/>
    <w:basedOn w:val="a"/>
    <w:link w:val="af9"/>
    <w:uiPriority w:val="99"/>
    <w:rsid w:val="0015249C"/>
  </w:style>
  <w:style w:type="character" w:customStyle="1" w:styleId="af9">
    <w:name w:val="Текст примітки Знак"/>
    <w:link w:val="af8"/>
    <w:uiPriority w:val="99"/>
    <w:locked/>
    <w:rsid w:val="0015249C"/>
    <w:rPr>
      <w:rFonts w:cs="Times New Roman"/>
      <w:lang w:val="x-none" w:eastAsia="ru-RU"/>
    </w:rPr>
  </w:style>
  <w:style w:type="paragraph" w:styleId="afa">
    <w:name w:val="Revision"/>
    <w:hidden/>
    <w:uiPriority w:val="99"/>
    <w:semiHidden/>
    <w:rsid w:val="0015249C"/>
    <w:rPr>
      <w:lang w:eastAsia="ru-RU"/>
    </w:rPr>
  </w:style>
  <w:style w:type="paragraph" w:styleId="afb">
    <w:name w:val="annotation subject"/>
    <w:basedOn w:val="af8"/>
    <w:next w:val="af8"/>
    <w:link w:val="afc"/>
    <w:uiPriority w:val="99"/>
    <w:rsid w:val="0015249C"/>
    <w:rPr>
      <w:b/>
      <w:bCs/>
    </w:rPr>
  </w:style>
  <w:style w:type="character" w:customStyle="1" w:styleId="afc">
    <w:name w:val="Тема примітки Знак"/>
    <w:link w:val="afb"/>
    <w:uiPriority w:val="99"/>
    <w:locked/>
    <w:rsid w:val="0015249C"/>
    <w:rPr>
      <w:rFonts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1703C-4289-480D-BC18-65E08F89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96F9-C2ED-477F-A87B-EC97CDB0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59F99-9B85-4553-94F0-3B75CDE7B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11821</Words>
  <Characters>6739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2021-02-02T14:32:00Z</dcterms:created>
  <dcterms:modified xsi:type="dcterms:W3CDTF">2021-02-02T14:32:00Z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