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08A0C" w14:textId="77777777" w:rsidR="00015F8B" w:rsidRPr="003B3BDE" w:rsidRDefault="00015F8B" w:rsidP="00A55582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14:paraId="096CC98D" w14:textId="77777777" w:rsidR="00015F8B" w:rsidRPr="003B3BDE" w:rsidRDefault="00015F8B" w:rsidP="00A55582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14:paraId="2D7CDBDF" w14:textId="77777777" w:rsidR="00015F8B" w:rsidRPr="003B3BDE" w:rsidRDefault="00015F8B" w:rsidP="00500E97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14:paraId="2A0BD5F3" w14:textId="77777777" w:rsidR="00015F8B" w:rsidRPr="003B3BDE" w:rsidRDefault="00015F8B" w:rsidP="00500E97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14:paraId="231BA040" w14:textId="77777777" w:rsidR="00015F8B" w:rsidRPr="003B3BDE" w:rsidRDefault="00015F8B" w:rsidP="00500E97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14:paraId="75DF69F9" w14:textId="77777777" w:rsidR="00015F8B" w:rsidRPr="003B3BDE" w:rsidRDefault="00015F8B" w:rsidP="00500E97">
      <w:pPr>
        <w:pStyle w:val="7"/>
        <w:keepNext w:val="0"/>
        <w:widowControl w:val="0"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3B3BDE">
        <w:rPr>
          <w:rFonts w:ascii="Times New Roman" w:hAnsi="Times New Roman" w:cs="Times New Roman"/>
        </w:rPr>
        <w:t>ВИСНОВОК</w:t>
      </w:r>
    </w:p>
    <w:p w14:paraId="46BBBEE4" w14:textId="1B8AAD98" w:rsidR="00FD3C3B" w:rsidRDefault="00015F8B" w:rsidP="00500E97">
      <w:pPr>
        <w:pStyle w:val="a3"/>
        <w:widowControl w:val="0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lang w:val="ru-RU"/>
        </w:rPr>
      </w:pPr>
      <w:r w:rsidRPr="003B3BDE">
        <w:rPr>
          <w:rFonts w:ascii="Times New Roman" w:hAnsi="Times New Roman" w:cs="Times New Roman"/>
          <w:b/>
        </w:rPr>
        <w:t xml:space="preserve">на проект Закону України </w:t>
      </w:r>
      <w:bookmarkStart w:id="1" w:name="_Hlk63932684"/>
      <w:r w:rsidRPr="003B3BDE">
        <w:rPr>
          <w:rFonts w:ascii="Times New Roman" w:hAnsi="Times New Roman" w:cs="Times New Roman"/>
          <w:b/>
        </w:rPr>
        <w:t xml:space="preserve">«Про </w:t>
      </w:r>
      <w:r w:rsidR="003B3BDE" w:rsidRPr="003B3BDE">
        <w:rPr>
          <w:rFonts w:ascii="Times New Roman" w:hAnsi="Times New Roman" w:cs="Times New Roman"/>
          <w:b/>
        </w:rPr>
        <w:t xml:space="preserve">внесення змін до Кодексу України </w:t>
      </w:r>
    </w:p>
    <w:p w14:paraId="5C7D26A7" w14:textId="2B971C6D" w:rsidR="00A55582" w:rsidRDefault="003B3BDE" w:rsidP="00500E97">
      <w:pPr>
        <w:pStyle w:val="a3"/>
        <w:widowControl w:val="0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 w:rsidRPr="003B3BDE">
        <w:rPr>
          <w:rFonts w:ascii="Times New Roman" w:hAnsi="Times New Roman" w:cs="Times New Roman"/>
          <w:b/>
        </w:rPr>
        <w:t xml:space="preserve">про адміністративні правопорушення щодо посилення відповідальності </w:t>
      </w:r>
    </w:p>
    <w:p w14:paraId="78A0D2C9" w14:textId="77777777" w:rsidR="00A55582" w:rsidRDefault="003B3BDE" w:rsidP="00500E97">
      <w:pPr>
        <w:pStyle w:val="a3"/>
        <w:widowControl w:val="0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 w:rsidRPr="003B3BDE">
        <w:rPr>
          <w:rFonts w:ascii="Times New Roman" w:hAnsi="Times New Roman" w:cs="Times New Roman"/>
          <w:b/>
        </w:rPr>
        <w:t xml:space="preserve">за насильство за ознакою статі та прояви </w:t>
      </w:r>
    </w:p>
    <w:p w14:paraId="16F1748A" w14:textId="4CC36A45" w:rsidR="00015F8B" w:rsidRPr="003B3BDE" w:rsidRDefault="003B3BDE" w:rsidP="00500E97">
      <w:pPr>
        <w:pStyle w:val="a3"/>
        <w:widowControl w:val="0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</w:rPr>
      </w:pPr>
      <w:r w:rsidRPr="003B3BDE">
        <w:rPr>
          <w:rFonts w:ascii="Times New Roman" w:hAnsi="Times New Roman" w:cs="Times New Roman"/>
          <w:b/>
        </w:rPr>
        <w:t>сексизму у суспільстві</w:t>
      </w:r>
      <w:r w:rsidR="00015F8B" w:rsidRPr="003B3BDE">
        <w:rPr>
          <w:rFonts w:ascii="Times New Roman" w:hAnsi="Times New Roman" w:cs="Times New Roman"/>
          <w:b/>
          <w:bCs/>
        </w:rPr>
        <w:t>»</w:t>
      </w:r>
      <w:bookmarkEnd w:id="1"/>
    </w:p>
    <w:p w14:paraId="48108802" w14:textId="77777777" w:rsidR="00015F8B" w:rsidRPr="003B3BDE" w:rsidRDefault="00015F8B" w:rsidP="00A55582">
      <w:pPr>
        <w:pStyle w:val="a3"/>
        <w:ind w:firstLine="709"/>
        <w:rPr>
          <w:rFonts w:ascii="Times New Roman" w:hAnsi="Times New Roman" w:cs="Times New Roman"/>
        </w:rPr>
      </w:pPr>
    </w:p>
    <w:p w14:paraId="3D3E7F35" w14:textId="034B5338" w:rsidR="00C52329" w:rsidRPr="003B3BDE" w:rsidRDefault="00015F8B" w:rsidP="00A55582">
      <w:pPr>
        <w:spacing w:after="0" w:line="240" w:lineRule="auto"/>
        <w:ind w:firstLine="709"/>
        <w:jc w:val="both"/>
        <w:rPr>
          <w:szCs w:val="28"/>
        </w:rPr>
      </w:pPr>
      <w:r w:rsidRPr="003B3BDE">
        <w:rPr>
          <w:rFonts w:eastAsia="Times New Roman"/>
          <w:szCs w:val="28"/>
          <w:lang w:eastAsia="ru-RU"/>
        </w:rPr>
        <w:t xml:space="preserve">Метою законопроекту, як зазначено в пояснювальній записці до нього, є </w:t>
      </w:r>
      <w:r w:rsidR="00B119D0" w:rsidRPr="003B3BDE">
        <w:rPr>
          <w:szCs w:val="28"/>
        </w:rPr>
        <w:t>«</w:t>
      </w:r>
      <w:r w:rsidR="003B3BDE" w:rsidRPr="003B3BDE">
        <w:rPr>
          <w:szCs w:val="28"/>
        </w:rPr>
        <w:t>посилення відповідальності за вчинення насильства за ознакою статі та попередження проявів сексизму у суспільстві, а також удосконалення правового регулювання притягнення до відповідальності за 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</w:t>
      </w:r>
      <w:r w:rsidR="00B119D0" w:rsidRPr="003B3BDE">
        <w:rPr>
          <w:szCs w:val="28"/>
        </w:rPr>
        <w:t>»</w:t>
      </w:r>
      <w:r w:rsidR="00C52329" w:rsidRPr="003B3BDE">
        <w:rPr>
          <w:szCs w:val="28"/>
        </w:rPr>
        <w:t>.</w:t>
      </w:r>
    </w:p>
    <w:p w14:paraId="36175769" w14:textId="1578F6D1" w:rsidR="00B119D0" w:rsidRDefault="00015F8B" w:rsidP="00A5558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3BDE">
        <w:rPr>
          <w:rFonts w:eastAsia="Times New Roman"/>
          <w:szCs w:val="28"/>
          <w:lang w:eastAsia="ru-RU"/>
        </w:rPr>
        <w:t>Для досягнення вказаної мети у законопроекті пропонується</w:t>
      </w:r>
      <w:r w:rsidR="00B119D0" w:rsidRPr="003B3BDE">
        <w:rPr>
          <w:rFonts w:eastAsia="Times New Roman"/>
          <w:szCs w:val="28"/>
          <w:lang w:eastAsia="ru-RU"/>
        </w:rPr>
        <w:t xml:space="preserve"> внести зміни до </w:t>
      </w:r>
      <w:r w:rsidR="00A55582" w:rsidRPr="003B3BDE">
        <w:rPr>
          <w:rFonts w:eastAsia="Times New Roman"/>
          <w:szCs w:val="28"/>
          <w:lang w:eastAsia="ru-RU"/>
        </w:rPr>
        <w:t xml:space="preserve">ст. 173-2 </w:t>
      </w:r>
      <w:r w:rsidR="0084694A">
        <w:rPr>
          <w:rFonts w:eastAsia="Times New Roman"/>
          <w:szCs w:val="28"/>
          <w:lang w:eastAsia="ru-RU"/>
        </w:rPr>
        <w:t>«</w:t>
      </w:r>
      <w:r w:rsidR="0084694A" w:rsidRPr="0084694A">
        <w:rPr>
          <w:rFonts w:eastAsia="Times New Roman"/>
          <w:szCs w:val="28"/>
          <w:lang w:eastAsia="ru-RU"/>
        </w:rPr>
        <w:t>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</w:t>
      </w:r>
      <w:r w:rsidR="0084694A">
        <w:rPr>
          <w:rFonts w:eastAsia="Times New Roman"/>
          <w:szCs w:val="28"/>
          <w:lang w:eastAsia="ru-RU"/>
        </w:rPr>
        <w:t xml:space="preserve">» </w:t>
      </w:r>
      <w:r w:rsidR="00B119D0" w:rsidRPr="003B3BDE">
        <w:rPr>
          <w:rFonts w:eastAsia="Times New Roman"/>
          <w:szCs w:val="28"/>
          <w:lang w:eastAsia="ru-RU"/>
        </w:rPr>
        <w:t>Кодексу України про адміністративні правопорушення (далі – КУпАП), якими</w:t>
      </w:r>
      <w:r w:rsidR="00500E97">
        <w:rPr>
          <w:rFonts w:eastAsia="Times New Roman"/>
          <w:szCs w:val="28"/>
          <w:lang w:val="ru-RU" w:eastAsia="ru-RU"/>
        </w:rPr>
        <w:t>:</w:t>
      </w:r>
      <w:r w:rsidR="003B3BDE" w:rsidRPr="003B3BDE">
        <w:rPr>
          <w:rFonts w:eastAsia="Times New Roman"/>
          <w:szCs w:val="28"/>
          <w:lang w:eastAsia="ru-RU"/>
        </w:rPr>
        <w:t xml:space="preserve"> </w:t>
      </w:r>
      <w:r w:rsidR="00A55582">
        <w:rPr>
          <w:rFonts w:eastAsia="Times New Roman"/>
          <w:szCs w:val="28"/>
          <w:lang w:val="ru-RU" w:eastAsia="ru-RU"/>
        </w:rPr>
        <w:t xml:space="preserve">1) </w:t>
      </w:r>
      <w:r w:rsidR="00A55582">
        <w:rPr>
          <w:rFonts w:eastAsia="Times New Roman"/>
          <w:szCs w:val="28"/>
          <w:lang w:eastAsia="ru-RU"/>
        </w:rPr>
        <w:t xml:space="preserve">із ч. 1 виключити таку форму </w:t>
      </w:r>
      <w:r w:rsidR="0084694A">
        <w:rPr>
          <w:rFonts w:eastAsia="Times New Roman"/>
          <w:szCs w:val="28"/>
          <w:lang w:eastAsia="ru-RU"/>
        </w:rPr>
        <w:t>об’єктивної</w:t>
      </w:r>
      <w:r w:rsidR="00A55582">
        <w:rPr>
          <w:rFonts w:eastAsia="Times New Roman"/>
          <w:szCs w:val="28"/>
          <w:lang w:eastAsia="ru-RU"/>
        </w:rPr>
        <w:t xml:space="preserve"> сторони правопорушення</w:t>
      </w:r>
      <w:r w:rsidR="0084694A">
        <w:rPr>
          <w:rFonts w:eastAsia="Times New Roman"/>
          <w:szCs w:val="28"/>
          <w:lang w:eastAsia="ru-RU"/>
        </w:rPr>
        <w:t>, як в</w:t>
      </w:r>
      <w:r w:rsidR="0084694A" w:rsidRPr="0084694A">
        <w:rPr>
          <w:rFonts w:eastAsia="Times New Roman"/>
          <w:szCs w:val="28"/>
          <w:lang w:eastAsia="ru-RU"/>
        </w:rPr>
        <w:t>чинення насильства за ознакою статі</w:t>
      </w:r>
      <w:r w:rsidR="0084694A">
        <w:rPr>
          <w:rFonts w:eastAsia="Times New Roman"/>
          <w:szCs w:val="28"/>
          <w:lang w:eastAsia="ru-RU"/>
        </w:rPr>
        <w:t xml:space="preserve">, із одночасним встановленням відповідальності за таке діяння у нових </w:t>
      </w:r>
      <w:r w:rsidR="00500E97" w:rsidRPr="00500E97">
        <w:rPr>
          <w:rFonts w:eastAsia="Times New Roman"/>
          <w:szCs w:val="28"/>
          <w:lang w:val="ru-RU" w:eastAsia="ru-RU"/>
        </w:rPr>
        <w:br/>
      </w:r>
      <w:r w:rsidR="00500E97">
        <w:rPr>
          <w:rFonts w:eastAsia="Times New Roman"/>
          <w:szCs w:val="28"/>
          <w:lang w:eastAsia="ru-RU"/>
        </w:rPr>
        <w:t xml:space="preserve">частинах 3 (основний склад) </w:t>
      </w:r>
      <w:r w:rsidR="0084694A">
        <w:rPr>
          <w:rFonts w:eastAsia="Times New Roman"/>
          <w:szCs w:val="28"/>
          <w:lang w:eastAsia="ru-RU"/>
        </w:rPr>
        <w:t xml:space="preserve">та 4 (кваліфікований склад) цієї статті; </w:t>
      </w:r>
      <w:r w:rsidR="00500E97" w:rsidRPr="00500E97">
        <w:rPr>
          <w:rFonts w:eastAsia="Times New Roman"/>
          <w:szCs w:val="28"/>
          <w:lang w:val="ru-RU" w:eastAsia="ru-RU"/>
        </w:rPr>
        <w:br/>
      </w:r>
      <w:r w:rsidR="0084694A">
        <w:rPr>
          <w:rFonts w:eastAsia="Times New Roman"/>
          <w:szCs w:val="28"/>
          <w:lang w:eastAsia="ru-RU"/>
        </w:rPr>
        <w:t>2) доповнити дану статтю п</w:t>
      </w:r>
      <w:r w:rsidR="0084694A" w:rsidRPr="0084694A">
        <w:rPr>
          <w:rFonts w:eastAsia="Times New Roman"/>
          <w:szCs w:val="28"/>
          <w:lang w:eastAsia="ru-RU"/>
        </w:rPr>
        <w:t>римітк</w:t>
      </w:r>
      <w:r w:rsidR="0084694A">
        <w:rPr>
          <w:rFonts w:eastAsia="Times New Roman"/>
          <w:szCs w:val="28"/>
          <w:lang w:eastAsia="ru-RU"/>
        </w:rPr>
        <w:t xml:space="preserve">ою, у якій визначити, що </w:t>
      </w:r>
      <w:r w:rsidR="00512EE0">
        <w:rPr>
          <w:rFonts w:eastAsia="Times New Roman"/>
          <w:szCs w:val="28"/>
          <w:lang w:eastAsia="ru-RU"/>
        </w:rPr>
        <w:t>«</w:t>
      </w:r>
      <w:r w:rsidR="0084694A">
        <w:rPr>
          <w:rFonts w:eastAsia="Times New Roman"/>
          <w:szCs w:val="28"/>
          <w:lang w:eastAsia="ru-RU"/>
        </w:rPr>
        <w:t>а</w:t>
      </w:r>
      <w:r w:rsidR="0084694A" w:rsidRPr="0084694A">
        <w:rPr>
          <w:rFonts w:eastAsia="Times New Roman"/>
          <w:szCs w:val="28"/>
          <w:lang w:eastAsia="ru-RU"/>
        </w:rPr>
        <w:t>дміністративне стягнення у виді штрафу за вчинення дій, передбачених частинами першою та другою цієї статті, накладається лише на осіб, на яких згідно з чинним законодавством не можна накласти інші види стягнення</w:t>
      </w:r>
      <w:r w:rsidR="00512EE0">
        <w:rPr>
          <w:rFonts w:eastAsia="Times New Roman"/>
          <w:szCs w:val="28"/>
          <w:lang w:eastAsia="ru-RU"/>
        </w:rPr>
        <w:t>»</w:t>
      </w:r>
      <w:r w:rsidR="0084694A">
        <w:rPr>
          <w:rFonts w:eastAsia="Times New Roman"/>
          <w:szCs w:val="28"/>
          <w:lang w:eastAsia="ru-RU"/>
        </w:rPr>
        <w:t>.</w:t>
      </w:r>
    </w:p>
    <w:p w14:paraId="24668E61" w14:textId="1BFD2A2A" w:rsidR="00554CDA" w:rsidRPr="0077580F" w:rsidRDefault="00554CDA" w:rsidP="00554CD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3119E">
        <w:rPr>
          <w:rFonts w:eastAsia="Times New Roman"/>
          <w:szCs w:val="28"/>
          <w:lang w:eastAsia="ru-RU"/>
        </w:rPr>
        <w:t xml:space="preserve">Законопроект на момент </w:t>
      </w:r>
      <w:r w:rsidR="00FD3C3B">
        <w:rPr>
          <w:rFonts w:eastAsia="Times New Roman"/>
          <w:szCs w:val="28"/>
          <w:lang w:eastAsia="ru-RU"/>
        </w:rPr>
        <w:t>підготовки цього висновку</w:t>
      </w:r>
      <w:r w:rsidRPr="00E3119E">
        <w:rPr>
          <w:rFonts w:eastAsia="Times New Roman"/>
          <w:szCs w:val="28"/>
          <w:lang w:eastAsia="ru-RU"/>
        </w:rPr>
        <w:t xml:space="preserve"> не включений до Плану законопроектної роботи Верховної Ради України на 2021 рік, </w:t>
      </w:r>
      <w:r w:rsidRPr="0077580F">
        <w:rPr>
          <w:rFonts w:eastAsia="Times New Roman"/>
          <w:szCs w:val="28"/>
          <w:lang w:eastAsia="ru-RU"/>
        </w:rPr>
        <w:t>затвердженого постановою Верховної Ради України від 02.02.2021 № 1165-ІХ.</w:t>
      </w:r>
    </w:p>
    <w:p w14:paraId="7FFFBE22" w14:textId="77777777" w:rsidR="00C52329" w:rsidRPr="0077580F" w:rsidRDefault="00015F8B" w:rsidP="00A5558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7580F">
        <w:rPr>
          <w:rFonts w:eastAsia="Times New Roman"/>
          <w:szCs w:val="28"/>
          <w:lang w:eastAsia="ru-RU"/>
        </w:rPr>
        <w:t>Головне управління, проаналізувавши поданий законопроект, вважає за необхідне зазначити наступне.</w:t>
      </w:r>
    </w:p>
    <w:p w14:paraId="1F2A6CB5" w14:textId="38CAD4E4" w:rsidR="00015F8B" w:rsidRDefault="0090474E" w:rsidP="00A55582">
      <w:pPr>
        <w:shd w:val="clear" w:color="auto" w:fill="FFFFFF"/>
        <w:spacing w:after="0" w:line="240" w:lineRule="auto"/>
        <w:ind w:firstLine="709"/>
        <w:jc w:val="both"/>
        <w:rPr>
          <w:bCs/>
          <w:szCs w:val="28"/>
        </w:rPr>
      </w:pPr>
      <w:r w:rsidRPr="0077580F">
        <w:rPr>
          <w:b/>
          <w:color w:val="000000"/>
          <w:szCs w:val="28"/>
        </w:rPr>
        <w:t>1</w:t>
      </w:r>
      <w:r w:rsidRPr="0077580F">
        <w:rPr>
          <w:b/>
          <w:bCs/>
          <w:color w:val="000000"/>
          <w:szCs w:val="28"/>
        </w:rPr>
        <w:t>.</w:t>
      </w:r>
      <w:r w:rsidRPr="0077580F">
        <w:rPr>
          <w:bCs/>
          <w:color w:val="000000"/>
          <w:szCs w:val="28"/>
        </w:rPr>
        <w:t xml:space="preserve"> </w:t>
      </w:r>
      <w:r w:rsidR="00027F38" w:rsidRPr="0077580F">
        <w:rPr>
          <w:bCs/>
          <w:color w:val="000000"/>
          <w:szCs w:val="28"/>
        </w:rPr>
        <w:t>Необґрунтованою</w:t>
      </w:r>
      <w:r w:rsidR="00606F17" w:rsidRPr="0077580F">
        <w:rPr>
          <w:bCs/>
          <w:color w:val="000000"/>
          <w:szCs w:val="28"/>
        </w:rPr>
        <w:t xml:space="preserve"> видається пропозиція законопроекту поділити на окремі склади правопорушень з різними санкціями вчинення насильства за ознакою статі та вчинення домашнього насильства, що наразі </w:t>
      </w:r>
      <w:r w:rsidR="00554CDA" w:rsidRPr="0077580F">
        <w:rPr>
          <w:bCs/>
          <w:color w:val="000000"/>
          <w:szCs w:val="28"/>
        </w:rPr>
        <w:t>є «рівнозначни</w:t>
      </w:r>
      <w:r w:rsidR="00500E97" w:rsidRPr="0077580F">
        <w:rPr>
          <w:bCs/>
          <w:color w:val="000000"/>
          <w:szCs w:val="28"/>
        </w:rPr>
        <w:t>ми» формами об’єктивної сторони</w:t>
      </w:r>
      <w:r w:rsidR="00554CDA" w:rsidRPr="0077580F">
        <w:rPr>
          <w:bCs/>
          <w:color w:val="000000"/>
          <w:szCs w:val="28"/>
        </w:rPr>
        <w:t xml:space="preserve"> правопорушення, передбаченого </w:t>
      </w:r>
      <w:r w:rsidR="00606F17" w:rsidRPr="0077580F">
        <w:rPr>
          <w:bCs/>
          <w:color w:val="000000"/>
          <w:szCs w:val="28"/>
        </w:rPr>
        <w:t>ч.</w:t>
      </w:r>
      <w:r w:rsidR="00606F17">
        <w:rPr>
          <w:bCs/>
          <w:color w:val="000000"/>
          <w:szCs w:val="28"/>
        </w:rPr>
        <w:t xml:space="preserve"> 1 ст. 173-2 КУпАП. За усталеною практикою конструювання норм про адміністративну відповідальність, в основі поділу статті на частини має бути рівень суспільної шкідливості вчинюваних діянь. Однак ні законопроект, ні супровідні матеріали до нього не містять жодних статистичних даних, які могли б свідчити про те, що саме насильство за ознакою статі має більшу суспільну шкідливість, ніж домашнє насильство. Натомість, </w:t>
      </w:r>
      <w:r w:rsidR="00AF4E8D">
        <w:rPr>
          <w:bCs/>
          <w:color w:val="000000"/>
          <w:szCs w:val="28"/>
        </w:rPr>
        <w:t xml:space="preserve">у матеріалах пояснювальної записки до </w:t>
      </w:r>
      <w:r w:rsidR="00AF4E8D">
        <w:rPr>
          <w:bCs/>
          <w:color w:val="000000"/>
          <w:szCs w:val="28"/>
        </w:rPr>
        <w:lastRenderedPageBreak/>
        <w:t>законопроекту наголошується на тому, що необхідність підвищеної уваги до проявів сексизму встановлює «</w:t>
      </w:r>
      <w:r w:rsidR="00AF4E8D" w:rsidRPr="00F9342F">
        <w:rPr>
          <w:bCs/>
          <w:szCs w:val="28"/>
        </w:rPr>
        <w:t xml:space="preserve">Конвенція Ради Європи про </w:t>
      </w:r>
      <w:r w:rsidR="00AF4E8D" w:rsidRPr="00AF4E8D">
        <w:rPr>
          <w:bCs/>
          <w:i/>
          <w:iCs/>
          <w:szCs w:val="28"/>
        </w:rPr>
        <w:t>запобігання насильству стосовно жінок</w:t>
      </w:r>
      <w:r w:rsidR="00AF4E8D" w:rsidRPr="00F9342F">
        <w:rPr>
          <w:bCs/>
          <w:szCs w:val="28"/>
        </w:rPr>
        <w:t xml:space="preserve"> і </w:t>
      </w:r>
      <w:r w:rsidR="00AF4E8D" w:rsidRPr="00AF4E8D">
        <w:rPr>
          <w:bCs/>
          <w:i/>
          <w:iCs/>
          <w:szCs w:val="28"/>
        </w:rPr>
        <w:t>домашньому насильству</w:t>
      </w:r>
      <w:r w:rsidR="00AF4E8D" w:rsidRPr="00F9342F">
        <w:rPr>
          <w:bCs/>
          <w:szCs w:val="28"/>
        </w:rPr>
        <w:t xml:space="preserve"> та боротьбу з цими явищами (CETS №</w:t>
      </w:r>
      <w:r w:rsidR="0077580F">
        <w:rPr>
          <w:bCs/>
          <w:szCs w:val="28"/>
        </w:rPr>
        <w:t xml:space="preserve"> </w:t>
      </w:r>
      <w:r w:rsidR="00AF4E8D" w:rsidRPr="00F9342F">
        <w:rPr>
          <w:bCs/>
          <w:szCs w:val="28"/>
        </w:rPr>
        <w:t xml:space="preserve">210, Стамбульська конвенція) і Конвенція </w:t>
      </w:r>
      <w:r w:rsidR="00AF4E8D">
        <w:rPr>
          <w:bCs/>
          <w:szCs w:val="28"/>
        </w:rPr>
        <w:t>ООН</w:t>
      </w:r>
      <w:r w:rsidR="00AF4E8D" w:rsidRPr="00F9342F">
        <w:rPr>
          <w:bCs/>
          <w:szCs w:val="28"/>
        </w:rPr>
        <w:t xml:space="preserve"> про ліквідацію всіх форм дискримінації щодо жінок визнають взаємозалежність між </w:t>
      </w:r>
      <w:r w:rsidR="00AF4E8D">
        <w:rPr>
          <w:bCs/>
          <w:szCs w:val="28"/>
        </w:rPr>
        <w:t>г</w:t>
      </w:r>
      <w:r w:rsidR="00AF4E8D" w:rsidRPr="00F9342F">
        <w:rPr>
          <w:bCs/>
          <w:szCs w:val="28"/>
        </w:rPr>
        <w:t xml:space="preserve">ендерними стереотипами, </w:t>
      </w:r>
      <w:r w:rsidR="00AF4E8D">
        <w:rPr>
          <w:bCs/>
          <w:szCs w:val="28"/>
        </w:rPr>
        <w:t>г</w:t>
      </w:r>
      <w:r w:rsidR="00AF4E8D" w:rsidRPr="00F9342F">
        <w:rPr>
          <w:bCs/>
          <w:szCs w:val="28"/>
        </w:rPr>
        <w:t xml:space="preserve">ендерною нерівністю, сексизмом і </w:t>
      </w:r>
      <w:r w:rsidR="00AF4E8D" w:rsidRPr="00AF4E8D">
        <w:rPr>
          <w:bCs/>
          <w:i/>
          <w:iCs/>
          <w:szCs w:val="28"/>
        </w:rPr>
        <w:t>насильством стосовно жінок та дівчат</w:t>
      </w:r>
      <w:r w:rsidR="00AF4E8D">
        <w:rPr>
          <w:bCs/>
          <w:szCs w:val="28"/>
        </w:rPr>
        <w:t>»</w:t>
      </w:r>
      <w:r w:rsidR="00AF4E8D" w:rsidRPr="00F9342F">
        <w:rPr>
          <w:bCs/>
          <w:szCs w:val="28"/>
        </w:rPr>
        <w:t>.</w:t>
      </w:r>
      <w:r w:rsidR="00AF4E8D">
        <w:rPr>
          <w:bCs/>
          <w:szCs w:val="28"/>
        </w:rPr>
        <w:t xml:space="preserve"> Тобто, </w:t>
      </w:r>
      <w:r w:rsidR="00FD3C3B">
        <w:rPr>
          <w:bCs/>
          <w:szCs w:val="28"/>
        </w:rPr>
        <w:t>у</w:t>
      </w:r>
      <w:r w:rsidR="00AF4E8D">
        <w:rPr>
          <w:bCs/>
          <w:szCs w:val="28"/>
        </w:rPr>
        <w:t xml:space="preserve"> </w:t>
      </w:r>
      <w:r w:rsidR="00554CDA">
        <w:rPr>
          <w:bCs/>
          <w:szCs w:val="28"/>
        </w:rPr>
        <w:t>вказаних міжнародних документ</w:t>
      </w:r>
      <w:r w:rsidR="00FD3C3B">
        <w:rPr>
          <w:bCs/>
          <w:szCs w:val="28"/>
        </w:rPr>
        <w:t>ах</w:t>
      </w:r>
      <w:r w:rsidR="00AF4E8D">
        <w:rPr>
          <w:bCs/>
          <w:szCs w:val="28"/>
        </w:rPr>
        <w:t xml:space="preserve"> такі явища</w:t>
      </w:r>
      <w:r w:rsidR="00FD3C3B">
        <w:rPr>
          <w:bCs/>
          <w:szCs w:val="28"/>
        </w:rPr>
        <w:t>,</w:t>
      </w:r>
      <w:r w:rsidR="00AF4E8D">
        <w:rPr>
          <w:bCs/>
          <w:szCs w:val="28"/>
        </w:rPr>
        <w:t xml:space="preserve"> як насильство за ознакою статі та домашнє насильство</w:t>
      </w:r>
      <w:r w:rsidR="00FD3C3B">
        <w:rPr>
          <w:bCs/>
          <w:szCs w:val="28"/>
        </w:rPr>
        <w:t>,</w:t>
      </w:r>
      <w:r w:rsidR="00AF4E8D">
        <w:rPr>
          <w:bCs/>
          <w:szCs w:val="28"/>
        </w:rPr>
        <w:t xml:space="preserve"> поставлені на один рівень.</w:t>
      </w:r>
    </w:p>
    <w:p w14:paraId="2ECA5235" w14:textId="5BC31C20" w:rsidR="00621290" w:rsidRPr="0077580F" w:rsidRDefault="00FD3C3B" w:rsidP="00A55582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FD3C3B">
        <w:rPr>
          <w:b/>
          <w:bCs/>
          <w:szCs w:val="28"/>
        </w:rPr>
        <w:t>2.</w:t>
      </w:r>
      <w:r>
        <w:rPr>
          <w:b/>
          <w:bCs/>
          <w:szCs w:val="28"/>
        </w:rPr>
        <w:t xml:space="preserve"> </w:t>
      </w:r>
      <w:r w:rsidRPr="00FD3C3B">
        <w:rPr>
          <w:bCs/>
          <w:szCs w:val="28"/>
        </w:rPr>
        <w:t xml:space="preserve">У </w:t>
      </w:r>
      <w:r>
        <w:rPr>
          <w:bCs/>
          <w:color w:val="000000"/>
          <w:szCs w:val="28"/>
        </w:rPr>
        <w:t>ч. ч. 1, 2 ст. 173-2 КУпАП (в редакції проекту) встановлюється відповідальність за в</w:t>
      </w:r>
      <w:r w:rsidRPr="00027F38">
        <w:rPr>
          <w:bCs/>
          <w:color w:val="000000"/>
          <w:szCs w:val="28"/>
        </w:rPr>
        <w:t xml:space="preserve">чинення домашнього насильства, </w:t>
      </w:r>
      <w:r>
        <w:rPr>
          <w:bCs/>
          <w:color w:val="000000"/>
          <w:szCs w:val="28"/>
        </w:rPr>
        <w:t>за</w:t>
      </w:r>
      <w:r w:rsidRPr="00027F38">
        <w:rPr>
          <w:bCs/>
          <w:color w:val="000000"/>
          <w:szCs w:val="28"/>
        </w:rPr>
        <w:t xml:space="preserve"> невиконання термінового заборонного припису особою, стосовно якої він винесений, або </w:t>
      </w:r>
      <w:r>
        <w:rPr>
          <w:bCs/>
          <w:color w:val="000000"/>
          <w:szCs w:val="28"/>
        </w:rPr>
        <w:t>«</w:t>
      </w:r>
      <w:r w:rsidRPr="00027F38">
        <w:rPr>
          <w:bCs/>
          <w:color w:val="000000"/>
          <w:szCs w:val="28"/>
        </w:rPr>
        <w:t>неповідомлення уповноваженим підрозділам органів Національної поліції України про місце свого тимчасового перебування в разі його винесення</w:t>
      </w:r>
      <w:r>
        <w:rPr>
          <w:bCs/>
          <w:color w:val="000000"/>
          <w:szCs w:val="28"/>
        </w:rPr>
        <w:t xml:space="preserve">», а також за ті самі дії, вчинені повторно, тоді </w:t>
      </w:r>
      <w:r w:rsidRPr="0077580F">
        <w:rPr>
          <w:bCs/>
          <w:color w:val="000000"/>
          <w:szCs w:val="28"/>
        </w:rPr>
        <w:t xml:space="preserve">як законопроект має назву </w:t>
      </w:r>
      <w:r w:rsidR="00500E97" w:rsidRPr="0077580F">
        <w:rPr>
          <w:bCs/>
          <w:color w:val="000000"/>
          <w:szCs w:val="28"/>
          <w:lang w:val="ru-RU"/>
        </w:rPr>
        <w:br/>
      </w:r>
      <w:r w:rsidRPr="0077580F">
        <w:rPr>
          <w:bCs/>
          <w:color w:val="000000"/>
          <w:szCs w:val="28"/>
        </w:rPr>
        <w:t xml:space="preserve">«Про  внесення змін до Кодексу України про адміністративні правопорушення щодо посилення відповідальності </w:t>
      </w:r>
      <w:r w:rsidRPr="0077580F">
        <w:rPr>
          <w:bCs/>
          <w:i/>
          <w:iCs/>
          <w:color w:val="000000"/>
          <w:szCs w:val="28"/>
        </w:rPr>
        <w:t>за насильство за ознакою статі та прояви сексизму у суспільстві</w:t>
      </w:r>
      <w:r w:rsidRPr="0077580F">
        <w:rPr>
          <w:bCs/>
          <w:color w:val="000000"/>
          <w:szCs w:val="28"/>
        </w:rPr>
        <w:t xml:space="preserve">». Таким чином, запропоновані </w:t>
      </w:r>
      <w:r w:rsidR="00621290" w:rsidRPr="0077580F">
        <w:rPr>
          <w:bCs/>
          <w:color w:val="000000"/>
          <w:szCs w:val="28"/>
        </w:rPr>
        <w:t xml:space="preserve">у </w:t>
      </w:r>
      <w:r w:rsidRPr="0077580F">
        <w:rPr>
          <w:bCs/>
          <w:color w:val="000000"/>
          <w:szCs w:val="28"/>
        </w:rPr>
        <w:t>проект</w:t>
      </w:r>
      <w:r w:rsidR="00621290" w:rsidRPr="0077580F">
        <w:rPr>
          <w:bCs/>
          <w:color w:val="000000"/>
          <w:szCs w:val="28"/>
        </w:rPr>
        <w:t>і</w:t>
      </w:r>
      <w:r w:rsidRPr="0077580F">
        <w:rPr>
          <w:bCs/>
          <w:color w:val="000000"/>
          <w:szCs w:val="28"/>
        </w:rPr>
        <w:t xml:space="preserve"> </w:t>
      </w:r>
      <w:r w:rsidR="00621290" w:rsidRPr="0077580F">
        <w:rPr>
          <w:bCs/>
          <w:color w:val="000000"/>
          <w:szCs w:val="28"/>
        </w:rPr>
        <w:t>зміни</w:t>
      </w:r>
      <w:r w:rsidRPr="0077580F">
        <w:rPr>
          <w:bCs/>
          <w:color w:val="000000"/>
          <w:szCs w:val="28"/>
        </w:rPr>
        <w:t xml:space="preserve"> до </w:t>
      </w:r>
      <w:r w:rsidR="00621290" w:rsidRPr="0077580F">
        <w:rPr>
          <w:bCs/>
          <w:color w:val="000000"/>
          <w:szCs w:val="28"/>
        </w:rPr>
        <w:br/>
      </w:r>
      <w:r w:rsidRPr="0077580F">
        <w:rPr>
          <w:bCs/>
          <w:color w:val="000000"/>
          <w:szCs w:val="28"/>
        </w:rPr>
        <w:t>ст. 173-2 КУпАП виходять за межі правового регулювання законопроекту.</w:t>
      </w:r>
    </w:p>
    <w:p w14:paraId="7DFD229E" w14:textId="0CEE9B5C" w:rsidR="00FD3C3B" w:rsidRPr="00FD3C3B" w:rsidRDefault="00621290" w:rsidP="00A55582">
      <w:pPr>
        <w:shd w:val="clear" w:color="auto" w:fill="FFFFFF"/>
        <w:spacing w:after="0" w:line="240" w:lineRule="auto"/>
        <w:ind w:firstLine="709"/>
        <w:jc w:val="both"/>
        <w:rPr>
          <w:b/>
          <w:bCs/>
          <w:szCs w:val="28"/>
        </w:rPr>
      </w:pPr>
      <w:r w:rsidRPr="0077580F">
        <w:rPr>
          <w:bCs/>
          <w:color w:val="000000"/>
          <w:szCs w:val="28"/>
        </w:rPr>
        <w:t xml:space="preserve">Слід також звернути увагу, що у тексті ч. 1 ст. 173-2 КУпАП </w:t>
      </w:r>
      <w:r w:rsidR="00500E97" w:rsidRPr="0077580F">
        <w:rPr>
          <w:bCs/>
          <w:color w:val="000000"/>
          <w:szCs w:val="28"/>
        </w:rPr>
        <w:t>у</w:t>
      </w:r>
      <w:r w:rsidRPr="0077580F">
        <w:rPr>
          <w:bCs/>
          <w:color w:val="000000"/>
          <w:szCs w:val="28"/>
        </w:rPr>
        <w:t xml:space="preserve"> редакції проекту вжитий вираз «неповідомлення уповноваженим підрозділам</w:t>
      </w:r>
      <w:r w:rsidRPr="00027F38">
        <w:rPr>
          <w:bCs/>
          <w:color w:val="000000"/>
          <w:szCs w:val="28"/>
        </w:rPr>
        <w:t xml:space="preserve"> органів Національної поліції України про місце свого тимчасового перебування </w:t>
      </w:r>
      <w:r w:rsidRPr="00621290">
        <w:rPr>
          <w:bCs/>
          <w:i/>
          <w:color w:val="000000"/>
          <w:szCs w:val="28"/>
        </w:rPr>
        <w:t>в разі його винесення</w:t>
      </w:r>
      <w:r>
        <w:rPr>
          <w:bCs/>
          <w:color w:val="000000"/>
          <w:szCs w:val="28"/>
        </w:rPr>
        <w:t>», з якого неможливо зрозуміти, що саме, ким і коли було «винесено».</w:t>
      </w:r>
      <w:r w:rsidR="00FD3C3B">
        <w:rPr>
          <w:bCs/>
          <w:color w:val="000000"/>
          <w:szCs w:val="28"/>
        </w:rPr>
        <w:t xml:space="preserve"> </w:t>
      </w:r>
    </w:p>
    <w:p w14:paraId="7907119D" w14:textId="5AAB61F1" w:rsidR="00E56405" w:rsidRDefault="00621290" w:rsidP="00A55582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/>
          <w:color w:val="000000"/>
          <w:szCs w:val="28"/>
        </w:rPr>
        <w:t>3.</w:t>
      </w:r>
      <w:r w:rsidR="00AF4E8D">
        <w:rPr>
          <w:bCs/>
          <w:color w:val="000000"/>
          <w:szCs w:val="28"/>
        </w:rPr>
        <w:t xml:space="preserve"> </w:t>
      </w:r>
      <w:r w:rsidR="00027F38">
        <w:rPr>
          <w:bCs/>
          <w:color w:val="000000"/>
          <w:szCs w:val="28"/>
        </w:rPr>
        <w:t xml:space="preserve">Сумнівною виглядає пропозиція законопроекту доповнити ст. 173-2 </w:t>
      </w:r>
      <w:r w:rsidR="00554CDA">
        <w:rPr>
          <w:bCs/>
          <w:color w:val="000000"/>
          <w:szCs w:val="28"/>
        </w:rPr>
        <w:t xml:space="preserve">КУпАП </w:t>
      </w:r>
      <w:r w:rsidR="00027F38">
        <w:rPr>
          <w:bCs/>
          <w:color w:val="000000"/>
          <w:szCs w:val="28"/>
        </w:rPr>
        <w:t>приміткою, якою обмежується можливість накладати штраф як адміністративне стягнення за правопорушення</w:t>
      </w:r>
      <w:r w:rsidR="00554CDA">
        <w:rPr>
          <w:bCs/>
          <w:color w:val="000000"/>
          <w:szCs w:val="28"/>
        </w:rPr>
        <w:t>,</w:t>
      </w:r>
      <w:r w:rsidR="00027F38">
        <w:rPr>
          <w:bCs/>
          <w:color w:val="000000"/>
          <w:szCs w:val="28"/>
        </w:rPr>
        <w:t xml:space="preserve"> передбачені ч. </w:t>
      </w:r>
      <w:r w:rsidR="00554CDA">
        <w:rPr>
          <w:bCs/>
          <w:color w:val="000000"/>
          <w:szCs w:val="28"/>
        </w:rPr>
        <w:t xml:space="preserve">ч. </w:t>
      </w:r>
      <w:r w:rsidR="00027F38">
        <w:rPr>
          <w:bCs/>
          <w:color w:val="000000"/>
          <w:szCs w:val="28"/>
        </w:rPr>
        <w:t xml:space="preserve">1, 2 </w:t>
      </w:r>
      <w:r w:rsidR="00554CDA">
        <w:rPr>
          <w:bCs/>
          <w:color w:val="000000"/>
          <w:szCs w:val="28"/>
        </w:rPr>
        <w:t>цієї статті,</w:t>
      </w:r>
      <w:r w:rsidR="00027F38">
        <w:rPr>
          <w:bCs/>
          <w:color w:val="000000"/>
          <w:szCs w:val="28"/>
        </w:rPr>
        <w:t xml:space="preserve"> випадками, коли до порушників з причин</w:t>
      </w:r>
      <w:r w:rsidR="00FD3C3B">
        <w:rPr>
          <w:bCs/>
          <w:color w:val="000000"/>
          <w:szCs w:val="28"/>
        </w:rPr>
        <w:t>,</w:t>
      </w:r>
      <w:r w:rsidR="00027F38">
        <w:rPr>
          <w:bCs/>
          <w:color w:val="000000"/>
          <w:szCs w:val="28"/>
        </w:rPr>
        <w:t xml:space="preserve"> встановлених законодавством</w:t>
      </w:r>
      <w:r w:rsidR="00FD3C3B">
        <w:rPr>
          <w:bCs/>
          <w:color w:val="000000"/>
          <w:szCs w:val="28"/>
        </w:rPr>
        <w:t>,</w:t>
      </w:r>
      <w:r w:rsidR="00027F38">
        <w:rPr>
          <w:bCs/>
          <w:color w:val="000000"/>
          <w:szCs w:val="28"/>
        </w:rPr>
        <w:t xml:space="preserve"> неможливо застосувати громадські роботи або адміністративний арешт</w:t>
      </w:r>
      <w:r w:rsidR="00FD3C3B">
        <w:rPr>
          <w:bCs/>
          <w:color w:val="000000"/>
          <w:szCs w:val="28"/>
        </w:rPr>
        <w:t>,</w:t>
      </w:r>
      <w:r w:rsidR="00E56405">
        <w:rPr>
          <w:bCs/>
          <w:color w:val="000000"/>
          <w:szCs w:val="28"/>
        </w:rPr>
        <w:t xml:space="preserve"> з огляду на таке</w:t>
      </w:r>
      <w:r w:rsidR="00027F38">
        <w:rPr>
          <w:bCs/>
          <w:color w:val="000000"/>
          <w:szCs w:val="28"/>
        </w:rPr>
        <w:t xml:space="preserve">. </w:t>
      </w:r>
    </w:p>
    <w:p w14:paraId="0ECB9E90" w14:textId="06CAC4FA" w:rsidR="00130839" w:rsidRDefault="00621290" w:rsidP="00A55582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</w:t>
      </w:r>
      <w:r w:rsidR="00130839">
        <w:rPr>
          <w:bCs/>
          <w:color w:val="000000"/>
          <w:szCs w:val="28"/>
        </w:rPr>
        <w:t>бмеження можливості для судових органів накладати штрафи тільки тими випадками, коли до порушників неможливо застосувати громадські роботи або адміністративний арешт через законодавчі обмеження, може призвести до того, що в більшості випадків порушники взагалі не будуть притягатись до відповідальності. Адже, враховуючи різноманітн</w:t>
      </w:r>
      <w:r>
        <w:rPr>
          <w:bCs/>
          <w:color w:val="000000"/>
          <w:szCs w:val="28"/>
        </w:rPr>
        <w:t>ість</w:t>
      </w:r>
      <w:r w:rsidR="00130839">
        <w:rPr>
          <w:bCs/>
          <w:color w:val="000000"/>
          <w:szCs w:val="28"/>
        </w:rPr>
        <w:t xml:space="preserve"> правопорушень, що можуть бути кваліфіковані за ч. 3 ст. 173-2 КУпАП (в редакції законопроекту), застосування громадських робіт </w:t>
      </w:r>
      <w:r w:rsidR="00262144">
        <w:rPr>
          <w:bCs/>
          <w:color w:val="000000"/>
          <w:szCs w:val="28"/>
        </w:rPr>
        <w:t xml:space="preserve">або адміністративного арешту </w:t>
      </w:r>
      <w:r w:rsidR="00130839">
        <w:rPr>
          <w:bCs/>
          <w:color w:val="000000"/>
          <w:szCs w:val="28"/>
        </w:rPr>
        <w:t xml:space="preserve">може виявитись </w:t>
      </w:r>
      <w:r>
        <w:rPr>
          <w:bCs/>
          <w:color w:val="000000"/>
          <w:szCs w:val="28"/>
        </w:rPr>
        <w:t xml:space="preserve">явно </w:t>
      </w:r>
      <w:r w:rsidR="00130839">
        <w:rPr>
          <w:bCs/>
          <w:color w:val="000000"/>
          <w:szCs w:val="28"/>
        </w:rPr>
        <w:t>не</w:t>
      </w:r>
      <w:r w:rsidR="004204D2">
        <w:rPr>
          <w:bCs/>
          <w:color w:val="000000"/>
          <w:szCs w:val="28"/>
        </w:rPr>
        <w:t>відповідним</w:t>
      </w:r>
      <w:r w:rsidR="00130839">
        <w:rPr>
          <w:bCs/>
          <w:color w:val="000000"/>
          <w:szCs w:val="28"/>
        </w:rPr>
        <w:t xml:space="preserve"> вчин</w:t>
      </w:r>
      <w:r>
        <w:rPr>
          <w:bCs/>
          <w:color w:val="000000"/>
          <w:szCs w:val="28"/>
        </w:rPr>
        <w:t>е</w:t>
      </w:r>
      <w:r w:rsidR="00130839">
        <w:rPr>
          <w:bCs/>
          <w:color w:val="000000"/>
          <w:szCs w:val="28"/>
        </w:rPr>
        <w:t xml:space="preserve">ному діянню.  </w:t>
      </w:r>
    </w:p>
    <w:p w14:paraId="37CA58E1" w14:textId="691786A1" w:rsidR="00A930B0" w:rsidRDefault="00621290" w:rsidP="00A930B0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102D19" w:rsidRPr="00102D19">
        <w:rPr>
          <w:b/>
          <w:bCs/>
          <w:color w:val="000000"/>
          <w:szCs w:val="28"/>
        </w:rPr>
        <w:t xml:space="preserve">. </w:t>
      </w:r>
      <w:r w:rsidR="00102D19" w:rsidRPr="00102D19">
        <w:rPr>
          <w:bCs/>
          <w:color w:val="000000"/>
          <w:szCs w:val="28"/>
        </w:rPr>
        <w:t xml:space="preserve">У п. 2 розділу ІІ «Прикінцеві та перехідні положення» проекту Кабінету Міністрів України дається доручення </w:t>
      </w:r>
      <w:r w:rsidR="00A930B0" w:rsidRPr="00A930B0">
        <w:rPr>
          <w:bCs/>
          <w:color w:val="000000"/>
          <w:szCs w:val="28"/>
        </w:rPr>
        <w:t>у тримісячний строк з дня набрання чинності цим Законом:</w:t>
      </w:r>
      <w:r w:rsidR="00A930B0">
        <w:rPr>
          <w:bCs/>
          <w:color w:val="000000"/>
          <w:szCs w:val="28"/>
        </w:rPr>
        <w:t xml:space="preserve"> </w:t>
      </w:r>
      <w:r w:rsidR="00A930B0" w:rsidRPr="00A930B0">
        <w:rPr>
          <w:bCs/>
          <w:color w:val="000000"/>
          <w:szCs w:val="28"/>
        </w:rPr>
        <w:t>привести свої нормативно-правові акти у відповідність із цим Законом;</w:t>
      </w:r>
      <w:r w:rsidR="00A930B0">
        <w:rPr>
          <w:bCs/>
          <w:color w:val="000000"/>
          <w:szCs w:val="28"/>
        </w:rPr>
        <w:t xml:space="preserve"> </w:t>
      </w:r>
      <w:r w:rsidR="00A930B0" w:rsidRPr="00A930B0">
        <w:rPr>
          <w:bCs/>
          <w:color w:val="000000"/>
          <w:szCs w:val="28"/>
        </w:rPr>
        <w:t>забезпечити прийняття нормативно-правових актів, необхідних для реалізації цього Закону;</w:t>
      </w:r>
      <w:r w:rsidR="00A930B0">
        <w:rPr>
          <w:bCs/>
          <w:color w:val="000000"/>
          <w:szCs w:val="28"/>
        </w:rPr>
        <w:t xml:space="preserve"> </w:t>
      </w:r>
      <w:r w:rsidR="00A930B0" w:rsidRPr="00A930B0">
        <w:rPr>
          <w:bCs/>
          <w:color w:val="000000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  <w:r w:rsidR="00A930B0">
        <w:rPr>
          <w:bCs/>
          <w:color w:val="000000"/>
          <w:szCs w:val="28"/>
        </w:rPr>
        <w:t xml:space="preserve"> </w:t>
      </w:r>
    </w:p>
    <w:p w14:paraId="0B63C04F" w14:textId="6EE36F08" w:rsidR="00102D19" w:rsidRDefault="00102D19" w:rsidP="00A930B0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102D19">
        <w:rPr>
          <w:bCs/>
          <w:color w:val="000000"/>
          <w:szCs w:val="28"/>
        </w:rPr>
        <w:lastRenderedPageBreak/>
        <w:t xml:space="preserve">Такі положення, на наш погляд, є юридично некоректними, оскільки у поданому законопроекті пропонуються зміни до КУпАП, якими передбачається відповідальність за окремі </w:t>
      </w:r>
      <w:r w:rsidR="00A930B0">
        <w:rPr>
          <w:bCs/>
          <w:color w:val="000000"/>
          <w:szCs w:val="28"/>
        </w:rPr>
        <w:t xml:space="preserve">правопорушення. </w:t>
      </w:r>
      <w:r w:rsidR="00A930B0" w:rsidRPr="0077580F">
        <w:rPr>
          <w:bCs/>
          <w:color w:val="000000"/>
          <w:szCs w:val="28"/>
        </w:rPr>
        <w:t>При цьому</w:t>
      </w:r>
      <w:r w:rsidR="00500E97" w:rsidRPr="0077580F">
        <w:rPr>
          <w:bCs/>
          <w:color w:val="000000"/>
          <w:szCs w:val="28"/>
        </w:rPr>
        <w:t>,</w:t>
      </w:r>
      <w:r w:rsidR="00A930B0" w:rsidRPr="0077580F">
        <w:rPr>
          <w:bCs/>
          <w:color w:val="000000"/>
          <w:szCs w:val="28"/>
        </w:rPr>
        <w:t xml:space="preserve"> звертаємо увагу, що </w:t>
      </w:r>
      <w:r w:rsidRPr="0077580F">
        <w:rPr>
          <w:bCs/>
          <w:color w:val="000000"/>
          <w:szCs w:val="28"/>
        </w:rPr>
        <w:t>норми, якими встановлюється адміністративна відповідальність, завжди є вторинними стосовно норм відповідного регулятивного законодавства. У зв’язку із цим неясно, якими чином Уряд, а також міністерства та інші центральні органи виконавчої влади мають приводити свої нормативно</w:t>
      </w:r>
      <w:r w:rsidRPr="00102D19">
        <w:rPr>
          <w:bCs/>
          <w:color w:val="000000"/>
          <w:szCs w:val="28"/>
        </w:rPr>
        <w:t>-правові акти у відповідність до адміністративно-деліктного законодавства.</w:t>
      </w:r>
    </w:p>
    <w:p w14:paraId="29C174AF" w14:textId="77777777" w:rsidR="00027F38" w:rsidRDefault="00027F38" w:rsidP="00A55582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</w:p>
    <w:p w14:paraId="6CF08BF2" w14:textId="77777777" w:rsidR="00027F38" w:rsidRDefault="00027F38" w:rsidP="00A55582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Cs w:val="28"/>
        </w:rPr>
      </w:pPr>
    </w:p>
    <w:p w14:paraId="39991A3F" w14:textId="32E8561C" w:rsidR="00015F8B" w:rsidRPr="003B3BDE" w:rsidRDefault="00015F8B" w:rsidP="00A55582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3B3BDE">
        <w:rPr>
          <w:szCs w:val="28"/>
        </w:rPr>
        <w:t xml:space="preserve">Керівник Головного управління </w:t>
      </w:r>
      <w:r w:rsidRPr="003B3BDE">
        <w:rPr>
          <w:szCs w:val="28"/>
        </w:rPr>
        <w:tab/>
      </w:r>
      <w:r w:rsidRPr="003B3BDE">
        <w:rPr>
          <w:szCs w:val="28"/>
        </w:rPr>
        <w:tab/>
      </w:r>
      <w:r w:rsidRPr="003B3BDE">
        <w:rPr>
          <w:szCs w:val="28"/>
        </w:rPr>
        <w:tab/>
      </w:r>
      <w:r w:rsidRPr="003B3BDE">
        <w:rPr>
          <w:szCs w:val="28"/>
        </w:rPr>
        <w:tab/>
      </w:r>
      <w:r w:rsidR="008D02BB" w:rsidRPr="003B3BDE">
        <w:rPr>
          <w:szCs w:val="28"/>
        </w:rPr>
        <w:t xml:space="preserve">           </w:t>
      </w:r>
      <w:r w:rsidR="004204D2">
        <w:rPr>
          <w:szCs w:val="28"/>
        </w:rPr>
        <w:t xml:space="preserve">     </w:t>
      </w:r>
      <w:r w:rsidRPr="003B3BDE">
        <w:rPr>
          <w:szCs w:val="28"/>
        </w:rPr>
        <w:t>С. Тихонюк</w:t>
      </w:r>
    </w:p>
    <w:p w14:paraId="4190A918" w14:textId="77777777" w:rsidR="00015F8B" w:rsidRPr="00500E97" w:rsidRDefault="00015F8B" w:rsidP="00A55582">
      <w:pPr>
        <w:spacing w:after="0" w:line="240" w:lineRule="auto"/>
        <w:ind w:firstLine="709"/>
        <w:jc w:val="both"/>
        <w:rPr>
          <w:b/>
          <w:szCs w:val="28"/>
        </w:rPr>
      </w:pPr>
    </w:p>
    <w:p w14:paraId="27254F94" w14:textId="77777777" w:rsidR="005D5502" w:rsidRPr="00500E97" w:rsidRDefault="005D5502" w:rsidP="00A55582">
      <w:pPr>
        <w:widowControl w:val="0"/>
        <w:spacing w:after="0" w:line="240" w:lineRule="auto"/>
        <w:ind w:firstLine="709"/>
        <w:jc w:val="both"/>
        <w:rPr>
          <w:szCs w:val="28"/>
        </w:rPr>
      </w:pPr>
    </w:p>
    <w:p w14:paraId="4083AD8F" w14:textId="264E38E1" w:rsidR="009F1D20" w:rsidRDefault="00015F8B" w:rsidP="00A55582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3B3BDE">
        <w:rPr>
          <w:sz w:val="20"/>
          <w:szCs w:val="20"/>
        </w:rPr>
        <w:t>Вик</w:t>
      </w:r>
      <w:proofErr w:type="spellEnd"/>
      <w:r w:rsidRPr="003B3BDE">
        <w:rPr>
          <w:sz w:val="20"/>
          <w:szCs w:val="20"/>
        </w:rPr>
        <w:t>.: В. Попович</w:t>
      </w:r>
      <w:r w:rsidR="00644F0C" w:rsidRPr="003B3BDE">
        <w:rPr>
          <w:sz w:val="20"/>
          <w:szCs w:val="20"/>
        </w:rPr>
        <w:t>, Т. Ругаєва</w:t>
      </w:r>
    </w:p>
    <w:p w14:paraId="2BF3614B" w14:textId="77777777" w:rsidR="004204D2" w:rsidRPr="003B3BDE" w:rsidRDefault="004204D2" w:rsidP="00A55582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4204D2" w:rsidRPr="003B3BDE" w:rsidSect="00A55582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89C1" w14:textId="77777777" w:rsidR="007430DD" w:rsidRDefault="007430DD" w:rsidP="00015F8B">
      <w:pPr>
        <w:spacing w:after="0" w:line="240" w:lineRule="auto"/>
      </w:pPr>
      <w:r>
        <w:separator/>
      </w:r>
    </w:p>
  </w:endnote>
  <w:endnote w:type="continuationSeparator" w:id="0">
    <w:p w14:paraId="687540F3" w14:textId="77777777" w:rsidR="007430DD" w:rsidRDefault="007430DD" w:rsidP="000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charset w:val="AC"/>
    <w:family w:val="auto"/>
    <w:pitch w:val="variable"/>
    <w:sig w:usb0="00001000" w:usb1="00000004" w:usb2="00000004" w:usb3="00002000" w:csb0="00001000" w:csb1="01401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D9DF" w14:textId="77777777" w:rsidR="00ED2A68" w:rsidRDefault="007F0E8C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64A0F895" w14:textId="77777777" w:rsidR="00ED2A68" w:rsidRDefault="007430DD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0C2D" w14:textId="77777777" w:rsidR="007430DD" w:rsidRDefault="007430DD" w:rsidP="00015F8B">
      <w:pPr>
        <w:spacing w:after="0" w:line="240" w:lineRule="auto"/>
      </w:pPr>
      <w:r>
        <w:separator/>
      </w:r>
    </w:p>
  </w:footnote>
  <w:footnote w:type="continuationSeparator" w:id="0">
    <w:p w14:paraId="1CC4F6F2" w14:textId="77777777" w:rsidR="007430DD" w:rsidRDefault="007430DD" w:rsidP="0001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3897" w14:textId="3CA7C21A" w:rsidR="00673120" w:rsidRDefault="007F0E8C" w:rsidP="00A555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63B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97D7" w14:textId="18CDC02C" w:rsidR="004B0A41" w:rsidRPr="0077580F" w:rsidRDefault="007F0E8C" w:rsidP="00D54651">
    <w:pPr>
      <w:pStyle w:val="a5"/>
      <w:jc w:val="right"/>
      <w:rPr>
        <w:sz w:val="20"/>
        <w:szCs w:val="20"/>
      </w:rPr>
    </w:pPr>
    <w:r w:rsidRPr="0077580F">
      <w:rPr>
        <w:sz w:val="20"/>
        <w:szCs w:val="20"/>
      </w:rPr>
      <w:t xml:space="preserve">До реєстр. № </w:t>
    </w:r>
    <w:r w:rsidR="004C39F7" w:rsidRPr="0077580F">
      <w:rPr>
        <w:sz w:val="20"/>
        <w:szCs w:val="20"/>
        <w:lang w:val="ru-RU"/>
      </w:rPr>
      <w:t>4599</w:t>
    </w:r>
    <w:r w:rsidR="003B3BDE" w:rsidRPr="0077580F">
      <w:rPr>
        <w:sz w:val="20"/>
        <w:szCs w:val="20"/>
        <w:lang w:val="ru-RU"/>
      </w:rPr>
      <w:t>-1</w:t>
    </w:r>
    <w:r w:rsidRPr="0077580F">
      <w:rPr>
        <w:sz w:val="20"/>
        <w:szCs w:val="20"/>
        <w:lang w:val="ru-RU"/>
      </w:rPr>
      <w:t xml:space="preserve"> </w:t>
    </w:r>
    <w:r w:rsidRPr="0077580F">
      <w:rPr>
        <w:sz w:val="20"/>
        <w:szCs w:val="20"/>
      </w:rPr>
      <w:t xml:space="preserve">від </w:t>
    </w:r>
    <w:r w:rsidR="003B3BDE" w:rsidRPr="0077580F">
      <w:rPr>
        <w:sz w:val="20"/>
        <w:szCs w:val="20"/>
        <w:lang w:val="ru-RU"/>
      </w:rPr>
      <w:t>02</w:t>
    </w:r>
    <w:r w:rsidRPr="0077580F">
      <w:rPr>
        <w:sz w:val="20"/>
        <w:szCs w:val="20"/>
      </w:rPr>
      <w:t>.</w:t>
    </w:r>
    <w:r w:rsidR="004C39F7" w:rsidRPr="0077580F">
      <w:rPr>
        <w:sz w:val="20"/>
        <w:szCs w:val="20"/>
        <w:lang w:val="ru-RU"/>
      </w:rPr>
      <w:t>0</w:t>
    </w:r>
    <w:r w:rsidR="003B3BDE" w:rsidRPr="0077580F">
      <w:rPr>
        <w:sz w:val="20"/>
        <w:szCs w:val="20"/>
        <w:lang w:val="ru-RU"/>
      </w:rPr>
      <w:t>2</w:t>
    </w:r>
    <w:r w:rsidRPr="0077580F">
      <w:rPr>
        <w:sz w:val="20"/>
        <w:szCs w:val="20"/>
      </w:rPr>
      <w:t>.202</w:t>
    </w:r>
    <w:r w:rsidR="00500E97" w:rsidRPr="0077580F">
      <w:rPr>
        <w:sz w:val="20"/>
        <w:szCs w:val="20"/>
        <w:lang w:val="ru-RU"/>
      </w:rPr>
      <w:t>1</w:t>
    </w:r>
  </w:p>
  <w:p w14:paraId="304CF171" w14:textId="77777777" w:rsidR="00015F8B" w:rsidRDefault="00015F8B" w:rsidP="00015F8B">
    <w:pPr>
      <w:pStyle w:val="a5"/>
      <w:jc w:val="right"/>
      <w:rPr>
        <w:sz w:val="20"/>
        <w:szCs w:val="20"/>
      </w:rPr>
    </w:pPr>
    <w:r w:rsidRPr="0077580F">
      <w:rPr>
        <w:sz w:val="20"/>
        <w:szCs w:val="20"/>
      </w:rPr>
      <w:t>Народні депутати України</w:t>
    </w:r>
    <w:r>
      <w:rPr>
        <w:sz w:val="20"/>
        <w:szCs w:val="20"/>
      </w:rPr>
      <w:t xml:space="preserve"> </w:t>
    </w:r>
  </w:p>
  <w:p w14:paraId="12D749D4" w14:textId="30F7CE75" w:rsidR="00407CE5" w:rsidRPr="00015F8B" w:rsidRDefault="003B3BDE" w:rsidP="00015F8B">
    <w:pPr>
      <w:pStyle w:val="a5"/>
      <w:jc w:val="right"/>
      <w:rPr>
        <w:sz w:val="20"/>
        <w:szCs w:val="20"/>
      </w:rPr>
    </w:pPr>
    <w:r>
      <w:rPr>
        <w:sz w:val="20"/>
        <w:szCs w:val="20"/>
        <w:lang w:val="ru-RU"/>
      </w:rPr>
      <w:t>Н</w:t>
    </w:r>
    <w:r w:rsidR="004C39F7">
      <w:rPr>
        <w:sz w:val="20"/>
        <w:szCs w:val="20"/>
        <w:lang w:val="ru-RU"/>
      </w:rPr>
      <w:t>.</w:t>
    </w:r>
    <w:r w:rsidR="00015F8B">
      <w:rPr>
        <w:sz w:val="20"/>
        <w:szCs w:val="20"/>
      </w:rPr>
      <w:t xml:space="preserve"> </w:t>
    </w:r>
    <w:proofErr w:type="spellStart"/>
    <w:r>
      <w:rPr>
        <w:sz w:val="20"/>
        <w:szCs w:val="20"/>
        <w:lang w:val="ru-RU"/>
      </w:rPr>
      <w:t>Яковл</w:t>
    </w:r>
    <w:r>
      <w:rPr>
        <w:sz w:val="20"/>
        <w:szCs w:val="20"/>
      </w:rPr>
      <w:t>єва</w:t>
    </w:r>
    <w:proofErr w:type="spellEnd"/>
    <w:r w:rsidR="00015F8B" w:rsidRPr="000F0418">
      <w:rPr>
        <w:sz w:val="20"/>
        <w:szCs w:val="20"/>
      </w:rPr>
      <w:t xml:space="preserve"> </w:t>
    </w:r>
    <w:r w:rsidR="00015F8B">
      <w:rPr>
        <w:sz w:val="20"/>
        <w:szCs w:val="20"/>
      </w:rPr>
      <w:t xml:space="preserve">та інші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877"/>
    <w:multiLevelType w:val="hybridMultilevel"/>
    <w:tmpl w:val="B5529AFC"/>
    <w:lvl w:ilvl="0" w:tplc="CE8C85DC">
      <w:start w:val="1"/>
      <w:numFmt w:val="decimal"/>
      <w:lvlText w:val="%1)"/>
      <w:lvlJc w:val="left"/>
      <w:pPr>
        <w:ind w:left="1556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8B"/>
    <w:rsid w:val="00014667"/>
    <w:rsid w:val="00015F8B"/>
    <w:rsid w:val="00027F38"/>
    <w:rsid w:val="00041B7A"/>
    <w:rsid w:val="0004348B"/>
    <w:rsid w:val="000673ED"/>
    <w:rsid w:val="00093E1E"/>
    <w:rsid w:val="000A63B3"/>
    <w:rsid w:val="000B59DB"/>
    <w:rsid w:val="000B7509"/>
    <w:rsid w:val="00102D19"/>
    <w:rsid w:val="001069B5"/>
    <w:rsid w:val="0012399A"/>
    <w:rsid w:val="00130839"/>
    <w:rsid w:val="0013441B"/>
    <w:rsid w:val="00143749"/>
    <w:rsid w:val="00154C45"/>
    <w:rsid w:val="001560F0"/>
    <w:rsid w:val="001569BF"/>
    <w:rsid w:val="0018272F"/>
    <w:rsid w:val="001A6583"/>
    <w:rsid w:val="001D1B65"/>
    <w:rsid w:val="00226BB2"/>
    <w:rsid w:val="00233545"/>
    <w:rsid w:val="00262144"/>
    <w:rsid w:val="00283E30"/>
    <w:rsid w:val="002957C7"/>
    <w:rsid w:val="002C55FD"/>
    <w:rsid w:val="002C6925"/>
    <w:rsid w:val="002D0982"/>
    <w:rsid w:val="002E567C"/>
    <w:rsid w:val="00352A1E"/>
    <w:rsid w:val="003A2089"/>
    <w:rsid w:val="003B3BDE"/>
    <w:rsid w:val="003C360B"/>
    <w:rsid w:val="003D5FC9"/>
    <w:rsid w:val="003F165F"/>
    <w:rsid w:val="003F3AC9"/>
    <w:rsid w:val="004204D2"/>
    <w:rsid w:val="00425F07"/>
    <w:rsid w:val="00440A01"/>
    <w:rsid w:val="0046639A"/>
    <w:rsid w:val="004A74C1"/>
    <w:rsid w:val="004C39F7"/>
    <w:rsid w:val="004D1AB6"/>
    <w:rsid w:val="00500E97"/>
    <w:rsid w:val="00512EE0"/>
    <w:rsid w:val="005152C4"/>
    <w:rsid w:val="005406D0"/>
    <w:rsid w:val="00554CDA"/>
    <w:rsid w:val="00563B96"/>
    <w:rsid w:val="00586B0B"/>
    <w:rsid w:val="00590569"/>
    <w:rsid w:val="005933B1"/>
    <w:rsid w:val="005A3F86"/>
    <w:rsid w:val="005A7D35"/>
    <w:rsid w:val="005C395A"/>
    <w:rsid w:val="005D40F3"/>
    <w:rsid w:val="005D5502"/>
    <w:rsid w:val="00600925"/>
    <w:rsid w:val="00601B71"/>
    <w:rsid w:val="00606F17"/>
    <w:rsid w:val="006113F7"/>
    <w:rsid w:val="006152A2"/>
    <w:rsid w:val="00621290"/>
    <w:rsid w:val="006342F5"/>
    <w:rsid w:val="00644F0C"/>
    <w:rsid w:val="0064539E"/>
    <w:rsid w:val="00655E14"/>
    <w:rsid w:val="006852A4"/>
    <w:rsid w:val="006B6FF2"/>
    <w:rsid w:val="006E7131"/>
    <w:rsid w:val="006F49BB"/>
    <w:rsid w:val="00711565"/>
    <w:rsid w:val="007153E4"/>
    <w:rsid w:val="007430DD"/>
    <w:rsid w:val="007725E0"/>
    <w:rsid w:val="0077580F"/>
    <w:rsid w:val="0079081D"/>
    <w:rsid w:val="00792A20"/>
    <w:rsid w:val="007A739A"/>
    <w:rsid w:val="007B16E7"/>
    <w:rsid w:val="007F0E8C"/>
    <w:rsid w:val="00800050"/>
    <w:rsid w:val="0080416E"/>
    <w:rsid w:val="008174F9"/>
    <w:rsid w:val="0084694A"/>
    <w:rsid w:val="00852E7F"/>
    <w:rsid w:val="00864C21"/>
    <w:rsid w:val="008C5086"/>
    <w:rsid w:val="008C566A"/>
    <w:rsid w:val="008D02BB"/>
    <w:rsid w:val="008E7A4C"/>
    <w:rsid w:val="00903F36"/>
    <w:rsid w:val="0090474E"/>
    <w:rsid w:val="00926DA6"/>
    <w:rsid w:val="00937F74"/>
    <w:rsid w:val="00963BD1"/>
    <w:rsid w:val="009653BD"/>
    <w:rsid w:val="009741A1"/>
    <w:rsid w:val="009909B1"/>
    <w:rsid w:val="009948A7"/>
    <w:rsid w:val="009A20C7"/>
    <w:rsid w:val="009F1D20"/>
    <w:rsid w:val="009F448F"/>
    <w:rsid w:val="00A021C0"/>
    <w:rsid w:val="00A04563"/>
    <w:rsid w:val="00A10C9C"/>
    <w:rsid w:val="00A20A04"/>
    <w:rsid w:val="00A23B9C"/>
    <w:rsid w:val="00A44F35"/>
    <w:rsid w:val="00A54976"/>
    <w:rsid w:val="00A55582"/>
    <w:rsid w:val="00A6253F"/>
    <w:rsid w:val="00A860D4"/>
    <w:rsid w:val="00A87DC0"/>
    <w:rsid w:val="00A922E6"/>
    <w:rsid w:val="00A930B0"/>
    <w:rsid w:val="00AA3ED0"/>
    <w:rsid w:val="00AA57D6"/>
    <w:rsid w:val="00AB77E7"/>
    <w:rsid w:val="00AC7732"/>
    <w:rsid w:val="00AE3B9F"/>
    <w:rsid w:val="00AF4E8D"/>
    <w:rsid w:val="00B119D0"/>
    <w:rsid w:val="00B34D93"/>
    <w:rsid w:val="00B40ECA"/>
    <w:rsid w:val="00B458DD"/>
    <w:rsid w:val="00B60B4B"/>
    <w:rsid w:val="00B7348A"/>
    <w:rsid w:val="00B765C4"/>
    <w:rsid w:val="00B84297"/>
    <w:rsid w:val="00B84997"/>
    <w:rsid w:val="00B925BC"/>
    <w:rsid w:val="00B9646C"/>
    <w:rsid w:val="00BE5CA9"/>
    <w:rsid w:val="00C132D6"/>
    <w:rsid w:val="00C21410"/>
    <w:rsid w:val="00C369D7"/>
    <w:rsid w:val="00C51174"/>
    <w:rsid w:val="00C52329"/>
    <w:rsid w:val="00C71F21"/>
    <w:rsid w:val="00C820D9"/>
    <w:rsid w:val="00CC3793"/>
    <w:rsid w:val="00CD65CB"/>
    <w:rsid w:val="00CE4772"/>
    <w:rsid w:val="00D038DA"/>
    <w:rsid w:val="00D37F6B"/>
    <w:rsid w:val="00D41A55"/>
    <w:rsid w:val="00D57747"/>
    <w:rsid w:val="00D6406C"/>
    <w:rsid w:val="00D85F60"/>
    <w:rsid w:val="00D92FB2"/>
    <w:rsid w:val="00DB4CD6"/>
    <w:rsid w:val="00DD28A1"/>
    <w:rsid w:val="00DF7843"/>
    <w:rsid w:val="00E06225"/>
    <w:rsid w:val="00E22E6D"/>
    <w:rsid w:val="00E263D7"/>
    <w:rsid w:val="00E33C0E"/>
    <w:rsid w:val="00E43A55"/>
    <w:rsid w:val="00E45B71"/>
    <w:rsid w:val="00E56405"/>
    <w:rsid w:val="00E86F3B"/>
    <w:rsid w:val="00E87DE7"/>
    <w:rsid w:val="00E91F51"/>
    <w:rsid w:val="00E92B9A"/>
    <w:rsid w:val="00EB04F9"/>
    <w:rsid w:val="00EB3833"/>
    <w:rsid w:val="00EC0D25"/>
    <w:rsid w:val="00EC5A32"/>
    <w:rsid w:val="00ED387A"/>
    <w:rsid w:val="00ED57B9"/>
    <w:rsid w:val="00ED6233"/>
    <w:rsid w:val="00EE1B73"/>
    <w:rsid w:val="00F01C4F"/>
    <w:rsid w:val="00F10608"/>
    <w:rsid w:val="00F21B49"/>
    <w:rsid w:val="00F4130B"/>
    <w:rsid w:val="00F45650"/>
    <w:rsid w:val="00F82987"/>
    <w:rsid w:val="00F84BE3"/>
    <w:rsid w:val="00FA15FE"/>
    <w:rsid w:val="00FD3C3B"/>
    <w:rsid w:val="00FD522C"/>
    <w:rsid w:val="00FE38CF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D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8B"/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015F8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5F8B"/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nhideWhenUsed/>
    <w:rsid w:val="00015F8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015F8B"/>
    <w:rPr>
      <w:rFonts w:ascii="Arial" w:eastAsia="Times New Roman" w:hAnsi="Arial" w:cs="Arial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15F8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015F8B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015F8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015F8B"/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styleId="a9">
    <w:name w:val="page number"/>
    <w:rsid w:val="00015F8B"/>
  </w:style>
  <w:style w:type="character" w:customStyle="1" w:styleId="30">
    <w:name w:val="Заголовок 3 Знак"/>
    <w:basedOn w:val="a0"/>
    <w:link w:val="3"/>
    <w:uiPriority w:val="9"/>
    <w:semiHidden/>
    <w:rsid w:val="00015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15F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a">
    <w:name w:val="Hyperlink"/>
    <w:basedOn w:val="a0"/>
    <w:uiPriority w:val="99"/>
    <w:unhideWhenUsed/>
    <w:rsid w:val="00A44F35"/>
    <w:rPr>
      <w:color w:val="0563C1" w:themeColor="hyperlink"/>
      <w:u w:val="single"/>
    </w:rPr>
  </w:style>
  <w:style w:type="paragraph" w:customStyle="1" w:styleId="1">
    <w:name w:val="Обычный (веб)1"/>
    <w:basedOn w:val="a"/>
    <w:uiPriority w:val="99"/>
    <w:rsid w:val="00A44F35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A44F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A6253F"/>
    <w:rPr>
      <w:i/>
      <w:iCs/>
    </w:rPr>
  </w:style>
  <w:style w:type="paragraph" w:customStyle="1" w:styleId="rvps2">
    <w:name w:val="rvps2"/>
    <w:basedOn w:val="a"/>
    <w:rsid w:val="00A625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d">
    <w:name w:val="No Spacing"/>
    <w:uiPriority w:val="99"/>
    <w:qFormat/>
    <w:rsid w:val="00A6253F"/>
    <w:pPr>
      <w:spacing w:after="0" w:line="240" w:lineRule="auto"/>
    </w:pPr>
    <w:rPr>
      <w:lang w:val="en-US"/>
    </w:rPr>
  </w:style>
  <w:style w:type="paragraph" w:styleId="ae">
    <w:name w:val="List Paragraph"/>
    <w:basedOn w:val="a"/>
    <w:uiPriority w:val="34"/>
    <w:qFormat/>
    <w:rsid w:val="00041B7A"/>
    <w:pPr>
      <w:spacing w:after="0" w:line="240" w:lineRule="auto"/>
      <w:ind w:left="720"/>
      <w:contextualSpacing/>
    </w:pPr>
    <w:rPr>
      <w:rFonts w:eastAsiaTheme="minorHAnsi" w:cstheme="minorBidi"/>
    </w:rPr>
  </w:style>
  <w:style w:type="paragraph" w:customStyle="1" w:styleId="Igor">
    <w:name w:val="Igor"/>
    <w:basedOn w:val="a"/>
    <w:autoRedefine/>
    <w:rsid w:val="00963BD1"/>
    <w:pPr>
      <w:spacing w:before="20" w:after="20" w:line="240" w:lineRule="auto"/>
      <w:ind w:firstLine="709"/>
      <w:jc w:val="both"/>
    </w:pPr>
    <w:rPr>
      <w:rFonts w:eastAsia="font312"/>
      <w:bCs/>
      <w:iCs/>
      <w:color w:val="000000"/>
      <w:szCs w:val="28"/>
      <w:lang w:eastAsia="ru-RU"/>
    </w:rPr>
  </w:style>
  <w:style w:type="character" w:customStyle="1" w:styleId="rvts9">
    <w:name w:val="rvts9"/>
    <w:basedOn w:val="a0"/>
    <w:rsid w:val="003D5FC9"/>
  </w:style>
  <w:style w:type="paragraph" w:styleId="af">
    <w:name w:val="Balloon Text"/>
    <w:basedOn w:val="a"/>
    <w:link w:val="af0"/>
    <w:uiPriority w:val="99"/>
    <w:semiHidden/>
    <w:unhideWhenUsed/>
    <w:rsid w:val="00A0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A04563"/>
    <w:rPr>
      <w:rFonts w:ascii="Segoe UI" w:eastAsia="Calibri" w:hAnsi="Segoe UI" w:cs="Segoe UI"/>
      <w:sz w:val="18"/>
      <w:szCs w:val="18"/>
      <w:lang w:val="uk-UA"/>
    </w:rPr>
  </w:style>
  <w:style w:type="paragraph" w:styleId="af1">
    <w:name w:val="footnote text"/>
    <w:basedOn w:val="a"/>
    <w:link w:val="af2"/>
    <w:uiPriority w:val="99"/>
    <w:semiHidden/>
    <w:unhideWhenUsed/>
    <w:rsid w:val="00E45B71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45B71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f3">
    <w:name w:val="footnote reference"/>
    <w:uiPriority w:val="99"/>
    <w:semiHidden/>
    <w:unhideWhenUsed/>
    <w:rsid w:val="00E45B7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2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76DD-AF2C-4F6E-B48C-B5551FC9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3931</Words>
  <Characters>2241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2021-05-14T08:03:00Z</dcterms:created>
  <dcterms:modified xsi:type="dcterms:W3CDTF">2021-05-14T08:04:00Z</dcterms:modified>
</cp:coreProperties>
</file>