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25" w:rsidRPr="008E2325" w:rsidRDefault="008E2325" w:rsidP="008E2325">
      <w:pPr>
        <w:ind w:left="12744" w:firstLine="708"/>
        <w:rPr>
          <w:rFonts w:ascii="Times New Roman" w:hAnsi="Times New Roman" w:cs="Times New Roman"/>
          <w:sz w:val="24"/>
          <w:szCs w:val="24"/>
        </w:rPr>
      </w:pPr>
    </w:p>
    <w:p w:rsidR="008E2325" w:rsidRPr="00FD57C6" w:rsidRDefault="008E2325" w:rsidP="008E2325">
      <w:pPr>
        <w:jc w:val="center"/>
        <w:rPr>
          <w:rFonts w:ascii="Times New Roman" w:hAnsi="Times New Roman" w:cs="Times New Roman"/>
          <w:b/>
        </w:rPr>
      </w:pPr>
      <w:r w:rsidRPr="00FD57C6">
        <w:rPr>
          <w:rFonts w:ascii="Times New Roman" w:hAnsi="Times New Roman" w:cs="Times New Roman"/>
          <w:b/>
        </w:rPr>
        <w:t>ПОРІВНЯЛЬНА ТАБЛИЦЯ</w:t>
      </w:r>
    </w:p>
    <w:p w:rsidR="008E2325" w:rsidRPr="00FD57C6" w:rsidRDefault="00890BF0" w:rsidP="008E2325">
      <w:pPr>
        <w:jc w:val="center"/>
        <w:rPr>
          <w:rFonts w:ascii="Times New Roman" w:hAnsi="Times New Roman" w:cs="Times New Roman"/>
          <w:b/>
        </w:rPr>
      </w:pPr>
      <w:r w:rsidRPr="00FD57C6">
        <w:rPr>
          <w:rFonts w:ascii="Times New Roman" w:hAnsi="Times New Roman" w:cs="Times New Roman"/>
          <w:b/>
        </w:rPr>
        <w:t>до проекту Закону України “Про здійснення іноземних інвестицій у суб’єкти господарювання, що мають стратегічне значення для національної безпеки України”</w:t>
      </w:r>
    </w:p>
    <w:tbl>
      <w:tblPr>
        <w:tblStyle w:val="a3"/>
        <w:tblW w:w="0" w:type="auto"/>
        <w:tblInd w:w="108" w:type="dxa"/>
        <w:tblLook w:val="04A0" w:firstRow="1" w:lastRow="0" w:firstColumn="1" w:lastColumn="0" w:noHBand="0" w:noVBand="1"/>
      </w:tblPr>
      <w:tblGrid>
        <w:gridCol w:w="4893"/>
        <w:gridCol w:w="4991"/>
        <w:gridCol w:w="5136"/>
      </w:tblGrid>
      <w:tr w:rsidR="008A2B5F" w:rsidRPr="00FD57C6" w:rsidTr="00BB0197">
        <w:tc>
          <w:tcPr>
            <w:tcW w:w="4934" w:type="dxa"/>
          </w:tcPr>
          <w:p w:rsidR="008A2B5F" w:rsidRPr="00FD57C6" w:rsidRDefault="001D1681" w:rsidP="00354CBD">
            <w:pPr>
              <w:jc w:val="center"/>
              <w:rPr>
                <w:rFonts w:ascii="Times New Roman" w:hAnsi="Times New Roman" w:cs="Times New Roman"/>
                <w:b/>
              </w:rPr>
            </w:pPr>
            <w:r w:rsidRPr="00FD57C6">
              <w:rPr>
                <w:rFonts w:ascii="Times New Roman" w:hAnsi="Times New Roman" w:cs="Times New Roman"/>
                <w:b/>
              </w:rPr>
              <w:t xml:space="preserve">Зміст положення </w:t>
            </w:r>
            <w:r w:rsidR="00354CBD" w:rsidRPr="00FD57C6">
              <w:rPr>
                <w:rFonts w:ascii="Times New Roman" w:hAnsi="Times New Roman" w:cs="Times New Roman"/>
                <w:b/>
              </w:rPr>
              <w:t>чинного законодавства</w:t>
            </w:r>
            <w:r w:rsidR="00354CBD" w:rsidRPr="00FD57C6">
              <w:rPr>
                <w:rFonts w:ascii="Times New Roman" w:hAnsi="Times New Roman" w:cs="Times New Roman"/>
                <w:b/>
              </w:rPr>
              <w:tab/>
            </w:r>
          </w:p>
        </w:tc>
        <w:tc>
          <w:tcPr>
            <w:tcW w:w="5043" w:type="dxa"/>
          </w:tcPr>
          <w:p w:rsidR="008A2B5F" w:rsidRPr="00FD57C6" w:rsidRDefault="008A2B5F" w:rsidP="008A2B5F">
            <w:pPr>
              <w:jc w:val="center"/>
              <w:rPr>
                <w:rFonts w:ascii="Times New Roman" w:hAnsi="Times New Roman" w:cs="Times New Roman"/>
                <w:b/>
              </w:rPr>
            </w:pPr>
            <w:r w:rsidRPr="00FD57C6">
              <w:rPr>
                <w:rFonts w:ascii="Times New Roman" w:hAnsi="Times New Roman" w:cs="Times New Roman"/>
                <w:b/>
              </w:rPr>
              <w:t xml:space="preserve">Зміст відповідного положення проекту </w:t>
            </w:r>
            <w:proofErr w:type="spellStart"/>
            <w:r w:rsidRPr="00FD57C6">
              <w:rPr>
                <w:rFonts w:ascii="Times New Roman" w:hAnsi="Times New Roman" w:cs="Times New Roman"/>
                <w:b/>
              </w:rPr>
              <w:t>акта</w:t>
            </w:r>
            <w:proofErr w:type="spellEnd"/>
          </w:p>
        </w:tc>
        <w:tc>
          <w:tcPr>
            <w:tcW w:w="5191" w:type="dxa"/>
          </w:tcPr>
          <w:p w:rsidR="008A2B5F" w:rsidRPr="00FD57C6" w:rsidRDefault="008A2B5F" w:rsidP="008A2B5F">
            <w:pPr>
              <w:jc w:val="center"/>
              <w:rPr>
                <w:rFonts w:ascii="Times New Roman" w:hAnsi="Times New Roman" w:cs="Times New Roman"/>
                <w:b/>
              </w:rPr>
            </w:pPr>
            <w:r w:rsidRPr="00FD57C6">
              <w:rPr>
                <w:rFonts w:ascii="Times New Roman" w:hAnsi="Times New Roman" w:cs="Times New Roman"/>
                <w:b/>
              </w:rPr>
              <w:t>Пояснення змін</w:t>
            </w:r>
          </w:p>
        </w:tc>
      </w:tr>
      <w:tr w:rsidR="005D6F9C" w:rsidRPr="00FD57C6" w:rsidTr="00BB0197">
        <w:tc>
          <w:tcPr>
            <w:tcW w:w="15168" w:type="dxa"/>
            <w:gridSpan w:val="3"/>
          </w:tcPr>
          <w:p w:rsidR="000F1B32" w:rsidRDefault="005D6F9C" w:rsidP="008A2B5F">
            <w:pPr>
              <w:jc w:val="center"/>
              <w:rPr>
                <w:rFonts w:ascii="Times New Roman" w:hAnsi="Times New Roman" w:cs="Times New Roman"/>
                <w:b/>
              </w:rPr>
            </w:pPr>
            <w:r w:rsidRPr="00FD57C6">
              <w:rPr>
                <w:rFonts w:ascii="Times New Roman" w:hAnsi="Times New Roman" w:cs="Times New Roman"/>
                <w:b/>
              </w:rPr>
              <w:t xml:space="preserve">Закон України “Про захист економічної конкуренції” </w:t>
            </w:r>
          </w:p>
          <w:p w:rsidR="005D6F9C" w:rsidRPr="00FD57C6" w:rsidRDefault="00FD57C6" w:rsidP="008A2B5F">
            <w:pPr>
              <w:jc w:val="center"/>
              <w:rPr>
                <w:rFonts w:ascii="Times New Roman" w:hAnsi="Times New Roman" w:cs="Times New Roman"/>
                <w:b/>
              </w:rPr>
            </w:pPr>
            <w:r w:rsidRPr="000F1B32">
              <w:rPr>
                <w:rFonts w:ascii="Times New Roman" w:hAnsi="Times New Roman" w:cs="Times New Roman"/>
                <w:b/>
              </w:rPr>
              <w:t>(Відомості Верховної Ради України, (ВВР), 2001 р., № 12, ст. 64)</w:t>
            </w:r>
          </w:p>
        </w:tc>
      </w:tr>
      <w:tr w:rsidR="008A2B5F" w:rsidRPr="00FD57C6" w:rsidTr="00BB0197">
        <w:tc>
          <w:tcPr>
            <w:tcW w:w="4934" w:type="dxa"/>
          </w:tcPr>
          <w:p w:rsidR="008A2B5F" w:rsidRDefault="001D5A5E" w:rsidP="007D0467">
            <w:pPr>
              <w:jc w:val="both"/>
              <w:rPr>
                <w:rFonts w:ascii="Times New Roman" w:hAnsi="Times New Roman" w:cs="Times New Roman"/>
                <w:b/>
              </w:rPr>
            </w:pPr>
            <w:r w:rsidRPr="001D5A5E">
              <w:rPr>
                <w:rFonts w:ascii="Times New Roman" w:hAnsi="Times New Roman" w:cs="Times New Roman"/>
                <w:b/>
              </w:rPr>
              <w:t>Стаття 24.</w:t>
            </w:r>
            <w:r w:rsidRPr="001D5A5E">
              <w:rPr>
                <w:rFonts w:ascii="Times New Roman" w:hAnsi="Times New Roman" w:cs="Times New Roman"/>
              </w:rPr>
              <w:t> </w:t>
            </w:r>
            <w:r w:rsidRPr="001D5A5E">
              <w:rPr>
                <w:rFonts w:ascii="Times New Roman" w:hAnsi="Times New Roman" w:cs="Times New Roman"/>
                <w:b/>
              </w:rPr>
              <w:t>Випадки, в яких необхідне отримання дозволу на концентрацію суб’єктів господарювання</w:t>
            </w:r>
          </w:p>
          <w:p w:rsidR="001F3453" w:rsidRDefault="001F3453" w:rsidP="001F3453">
            <w:pPr>
              <w:jc w:val="both"/>
              <w:rPr>
                <w:rFonts w:ascii="Times New Roman" w:hAnsi="Times New Roman" w:cs="Times New Roman"/>
                <w:b/>
              </w:rPr>
            </w:pPr>
            <w:r w:rsidRPr="00E235E0">
              <w:rPr>
                <w:rFonts w:ascii="Times New Roman" w:hAnsi="Times New Roman" w:cs="Times New Roman"/>
                <w:b/>
              </w:rPr>
              <w:t>&lt;…&gt;</w:t>
            </w:r>
          </w:p>
          <w:p w:rsidR="001F3453" w:rsidRPr="001F3453" w:rsidRDefault="001F3453" w:rsidP="001F3453">
            <w:pPr>
              <w:jc w:val="both"/>
              <w:rPr>
                <w:rFonts w:ascii="Times New Roman" w:hAnsi="Times New Roman" w:cs="Times New Roman"/>
                <w:b/>
              </w:rPr>
            </w:pPr>
          </w:p>
          <w:p w:rsidR="001F3453" w:rsidRDefault="001F3453" w:rsidP="001F3453">
            <w:pPr>
              <w:jc w:val="both"/>
              <w:rPr>
                <w:rFonts w:ascii="Times New Roman" w:hAnsi="Times New Roman" w:cs="Times New Roman"/>
              </w:rPr>
            </w:pPr>
            <w:r w:rsidRPr="001D5A5E">
              <w:rPr>
                <w:rFonts w:ascii="Times New Roman" w:hAnsi="Times New Roman" w:cs="Times New Roman"/>
              </w:rPr>
              <w:t>6. Дозвіл на концентрацію не надається, якщо така концентрація заборонена відповідно до </w:t>
            </w:r>
            <w:hyperlink r:id="rId7" w:tgtFrame="_blank" w:history="1">
              <w:r w:rsidRPr="001D5A5E">
                <w:rPr>
                  <w:rFonts w:ascii="Times New Roman" w:hAnsi="Times New Roman" w:cs="Times New Roman"/>
                </w:rPr>
                <w:t>Закону України</w:t>
              </w:r>
            </w:hyperlink>
            <w:r w:rsidRPr="001D5A5E">
              <w:rPr>
                <w:rFonts w:ascii="Times New Roman" w:hAnsi="Times New Roman" w:cs="Times New Roman"/>
              </w:rPr>
              <w:t> "Про санкції"</w:t>
            </w:r>
            <w:r>
              <w:rPr>
                <w:rFonts w:ascii="Times New Roman" w:hAnsi="Times New Roman" w:cs="Times New Roman"/>
              </w:rPr>
              <w:t>.</w:t>
            </w:r>
          </w:p>
          <w:p w:rsidR="001D5A5E" w:rsidRDefault="001D5A5E" w:rsidP="007D0467">
            <w:pPr>
              <w:jc w:val="both"/>
              <w:rPr>
                <w:rFonts w:ascii="Times New Roman" w:hAnsi="Times New Roman" w:cs="Times New Roman"/>
                <w:b/>
              </w:rPr>
            </w:pPr>
          </w:p>
          <w:p w:rsidR="001D5A5E" w:rsidRDefault="001D5A5E" w:rsidP="007D0467">
            <w:pPr>
              <w:jc w:val="both"/>
              <w:rPr>
                <w:rFonts w:ascii="Times New Roman" w:hAnsi="Times New Roman" w:cs="Times New Roman"/>
                <w:b/>
              </w:rPr>
            </w:pPr>
          </w:p>
          <w:p w:rsidR="001D5A5E" w:rsidRDefault="001D5A5E" w:rsidP="007D0467">
            <w:pPr>
              <w:jc w:val="both"/>
              <w:rPr>
                <w:rFonts w:ascii="Times New Roman" w:hAnsi="Times New Roman" w:cs="Times New Roman"/>
                <w:b/>
              </w:rPr>
            </w:pPr>
          </w:p>
          <w:p w:rsidR="001D5A5E" w:rsidRDefault="001D5A5E" w:rsidP="007D0467">
            <w:pPr>
              <w:jc w:val="both"/>
              <w:rPr>
                <w:rFonts w:ascii="Times New Roman" w:hAnsi="Times New Roman" w:cs="Times New Roman"/>
                <w:b/>
              </w:rPr>
            </w:pPr>
          </w:p>
          <w:p w:rsidR="001D5A5E" w:rsidRPr="00FD57C6" w:rsidRDefault="001D5A5E" w:rsidP="007D0467">
            <w:pPr>
              <w:jc w:val="both"/>
              <w:rPr>
                <w:rFonts w:ascii="Times New Roman" w:hAnsi="Times New Roman" w:cs="Times New Roman"/>
                <w:b/>
              </w:rPr>
            </w:pPr>
            <w:r>
              <w:rPr>
                <w:rFonts w:ascii="Times New Roman" w:hAnsi="Times New Roman" w:cs="Times New Roman"/>
                <w:b/>
              </w:rPr>
              <w:t>Частина відсутня</w:t>
            </w:r>
          </w:p>
        </w:tc>
        <w:tc>
          <w:tcPr>
            <w:tcW w:w="5043" w:type="dxa"/>
          </w:tcPr>
          <w:p w:rsidR="001D5A5E" w:rsidRDefault="001D5A5E" w:rsidP="007D0467">
            <w:pPr>
              <w:jc w:val="both"/>
              <w:rPr>
                <w:rFonts w:ascii="Times New Roman" w:hAnsi="Times New Roman" w:cs="Times New Roman"/>
                <w:b/>
              </w:rPr>
            </w:pPr>
            <w:r w:rsidRPr="001D5A5E">
              <w:rPr>
                <w:rFonts w:ascii="Times New Roman" w:hAnsi="Times New Roman" w:cs="Times New Roman"/>
                <w:b/>
              </w:rPr>
              <w:t>Стаття 24.</w:t>
            </w:r>
            <w:r w:rsidRPr="001D5A5E">
              <w:rPr>
                <w:rFonts w:ascii="Times New Roman" w:hAnsi="Times New Roman" w:cs="Times New Roman"/>
              </w:rPr>
              <w:t> </w:t>
            </w:r>
            <w:r w:rsidRPr="001D5A5E">
              <w:rPr>
                <w:rFonts w:ascii="Times New Roman" w:hAnsi="Times New Roman" w:cs="Times New Roman"/>
                <w:b/>
              </w:rPr>
              <w:t>Випадки, в яких необхідне отримання дозволу на концентрацію суб’єктів господарювання</w:t>
            </w:r>
          </w:p>
          <w:p w:rsidR="001F3453" w:rsidRDefault="001F3453" w:rsidP="001F3453">
            <w:pPr>
              <w:jc w:val="both"/>
              <w:rPr>
                <w:rFonts w:ascii="Times New Roman" w:hAnsi="Times New Roman" w:cs="Times New Roman"/>
                <w:b/>
              </w:rPr>
            </w:pPr>
            <w:r w:rsidRPr="00E235E0">
              <w:rPr>
                <w:rFonts w:ascii="Times New Roman" w:hAnsi="Times New Roman" w:cs="Times New Roman"/>
                <w:b/>
              </w:rPr>
              <w:t>&lt;…&gt;</w:t>
            </w:r>
          </w:p>
          <w:p w:rsidR="001F3453" w:rsidRPr="001F3453" w:rsidRDefault="001F3453" w:rsidP="007D0467">
            <w:pPr>
              <w:jc w:val="both"/>
              <w:rPr>
                <w:rFonts w:ascii="Times New Roman" w:hAnsi="Times New Roman" w:cs="Times New Roman"/>
                <w:b/>
              </w:rPr>
            </w:pPr>
          </w:p>
          <w:p w:rsidR="008A2B5F" w:rsidRDefault="001D5A5E" w:rsidP="001D5A5E">
            <w:pPr>
              <w:jc w:val="both"/>
              <w:rPr>
                <w:rFonts w:ascii="Times New Roman" w:hAnsi="Times New Roman" w:cs="Times New Roman"/>
              </w:rPr>
            </w:pPr>
            <w:r w:rsidRPr="001D5A5E">
              <w:rPr>
                <w:rFonts w:ascii="Times New Roman" w:hAnsi="Times New Roman" w:cs="Times New Roman"/>
              </w:rPr>
              <w:t>6. Дозвіл на концентрацію не надається, якщо така концентрація заборонена відповідно до </w:t>
            </w:r>
            <w:hyperlink r:id="rId8" w:tgtFrame="_blank" w:history="1">
              <w:r w:rsidRPr="001D5A5E">
                <w:rPr>
                  <w:rFonts w:ascii="Times New Roman" w:hAnsi="Times New Roman" w:cs="Times New Roman"/>
                </w:rPr>
                <w:t>Закону України</w:t>
              </w:r>
            </w:hyperlink>
            <w:r w:rsidRPr="001D5A5E">
              <w:rPr>
                <w:rFonts w:ascii="Times New Roman" w:hAnsi="Times New Roman" w:cs="Times New Roman"/>
              </w:rPr>
              <w:t> "Про санкції"</w:t>
            </w:r>
            <w:r w:rsidR="00BA3657">
              <w:rPr>
                <w:rFonts w:ascii="Times New Roman" w:hAnsi="Times New Roman" w:cs="Times New Roman"/>
              </w:rPr>
              <w:t>.</w:t>
            </w:r>
          </w:p>
          <w:p w:rsidR="001F3453" w:rsidRDefault="001F3453" w:rsidP="001D5A5E">
            <w:pPr>
              <w:jc w:val="both"/>
              <w:rPr>
                <w:rFonts w:ascii="Times New Roman" w:hAnsi="Times New Roman" w:cs="Times New Roman"/>
              </w:rPr>
            </w:pPr>
          </w:p>
          <w:p w:rsidR="001D5A5E" w:rsidRPr="00FD57C6" w:rsidRDefault="001D5A5E" w:rsidP="00E3156E">
            <w:pPr>
              <w:jc w:val="both"/>
              <w:rPr>
                <w:rFonts w:ascii="Times New Roman" w:hAnsi="Times New Roman" w:cs="Times New Roman"/>
                <w:b/>
              </w:rPr>
            </w:pPr>
            <w:r w:rsidRPr="001D5A5E">
              <w:rPr>
                <w:rFonts w:ascii="Times New Roman" w:hAnsi="Times New Roman" w:cs="Times New Roman"/>
              </w:rPr>
              <w:t>7. Дозвіл на концентрацію не надається, якщо відсутнє погодження правочину щодо здійснення іноземних інвестицій Між</w:t>
            </w:r>
            <w:r w:rsidR="00285284">
              <w:rPr>
                <w:rFonts w:ascii="Times New Roman" w:hAnsi="Times New Roman" w:cs="Times New Roman"/>
              </w:rPr>
              <w:t>відомчою</w:t>
            </w:r>
            <w:r w:rsidRPr="001D5A5E">
              <w:rPr>
                <w:rFonts w:ascii="Times New Roman" w:hAnsi="Times New Roman" w:cs="Times New Roman"/>
              </w:rPr>
              <w:t xml:space="preserve"> </w:t>
            </w:r>
            <w:r w:rsidR="00285284">
              <w:rPr>
                <w:rFonts w:ascii="Times New Roman" w:hAnsi="Times New Roman" w:cs="Times New Roman"/>
              </w:rPr>
              <w:t>к</w:t>
            </w:r>
            <w:r w:rsidRPr="001D5A5E">
              <w:rPr>
                <w:rFonts w:ascii="Times New Roman" w:hAnsi="Times New Roman" w:cs="Times New Roman"/>
              </w:rPr>
              <w:t>омісією з питань оцінки впливу іноземних інвестицій у випадках, передбачених Законом України “Про здійснення іноземних інвестицій у суб’єкти господарювання, що мають стратегічне значення для національної безпеки України”</w:t>
            </w:r>
          </w:p>
        </w:tc>
        <w:tc>
          <w:tcPr>
            <w:tcW w:w="5191" w:type="dxa"/>
          </w:tcPr>
          <w:p w:rsidR="008A2B5F" w:rsidRDefault="00BA3657" w:rsidP="00FD57C6">
            <w:pPr>
              <w:jc w:val="both"/>
              <w:rPr>
                <w:rFonts w:ascii="Times New Roman" w:hAnsi="Times New Roman" w:cs="Times New Roman"/>
              </w:rPr>
            </w:pPr>
            <w:r>
              <w:rPr>
                <w:rFonts w:ascii="Times New Roman" w:hAnsi="Times New Roman" w:cs="Times New Roman"/>
              </w:rPr>
              <w:t>Антимонопольний комітет України надає дозвіл на концентрацію, базуючись виключно на оцінці впливу заявленої трансакції на конкурентне середовище на задіяному товарному ринку.</w:t>
            </w:r>
          </w:p>
          <w:p w:rsidR="00BA3657" w:rsidRDefault="00BA3657" w:rsidP="00FD57C6">
            <w:pPr>
              <w:jc w:val="both"/>
              <w:rPr>
                <w:rFonts w:ascii="Times New Roman" w:hAnsi="Times New Roman" w:cs="Times New Roman"/>
              </w:rPr>
            </w:pPr>
            <w:r>
              <w:rPr>
                <w:rFonts w:ascii="Times New Roman" w:hAnsi="Times New Roman" w:cs="Times New Roman"/>
              </w:rPr>
              <w:t>Отже, наявність погодженого правочину щодо здійснення ін</w:t>
            </w:r>
            <w:r w:rsidR="007F1AD8">
              <w:rPr>
                <w:rFonts w:ascii="Times New Roman" w:hAnsi="Times New Roman" w:cs="Times New Roman"/>
              </w:rPr>
              <w:t>оземних інвестицій Міжвідомчою к</w:t>
            </w:r>
            <w:r>
              <w:rPr>
                <w:rFonts w:ascii="Times New Roman" w:hAnsi="Times New Roman" w:cs="Times New Roman"/>
              </w:rPr>
              <w:t>омісією з питань оцінки впливу іноземних інвестицій не може бути підставою для надання дозволу на концентрацію.</w:t>
            </w:r>
          </w:p>
          <w:p w:rsidR="00BA3657" w:rsidRDefault="00BA3657" w:rsidP="00FD57C6">
            <w:pPr>
              <w:jc w:val="both"/>
              <w:rPr>
                <w:rFonts w:ascii="Times New Roman" w:hAnsi="Times New Roman" w:cs="Times New Roman"/>
              </w:rPr>
            </w:pPr>
            <w:r>
              <w:rPr>
                <w:rFonts w:ascii="Times New Roman" w:hAnsi="Times New Roman" w:cs="Times New Roman"/>
              </w:rPr>
              <w:t xml:space="preserve">Разом з тим відсутність такого правочину може бути однією з підстав, які виходять за сферу оцінки наслідків концентрації для конкуренції, але за яких дозвіл </w:t>
            </w:r>
            <w:r w:rsidR="001F3453">
              <w:rPr>
                <w:rFonts w:ascii="Times New Roman" w:hAnsi="Times New Roman" w:cs="Times New Roman"/>
              </w:rPr>
              <w:t>на концентрацію не надається.</w:t>
            </w:r>
            <w:r>
              <w:rPr>
                <w:rFonts w:ascii="Times New Roman" w:hAnsi="Times New Roman" w:cs="Times New Roman"/>
              </w:rPr>
              <w:t xml:space="preserve"> </w:t>
            </w:r>
          </w:p>
          <w:p w:rsidR="00BA3657" w:rsidRPr="00FD57C6" w:rsidRDefault="00BA3657" w:rsidP="00FD57C6">
            <w:pPr>
              <w:jc w:val="both"/>
              <w:rPr>
                <w:rFonts w:ascii="Times New Roman" w:hAnsi="Times New Roman" w:cs="Times New Roman"/>
              </w:rPr>
            </w:pPr>
          </w:p>
        </w:tc>
      </w:tr>
      <w:tr w:rsidR="001D5A5E" w:rsidRPr="00FD57C6" w:rsidTr="00BB0197">
        <w:tc>
          <w:tcPr>
            <w:tcW w:w="4934" w:type="dxa"/>
          </w:tcPr>
          <w:p w:rsidR="001D5A5E" w:rsidRPr="00FD57C6" w:rsidRDefault="001D5A5E" w:rsidP="001D5A5E">
            <w:pPr>
              <w:jc w:val="both"/>
              <w:rPr>
                <w:rFonts w:ascii="Times New Roman" w:hAnsi="Times New Roman" w:cs="Times New Roman"/>
                <w:b/>
              </w:rPr>
            </w:pPr>
            <w:r w:rsidRPr="00FD57C6">
              <w:rPr>
                <w:rFonts w:ascii="Times New Roman" w:hAnsi="Times New Roman" w:cs="Times New Roman"/>
                <w:b/>
              </w:rPr>
              <w:t>Стаття 25.</w:t>
            </w:r>
            <w:r w:rsidRPr="00FD57C6">
              <w:t xml:space="preserve"> </w:t>
            </w:r>
            <w:r w:rsidRPr="00FD57C6">
              <w:rPr>
                <w:rFonts w:ascii="Times New Roman" w:hAnsi="Times New Roman" w:cs="Times New Roman"/>
                <w:b/>
              </w:rPr>
              <w:t>Підстави надання дозволу на концентрацію суб’єктів господарювання</w:t>
            </w:r>
          </w:p>
          <w:p w:rsidR="001D5A5E" w:rsidRPr="00FD57C6" w:rsidRDefault="001D5A5E" w:rsidP="001D5A5E">
            <w:pPr>
              <w:jc w:val="both"/>
              <w:rPr>
                <w:rFonts w:ascii="Times New Roman" w:hAnsi="Times New Roman" w:cs="Times New Roman"/>
              </w:rPr>
            </w:pPr>
          </w:p>
          <w:p w:rsidR="001D5A5E" w:rsidRPr="00FD57C6" w:rsidRDefault="001D5A5E" w:rsidP="001D5A5E">
            <w:pPr>
              <w:jc w:val="both"/>
              <w:rPr>
                <w:rFonts w:ascii="Times New Roman" w:hAnsi="Times New Roman" w:cs="Times New Roman"/>
              </w:rPr>
            </w:pPr>
            <w:r w:rsidRPr="00FD57C6">
              <w:rPr>
                <w:rFonts w:ascii="Times New Roman" w:hAnsi="Times New Roman" w:cs="Times New Roman"/>
              </w:rPr>
              <w:t>1. Антимонопольний комітет України чи адміністративна колегія Антимонопольного комітету України надають дозвіл на концентрацію у разі, якщо вона не призводить до монополізації чи суттєвого обмеження конкуренції на всьому ринку чи в значній його частині.</w:t>
            </w:r>
          </w:p>
          <w:p w:rsidR="001D5A5E" w:rsidRPr="00FD57C6" w:rsidRDefault="001D5A5E" w:rsidP="001D5A5E">
            <w:pPr>
              <w:jc w:val="both"/>
              <w:rPr>
                <w:rFonts w:ascii="Times New Roman" w:hAnsi="Times New Roman" w:cs="Times New Roman"/>
              </w:rPr>
            </w:pPr>
          </w:p>
          <w:p w:rsidR="001D5A5E" w:rsidRPr="00FD57C6" w:rsidRDefault="001D5A5E" w:rsidP="001D5A5E">
            <w:pPr>
              <w:jc w:val="both"/>
              <w:rPr>
                <w:rFonts w:ascii="Times New Roman" w:hAnsi="Times New Roman" w:cs="Times New Roman"/>
                <w:b/>
              </w:rPr>
            </w:pPr>
            <w:r>
              <w:rPr>
                <w:rFonts w:ascii="Times New Roman" w:hAnsi="Times New Roman" w:cs="Times New Roman"/>
                <w:b/>
              </w:rPr>
              <w:t>Абзац  відсутній</w:t>
            </w:r>
          </w:p>
        </w:tc>
        <w:tc>
          <w:tcPr>
            <w:tcW w:w="5043" w:type="dxa"/>
          </w:tcPr>
          <w:p w:rsidR="001D5A5E" w:rsidRPr="00FD57C6" w:rsidRDefault="001D5A5E" w:rsidP="001D5A5E">
            <w:pPr>
              <w:jc w:val="both"/>
              <w:rPr>
                <w:rFonts w:ascii="Times New Roman" w:hAnsi="Times New Roman" w:cs="Times New Roman"/>
                <w:b/>
              </w:rPr>
            </w:pPr>
            <w:r w:rsidRPr="00FD57C6">
              <w:rPr>
                <w:rFonts w:ascii="Times New Roman" w:hAnsi="Times New Roman" w:cs="Times New Roman"/>
                <w:b/>
              </w:rPr>
              <w:t>Стаття 25.</w:t>
            </w:r>
            <w:r w:rsidRPr="00FD57C6">
              <w:t xml:space="preserve"> </w:t>
            </w:r>
            <w:r w:rsidRPr="00FD57C6">
              <w:rPr>
                <w:rFonts w:ascii="Times New Roman" w:hAnsi="Times New Roman" w:cs="Times New Roman"/>
                <w:b/>
              </w:rPr>
              <w:t>Підстави надання дозволу на концентрацію суб’єктів господарювання</w:t>
            </w:r>
          </w:p>
          <w:p w:rsidR="001D5A5E" w:rsidRPr="00FD57C6" w:rsidRDefault="001D5A5E" w:rsidP="001D5A5E">
            <w:pPr>
              <w:jc w:val="both"/>
              <w:rPr>
                <w:rFonts w:ascii="Times New Roman" w:hAnsi="Times New Roman" w:cs="Times New Roman"/>
              </w:rPr>
            </w:pPr>
          </w:p>
          <w:p w:rsidR="001D5A5E" w:rsidRPr="00FD57C6" w:rsidRDefault="001D5A5E" w:rsidP="001D5A5E">
            <w:pPr>
              <w:jc w:val="both"/>
              <w:rPr>
                <w:rFonts w:ascii="Times New Roman" w:hAnsi="Times New Roman" w:cs="Times New Roman"/>
              </w:rPr>
            </w:pPr>
            <w:r w:rsidRPr="00FD57C6">
              <w:rPr>
                <w:rFonts w:ascii="Times New Roman" w:hAnsi="Times New Roman" w:cs="Times New Roman"/>
              </w:rPr>
              <w:t>1. Антимонопольний комітет України чи адміністративна колегія Антимонопольного комітету України надають дозвіл на концентрацію у разі, якщо вона не призводить до монополізації чи суттєвого обмеження конкуренції на всьому ринку чи в значній його частині.</w:t>
            </w:r>
          </w:p>
          <w:p w:rsidR="001D5A5E" w:rsidRPr="00FD57C6" w:rsidRDefault="001D5A5E" w:rsidP="001D5A5E">
            <w:pPr>
              <w:jc w:val="both"/>
              <w:rPr>
                <w:rFonts w:ascii="Times New Roman" w:hAnsi="Times New Roman" w:cs="Times New Roman"/>
              </w:rPr>
            </w:pPr>
          </w:p>
          <w:p w:rsidR="001D5A5E" w:rsidRPr="00FD57C6" w:rsidRDefault="001D5A5E" w:rsidP="00E3156E">
            <w:pPr>
              <w:jc w:val="both"/>
              <w:rPr>
                <w:rFonts w:ascii="Times New Roman" w:hAnsi="Times New Roman" w:cs="Times New Roman"/>
                <w:b/>
              </w:rPr>
            </w:pPr>
            <w:r w:rsidRPr="002D18AF">
              <w:rPr>
                <w:rFonts w:ascii="Times New Roman" w:hAnsi="Times New Roman" w:cs="Times New Roman"/>
                <w:b/>
              </w:rPr>
              <w:t xml:space="preserve">Якщо учасниками концентрації виступають суб’єкти господарювання – нерезиденти України, які набувають або мають намір набути контроль над суб’єктом господарювання, що має стратегічне значення для національної безпеки України, дозвіл на концентрацію </w:t>
            </w:r>
            <w:r w:rsidRPr="002D18AF">
              <w:rPr>
                <w:rFonts w:ascii="Times New Roman" w:hAnsi="Times New Roman" w:cs="Times New Roman"/>
                <w:b/>
              </w:rPr>
              <w:lastRenderedPageBreak/>
              <w:t>надається після погодження правочину щодо здійснення ін</w:t>
            </w:r>
            <w:r>
              <w:rPr>
                <w:rFonts w:ascii="Times New Roman" w:hAnsi="Times New Roman" w:cs="Times New Roman"/>
                <w:b/>
              </w:rPr>
              <w:t>оземних інвестицій Міжвідомчою к</w:t>
            </w:r>
            <w:r w:rsidRPr="002D18AF">
              <w:rPr>
                <w:rFonts w:ascii="Times New Roman" w:hAnsi="Times New Roman" w:cs="Times New Roman"/>
                <w:b/>
              </w:rPr>
              <w:t>омісією з питань оцінки впливу іноземних інвестицій на національну безпеку України, у порядку визначеному Законом України «Про здійснення іноземних інвестицій у суб’єкти господарювання, що мають стратегічне значення для забезпечен</w:t>
            </w:r>
            <w:r>
              <w:rPr>
                <w:rFonts w:ascii="Times New Roman" w:hAnsi="Times New Roman" w:cs="Times New Roman"/>
                <w:b/>
              </w:rPr>
              <w:t>ня національної безпеки України</w:t>
            </w:r>
            <w:r w:rsidRPr="002D18AF">
              <w:rPr>
                <w:rFonts w:ascii="Times New Roman" w:hAnsi="Times New Roman" w:cs="Times New Roman"/>
                <w:b/>
              </w:rPr>
              <w:t>.</w:t>
            </w:r>
          </w:p>
        </w:tc>
        <w:tc>
          <w:tcPr>
            <w:tcW w:w="5191" w:type="dxa"/>
          </w:tcPr>
          <w:p w:rsidR="001D5A5E" w:rsidRPr="00FD57C6" w:rsidRDefault="001D5A5E" w:rsidP="001D5A5E">
            <w:pPr>
              <w:jc w:val="both"/>
              <w:rPr>
                <w:rFonts w:ascii="Times New Roman" w:hAnsi="Times New Roman" w:cs="Times New Roman"/>
              </w:rPr>
            </w:pPr>
            <w:r w:rsidRPr="00FD57C6">
              <w:rPr>
                <w:rFonts w:ascii="Times New Roman" w:hAnsi="Times New Roman" w:cs="Times New Roman"/>
              </w:rPr>
              <w:lastRenderedPageBreak/>
              <w:t>Положення законопроекту “Про здійснення іноземних інвестицій у суб’єкти господарювання, що мають стратегічне значення для національної безпеки України”  направлені на уникнення концентрації іноземного капіталу у стратегічних сферах економіки.</w:t>
            </w:r>
          </w:p>
          <w:p w:rsidR="001D5A5E" w:rsidRDefault="001D5A5E" w:rsidP="001D5A5E">
            <w:pPr>
              <w:jc w:val="both"/>
              <w:rPr>
                <w:rFonts w:ascii="Times New Roman" w:hAnsi="Times New Roman" w:cs="Times New Roman"/>
              </w:rPr>
            </w:pPr>
          </w:p>
          <w:p w:rsidR="001D5A5E" w:rsidRDefault="001D5A5E" w:rsidP="001D5A5E">
            <w:pPr>
              <w:jc w:val="both"/>
              <w:rPr>
                <w:rFonts w:ascii="Times New Roman" w:hAnsi="Times New Roman" w:cs="Times New Roman"/>
              </w:rPr>
            </w:pPr>
            <w:r>
              <w:rPr>
                <w:rFonts w:ascii="Times New Roman" w:hAnsi="Times New Roman" w:cs="Times New Roman"/>
              </w:rPr>
              <w:t xml:space="preserve">Надання </w:t>
            </w:r>
            <w:r w:rsidRPr="00FD57C6">
              <w:rPr>
                <w:rFonts w:ascii="Times New Roman" w:hAnsi="Times New Roman" w:cs="Times New Roman"/>
              </w:rPr>
              <w:t>Антимонопольн</w:t>
            </w:r>
            <w:r>
              <w:rPr>
                <w:rFonts w:ascii="Times New Roman" w:hAnsi="Times New Roman" w:cs="Times New Roman"/>
              </w:rPr>
              <w:t>им</w:t>
            </w:r>
            <w:r w:rsidRPr="00FD57C6">
              <w:rPr>
                <w:rFonts w:ascii="Times New Roman" w:hAnsi="Times New Roman" w:cs="Times New Roman"/>
              </w:rPr>
              <w:t xml:space="preserve"> комітет</w:t>
            </w:r>
            <w:r>
              <w:rPr>
                <w:rFonts w:ascii="Times New Roman" w:hAnsi="Times New Roman" w:cs="Times New Roman"/>
              </w:rPr>
              <w:t>ом України чи адміністративною колегією</w:t>
            </w:r>
            <w:r w:rsidRPr="00FD57C6">
              <w:rPr>
                <w:rFonts w:ascii="Times New Roman" w:hAnsi="Times New Roman" w:cs="Times New Roman"/>
              </w:rPr>
              <w:t xml:space="preserve"> Антимонопольного комітету</w:t>
            </w:r>
            <w:r>
              <w:rPr>
                <w:rFonts w:ascii="Times New Roman" w:hAnsi="Times New Roman" w:cs="Times New Roman"/>
              </w:rPr>
              <w:t xml:space="preserve"> дозволу на концентрацію</w:t>
            </w:r>
            <w:r w:rsidRPr="00FD57C6">
              <w:rPr>
                <w:rFonts w:ascii="Times New Roman" w:hAnsi="Times New Roman" w:cs="Times New Roman"/>
              </w:rPr>
              <w:t xml:space="preserve"> </w:t>
            </w:r>
            <w:r>
              <w:rPr>
                <w:rFonts w:ascii="Times New Roman" w:hAnsi="Times New Roman" w:cs="Times New Roman"/>
              </w:rPr>
              <w:t xml:space="preserve">іноземним інвесторам, що мають на меті набути контроль над </w:t>
            </w:r>
            <w:r w:rsidRPr="00FD57C6">
              <w:rPr>
                <w:rFonts w:ascii="Times New Roman" w:hAnsi="Times New Roman" w:cs="Times New Roman"/>
              </w:rPr>
              <w:t xml:space="preserve">  суб’єкт</w:t>
            </w:r>
            <w:r>
              <w:rPr>
                <w:rFonts w:ascii="Times New Roman" w:hAnsi="Times New Roman" w:cs="Times New Roman"/>
              </w:rPr>
              <w:t>ом господарювання, що має</w:t>
            </w:r>
            <w:r w:rsidRPr="00FD57C6">
              <w:rPr>
                <w:rFonts w:ascii="Times New Roman" w:hAnsi="Times New Roman" w:cs="Times New Roman"/>
              </w:rPr>
              <w:t xml:space="preserve"> стратегічне значення для національної безпеки України</w:t>
            </w:r>
            <w:r>
              <w:rPr>
                <w:rFonts w:ascii="Times New Roman" w:hAnsi="Times New Roman" w:cs="Times New Roman"/>
              </w:rPr>
              <w:t>,  можливе виключно за умови погодження  правочину</w:t>
            </w:r>
            <w:r w:rsidRPr="00FD57C6">
              <w:rPr>
                <w:rFonts w:ascii="Times New Roman" w:hAnsi="Times New Roman" w:cs="Times New Roman"/>
              </w:rPr>
              <w:t xml:space="preserve"> </w:t>
            </w:r>
            <w:r>
              <w:rPr>
                <w:rFonts w:ascii="Times New Roman" w:hAnsi="Times New Roman" w:cs="Times New Roman"/>
              </w:rPr>
              <w:t>щодо здійснення іноземних інвестицій у стратегічних сферах</w:t>
            </w:r>
            <w:r w:rsidRPr="00FD57C6">
              <w:rPr>
                <w:rFonts w:ascii="Times New Roman" w:hAnsi="Times New Roman" w:cs="Times New Roman"/>
              </w:rPr>
              <w:t xml:space="preserve"> </w:t>
            </w:r>
            <w:r>
              <w:rPr>
                <w:rFonts w:ascii="Times New Roman" w:hAnsi="Times New Roman" w:cs="Times New Roman"/>
              </w:rPr>
              <w:t>Міжвідомчою к</w:t>
            </w:r>
            <w:r w:rsidRPr="00FD57C6">
              <w:rPr>
                <w:rFonts w:ascii="Times New Roman" w:hAnsi="Times New Roman" w:cs="Times New Roman"/>
              </w:rPr>
              <w:t xml:space="preserve">омісією з </w:t>
            </w:r>
            <w:r w:rsidRPr="00FD57C6">
              <w:rPr>
                <w:rFonts w:ascii="Times New Roman" w:hAnsi="Times New Roman" w:cs="Times New Roman"/>
              </w:rPr>
              <w:lastRenderedPageBreak/>
              <w:t>питань оцінки впливу іноземних інвестицій на національну безпеку України.</w:t>
            </w:r>
          </w:p>
          <w:p w:rsidR="001D5A5E" w:rsidRPr="00FD57C6" w:rsidRDefault="001D5A5E" w:rsidP="001D5A5E">
            <w:pPr>
              <w:jc w:val="both"/>
              <w:rPr>
                <w:rFonts w:ascii="Times New Roman" w:hAnsi="Times New Roman" w:cs="Times New Roman"/>
              </w:rPr>
            </w:pPr>
          </w:p>
          <w:p w:rsidR="001D5A5E" w:rsidRPr="00FD57C6" w:rsidRDefault="001D5A5E" w:rsidP="001D5A5E">
            <w:pPr>
              <w:jc w:val="both"/>
              <w:rPr>
                <w:rFonts w:ascii="Times New Roman" w:hAnsi="Times New Roman" w:cs="Times New Roman"/>
              </w:rPr>
            </w:pPr>
          </w:p>
          <w:p w:rsidR="001D5A5E" w:rsidRPr="00FD57C6" w:rsidRDefault="001D5A5E" w:rsidP="001D5A5E">
            <w:pPr>
              <w:jc w:val="both"/>
              <w:rPr>
                <w:rFonts w:ascii="Times New Roman" w:hAnsi="Times New Roman" w:cs="Times New Roman"/>
              </w:rPr>
            </w:pPr>
          </w:p>
          <w:p w:rsidR="001D5A5E" w:rsidRPr="00FD57C6" w:rsidRDefault="001D5A5E" w:rsidP="001D5A5E">
            <w:pPr>
              <w:jc w:val="both"/>
              <w:rPr>
                <w:rFonts w:ascii="Times New Roman" w:hAnsi="Times New Roman" w:cs="Times New Roman"/>
              </w:rPr>
            </w:pPr>
            <w:r w:rsidRPr="00FD57C6">
              <w:rPr>
                <w:rFonts w:ascii="Times New Roman" w:hAnsi="Times New Roman" w:cs="Times New Roman"/>
              </w:rPr>
              <w:t xml:space="preserve"> </w:t>
            </w:r>
          </w:p>
        </w:tc>
      </w:tr>
      <w:tr w:rsidR="001F3453" w:rsidRPr="00FD57C6" w:rsidTr="00BB0197">
        <w:tc>
          <w:tcPr>
            <w:tcW w:w="4934" w:type="dxa"/>
          </w:tcPr>
          <w:p w:rsidR="001F3453" w:rsidRDefault="001F3453" w:rsidP="001D5A5E">
            <w:pPr>
              <w:jc w:val="both"/>
              <w:rPr>
                <w:rFonts w:ascii="Times New Roman" w:hAnsi="Times New Roman" w:cs="Times New Roman"/>
                <w:b/>
              </w:rPr>
            </w:pPr>
            <w:r w:rsidRPr="001F3453">
              <w:rPr>
                <w:rFonts w:ascii="Times New Roman" w:hAnsi="Times New Roman" w:cs="Times New Roman"/>
                <w:b/>
              </w:rPr>
              <w:lastRenderedPageBreak/>
              <w:t>Стаття 26.</w:t>
            </w:r>
            <w:r w:rsidRPr="001F3453">
              <w:rPr>
                <w:rFonts w:ascii="Times New Roman" w:hAnsi="Times New Roman" w:cs="Times New Roman"/>
              </w:rPr>
              <w:t> </w:t>
            </w:r>
            <w:r w:rsidRPr="001F3453">
              <w:rPr>
                <w:rFonts w:ascii="Times New Roman" w:hAnsi="Times New Roman" w:cs="Times New Roman"/>
                <w:b/>
              </w:rPr>
              <w:t>Подання заяви про надання дозволу на узгоджені дії, концентрацію суб’єктів господарювання</w:t>
            </w:r>
          </w:p>
          <w:p w:rsidR="001F3453" w:rsidRDefault="001F3453" w:rsidP="001F3453">
            <w:pPr>
              <w:jc w:val="both"/>
              <w:rPr>
                <w:rFonts w:ascii="Times New Roman" w:hAnsi="Times New Roman" w:cs="Times New Roman"/>
                <w:b/>
              </w:rPr>
            </w:pPr>
            <w:r w:rsidRPr="00E235E0">
              <w:rPr>
                <w:rFonts w:ascii="Times New Roman" w:hAnsi="Times New Roman" w:cs="Times New Roman"/>
                <w:b/>
              </w:rPr>
              <w:t>&lt;…&gt;</w:t>
            </w:r>
          </w:p>
          <w:p w:rsidR="001F3453" w:rsidRDefault="001F3453" w:rsidP="001D5A5E">
            <w:pPr>
              <w:jc w:val="both"/>
              <w:rPr>
                <w:rFonts w:ascii="Times New Roman" w:hAnsi="Times New Roman" w:cs="Times New Roman"/>
                <w:b/>
              </w:rPr>
            </w:pPr>
          </w:p>
          <w:p w:rsidR="001F3453" w:rsidRPr="001F3453" w:rsidRDefault="001F3453" w:rsidP="001D5A5E">
            <w:pPr>
              <w:jc w:val="both"/>
              <w:rPr>
                <w:rFonts w:ascii="Times New Roman" w:hAnsi="Times New Roman" w:cs="Times New Roman"/>
                <w:b/>
              </w:rPr>
            </w:pPr>
            <w:r w:rsidRPr="001F3453">
              <w:rPr>
                <w:rFonts w:ascii="Times New Roman" w:hAnsi="Times New Roman" w:cs="Times New Roman"/>
                <w:color w:val="000000" w:themeColor="text1"/>
                <w:shd w:val="clear" w:color="auto" w:fill="FFFFFF"/>
              </w:rPr>
              <w:t>2. Заява вважається прийнятою до розгляду після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із повідомленням, що вона та інші документи не відповідають встановленим Антимонопольним комітетом України вимогам і це перешкоджає її розгляду та якщо концентрація не заборонена відповідно до </w:t>
            </w:r>
            <w:hyperlink r:id="rId9" w:tgtFrame="_blank" w:history="1">
              <w:r w:rsidRPr="001F3453">
                <w:rPr>
                  <w:rStyle w:val="a6"/>
                  <w:rFonts w:ascii="Times New Roman" w:hAnsi="Times New Roman" w:cs="Times New Roman"/>
                  <w:color w:val="000000" w:themeColor="text1"/>
                  <w:u w:val="none"/>
                  <w:shd w:val="clear" w:color="auto" w:fill="FFFFFF"/>
                </w:rPr>
                <w:t>Закону України</w:t>
              </w:r>
            </w:hyperlink>
            <w:r w:rsidRPr="001F3453">
              <w:rPr>
                <w:rFonts w:ascii="Times New Roman" w:hAnsi="Times New Roman" w:cs="Times New Roman"/>
                <w:color w:val="000000" w:themeColor="text1"/>
                <w:shd w:val="clear" w:color="auto" w:fill="FFFFFF"/>
              </w:rPr>
              <w:t> "Про санкції".</w:t>
            </w:r>
          </w:p>
        </w:tc>
        <w:tc>
          <w:tcPr>
            <w:tcW w:w="5043" w:type="dxa"/>
          </w:tcPr>
          <w:p w:rsidR="001F3453" w:rsidRDefault="001F3453" w:rsidP="001F3453">
            <w:pPr>
              <w:jc w:val="both"/>
              <w:rPr>
                <w:rFonts w:ascii="Times New Roman" w:hAnsi="Times New Roman" w:cs="Times New Roman"/>
                <w:b/>
              </w:rPr>
            </w:pPr>
            <w:r w:rsidRPr="001F3453">
              <w:rPr>
                <w:rFonts w:ascii="Times New Roman" w:hAnsi="Times New Roman" w:cs="Times New Roman"/>
                <w:b/>
              </w:rPr>
              <w:t>Стаття 26.</w:t>
            </w:r>
            <w:r w:rsidRPr="001F3453">
              <w:rPr>
                <w:rFonts w:ascii="Times New Roman" w:hAnsi="Times New Roman" w:cs="Times New Roman"/>
              </w:rPr>
              <w:t> </w:t>
            </w:r>
            <w:r w:rsidRPr="001F3453">
              <w:rPr>
                <w:rFonts w:ascii="Times New Roman" w:hAnsi="Times New Roman" w:cs="Times New Roman"/>
                <w:b/>
              </w:rPr>
              <w:t>Подання заяви про надання дозволу на узгоджені дії, концентрацію суб’єктів господарювання</w:t>
            </w:r>
          </w:p>
          <w:p w:rsidR="001F3453" w:rsidRDefault="001F3453" w:rsidP="001F3453">
            <w:pPr>
              <w:jc w:val="both"/>
              <w:rPr>
                <w:rFonts w:ascii="Times New Roman" w:hAnsi="Times New Roman" w:cs="Times New Roman"/>
                <w:b/>
              </w:rPr>
            </w:pPr>
            <w:r w:rsidRPr="00E235E0">
              <w:rPr>
                <w:rFonts w:ascii="Times New Roman" w:hAnsi="Times New Roman" w:cs="Times New Roman"/>
                <w:b/>
              </w:rPr>
              <w:t>&lt;…&gt;</w:t>
            </w:r>
          </w:p>
          <w:p w:rsidR="001F3453" w:rsidRDefault="001F3453" w:rsidP="001D5A5E">
            <w:pPr>
              <w:jc w:val="both"/>
              <w:rPr>
                <w:rFonts w:ascii="Times New Roman" w:eastAsia="Times New Roman" w:hAnsi="Times New Roman" w:cs="Times New Roman"/>
                <w:color w:val="000000" w:themeColor="text1"/>
                <w:sz w:val="28"/>
                <w:szCs w:val="28"/>
              </w:rPr>
            </w:pPr>
          </w:p>
          <w:p w:rsidR="001F3453" w:rsidRPr="001F3453" w:rsidRDefault="001F3453" w:rsidP="00E3156E">
            <w:pPr>
              <w:jc w:val="both"/>
              <w:rPr>
                <w:rFonts w:ascii="Times New Roman" w:hAnsi="Times New Roman" w:cs="Times New Roman"/>
                <w:b/>
              </w:rPr>
            </w:pPr>
            <w:r>
              <w:rPr>
                <w:rFonts w:ascii="Times New Roman" w:eastAsia="Times New Roman" w:hAnsi="Times New Roman" w:cs="Times New Roman"/>
                <w:color w:val="000000" w:themeColor="text1"/>
                <w:sz w:val="28"/>
                <w:szCs w:val="28"/>
              </w:rPr>
              <w:t>2</w:t>
            </w:r>
            <w:r w:rsidRPr="001F3453">
              <w:rPr>
                <w:rFonts w:ascii="Times New Roman" w:hAnsi="Times New Roman" w:cs="Times New Roman"/>
                <w:color w:val="000000" w:themeColor="text1"/>
                <w:shd w:val="clear" w:color="auto" w:fill="FFFFFF"/>
              </w:rPr>
              <w:t>.Заява вважається прийнятою до розгляду після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із повідомленням, що вона та інші документи не відповідають встановленим Антимонопольним комітетом України вимогам і не перешкоджає її розгляду, та відсутнє погодження правочину щодо здійснення іноз</w:t>
            </w:r>
            <w:r w:rsidR="007F1AD8">
              <w:rPr>
                <w:rFonts w:ascii="Times New Roman" w:hAnsi="Times New Roman" w:cs="Times New Roman"/>
                <w:color w:val="000000" w:themeColor="text1"/>
                <w:shd w:val="clear" w:color="auto" w:fill="FFFFFF"/>
              </w:rPr>
              <w:t>емних інвестицій Міжвідомчою к</w:t>
            </w:r>
            <w:r w:rsidRPr="001F3453">
              <w:rPr>
                <w:rFonts w:ascii="Times New Roman" w:hAnsi="Times New Roman" w:cs="Times New Roman"/>
                <w:color w:val="000000" w:themeColor="text1"/>
                <w:shd w:val="clear" w:color="auto" w:fill="FFFFFF"/>
              </w:rPr>
              <w:t>омісією з питань оцінки впливу іноземних інвестицій у випадках, передбачених Законом України “Про здійснення іноземних інвестицій у суб’єкти господарювання, що мають стратегічне значення для національної безпеки України”, концентрація не заборонена відповідно до Закону України “Про санкції”</w:t>
            </w:r>
          </w:p>
        </w:tc>
        <w:tc>
          <w:tcPr>
            <w:tcW w:w="5191" w:type="dxa"/>
          </w:tcPr>
          <w:p w:rsidR="001F3453" w:rsidRPr="00FD57C6" w:rsidRDefault="001F3453" w:rsidP="00D23129">
            <w:pPr>
              <w:jc w:val="both"/>
              <w:rPr>
                <w:rFonts w:ascii="Times New Roman" w:hAnsi="Times New Roman" w:cs="Times New Roman"/>
              </w:rPr>
            </w:pPr>
            <w:r>
              <w:rPr>
                <w:rFonts w:ascii="Times New Roman" w:hAnsi="Times New Roman" w:cs="Times New Roman"/>
              </w:rPr>
              <w:t xml:space="preserve">Внесення зазначеної зміни до </w:t>
            </w:r>
            <w:r w:rsidRPr="00DB6FA9">
              <w:rPr>
                <w:rFonts w:ascii="Times New Roman" w:hAnsi="Times New Roman" w:cs="Times New Roman"/>
              </w:rPr>
              <w:t>Закон України “Про захист економічної конкуренції”</w:t>
            </w:r>
            <w:r>
              <w:rPr>
                <w:rFonts w:ascii="Times New Roman" w:hAnsi="Times New Roman" w:cs="Times New Roman"/>
              </w:rPr>
              <w:t xml:space="preserve"> передбачає обов’язкове погодження </w:t>
            </w:r>
            <w:r w:rsidRPr="00DB6FA9">
              <w:rPr>
                <w:rFonts w:ascii="Times New Roman" w:hAnsi="Times New Roman" w:cs="Times New Roman"/>
              </w:rPr>
              <w:t>правочину щодо здійснення іноземних інвестицій у с</w:t>
            </w:r>
            <w:r>
              <w:rPr>
                <w:rFonts w:ascii="Times New Roman" w:hAnsi="Times New Roman" w:cs="Times New Roman"/>
              </w:rPr>
              <w:t>тратегічних сферах Міжвідомчою к</w:t>
            </w:r>
            <w:r w:rsidRPr="00DB6FA9">
              <w:rPr>
                <w:rFonts w:ascii="Times New Roman" w:hAnsi="Times New Roman" w:cs="Times New Roman"/>
              </w:rPr>
              <w:t>омісією з питань оцінки впливу іноземних інвестицій на національну безпеку України</w:t>
            </w:r>
            <w:r w:rsidR="00D23129">
              <w:rPr>
                <w:rFonts w:ascii="Times New Roman" w:hAnsi="Times New Roman" w:cs="Times New Roman"/>
              </w:rPr>
              <w:t>.</w:t>
            </w:r>
            <w:r>
              <w:rPr>
                <w:rFonts w:ascii="Times New Roman" w:hAnsi="Times New Roman" w:cs="Times New Roman"/>
              </w:rPr>
              <w:t xml:space="preserve"> </w:t>
            </w:r>
          </w:p>
        </w:tc>
      </w:tr>
      <w:tr w:rsidR="001D5A5E" w:rsidRPr="00FD57C6" w:rsidTr="00BB0197">
        <w:tc>
          <w:tcPr>
            <w:tcW w:w="4934" w:type="dxa"/>
          </w:tcPr>
          <w:p w:rsidR="001D5A5E" w:rsidRDefault="001D5A5E" w:rsidP="001D5A5E">
            <w:pPr>
              <w:jc w:val="both"/>
              <w:rPr>
                <w:rFonts w:ascii="Times New Roman" w:hAnsi="Times New Roman" w:cs="Times New Roman"/>
                <w:b/>
              </w:rPr>
            </w:pPr>
            <w:r>
              <w:rPr>
                <w:rFonts w:ascii="Times New Roman" w:hAnsi="Times New Roman" w:cs="Times New Roman"/>
                <w:b/>
              </w:rPr>
              <w:t>Стаття</w:t>
            </w:r>
            <w:r w:rsidRPr="002D18AF">
              <w:rPr>
                <w:rFonts w:ascii="Times New Roman" w:hAnsi="Times New Roman" w:cs="Times New Roman"/>
                <w:b/>
              </w:rPr>
              <w:t xml:space="preserve"> 27. Розгляд заяви про надання дозволу на узгоджені дії, концентрацію суб’єктів господарювання</w:t>
            </w:r>
          </w:p>
          <w:p w:rsidR="001D5A5E" w:rsidRDefault="001D5A5E" w:rsidP="001D5A5E">
            <w:pPr>
              <w:jc w:val="both"/>
              <w:rPr>
                <w:rFonts w:ascii="Times New Roman" w:hAnsi="Times New Roman" w:cs="Times New Roman"/>
                <w:b/>
              </w:rPr>
            </w:pPr>
          </w:p>
          <w:p w:rsidR="001D5A5E" w:rsidRDefault="001D5A5E" w:rsidP="001D5A5E">
            <w:pPr>
              <w:jc w:val="both"/>
              <w:rPr>
                <w:rFonts w:ascii="Times New Roman" w:hAnsi="Times New Roman" w:cs="Times New Roman"/>
                <w:b/>
              </w:rPr>
            </w:pPr>
            <w:r w:rsidRPr="002D18AF">
              <w:rPr>
                <w:rFonts w:ascii="Times New Roman" w:hAnsi="Times New Roman" w:cs="Times New Roman"/>
                <w:b/>
              </w:rPr>
              <w:t>&lt;…&gt;</w:t>
            </w:r>
          </w:p>
          <w:p w:rsidR="001D5A5E" w:rsidRDefault="001D5A5E" w:rsidP="001D5A5E">
            <w:pPr>
              <w:jc w:val="both"/>
              <w:rPr>
                <w:rFonts w:ascii="Times New Roman" w:hAnsi="Times New Roman" w:cs="Times New Roman"/>
              </w:rPr>
            </w:pPr>
            <w:r w:rsidRPr="002D18AF">
              <w:rPr>
                <w:rFonts w:ascii="Times New Roman" w:hAnsi="Times New Roman" w:cs="Times New Roman"/>
              </w:rPr>
              <w:t xml:space="preserve">2. Заява залишається без розгляду у випадку надходження від заявника клопотання про </w:t>
            </w:r>
            <w:r w:rsidRPr="002D18AF">
              <w:rPr>
                <w:rFonts w:ascii="Times New Roman" w:hAnsi="Times New Roman" w:cs="Times New Roman"/>
              </w:rPr>
              <w:lastRenderedPageBreak/>
              <w:t>відкликання заяви та якщо концентрація заборонена відповідно до Закону України "Про санкції", про що приймається розпорядження відповідних органів Антимонопольного комітету України.</w:t>
            </w:r>
          </w:p>
          <w:p w:rsidR="001D5A5E" w:rsidRDefault="001D5A5E" w:rsidP="001D5A5E">
            <w:pPr>
              <w:jc w:val="both"/>
              <w:rPr>
                <w:rFonts w:ascii="Times New Roman" w:hAnsi="Times New Roman" w:cs="Times New Roman"/>
              </w:rPr>
            </w:pPr>
          </w:p>
          <w:p w:rsidR="001D5A5E" w:rsidRPr="00E235E0" w:rsidRDefault="001D5A5E" w:rsidP="001D5A5E">
            <w:pPr>
              <w:jc w:val="both"/>
              <w:rPr>
                <w:rFonts w:ascii="Times New Roman" w:hAnsi="Times New Roman" w:cs="Times New Roman"/>
                <w:b/>
              </w:rPr>
            </w:pPr>
          </w:p>
        </w:tc>
        <w:tc>
          <w:tcPr>
            <w:tcW w:w="5043" w:type="dxa"/>
          </w:tcPr>
          <w:p w:rsidR="001D5A5E" w:rsidRDefault="001D5A5E" w:rsidP="001D5A5E">
            <w:pPr>
              <w:jc w:val="both"/>
              <w:rPr>
                <w:rFonts w:ascii="Times New Roman" w:hAnsi="Times New Roman" w:cs="Times New Roman"/>
                <w:b/>
              </w:rPr>
            </w:pPr>
            <w:r w:rsidRPr="00E235E0">
              <w:rPr>
                <w:rFonts w:ascii="Times New Roman" w:hAnsi="Times New Roman" w:cs="Times New Roman"/>
                <w:b/>
              </w:rPr>
              <w:lastRenderedPageBreak/>
              <w:t>Стаття 27. Розгляд заяви про надання дозволу на узгоджені дії, концентрацію суб’єктів господарювання</w:t>
            </w:r>
          </w:p>
          <w:p w:rsidR="001D5A5E" w:rsidRDefault="001D5A5E" w:rsidP="001D5A5E">
            <w:pPr>
              <w:jc w:val="both"/>
              <w:rPr>
                <w:rFonts w:ascii="Times New Roman" w:hAnsi="Times New Roman" w:cs="Times New Roman"/>
                <w:b/>
              </w:rPr>
            </w:pPr>
          </w:p>
          <w:p w:rsidR="001D5A5E" w:rsidRDefault="001D5A5E" w:rsidP="001D5A5E">
            <w:pPr>
              <w:jc w:val="both"/>
              <w:rPr>
                <w:rFonts w:ascii="Times New Roman" w:hAnsi="Times New Roman" w:cs="Times New Roman"/>
                <w:b/>
              </w:rPr>
            </w:pPr>
            <w:r w:rsidRPr="00E235E0">
              <w:rPr>
                <w:rFonts w:ascii="Times New Roman" w:hAnsi="Times New Roman" w:cs="Times New Roman"/>
                <w:b/>
              </w:rPr>
              <w:t>&lt;…&gt;</w:t>
            </w:r>
          </w:p>
          <w:p w:rsidR="001D5A5E" w:rsidRDefault="001D5A5E" w:rsidP="001D5A5E">
            <w:pPr>
              <w:jc w:val="both"/>
              <w:rPr>
                <w:rFonts w:ascii="Times New Roman" w:hAnsi="Times New Roman" w:cs="Times New Roman"/>
                <w:b/>
              </w:rPr>
            </w:pPr>
          </w:p>
          <w:p w:rsidR="001D5A5E" w:rsidRPr="00D23129" w:rsidRDefault="00D23129" w:rsidP="001D5A5E">
            <w:pPr>
              <w:jc w:val="both"/>
              <w:rPr>
                <w:rFonts w:ascii="Times New Roman" w:hAnsi="Times New Roman" w:cs="Times New Roman"/>
              </w:rPr>
            </w:pPr>
            <w:r w:rsidRPr="00D23129">
              <w:rPr>
                <w:rFonts w:ascii="Times New Roman" w:eastAsia="Times New Roman" w:hAnsi="Times New Roman" w:cs="Times New Roman"/>
                <w:color w:val="000000" w:themeColor="text1"/>
              </w:rPr>
              <w:lastRenderedPageBreak/>
              <w:t>2. Заява залишається без розгляду у випадку надходження від заявника клопотання про відкликання заяви та якщо концентрація заборонена відповідно до Закону України “Про санкції”, у разі відсутності погодження правочину щодо здійснення ін</w:t>
            </w:r>
            <w:r w:rsidR="007F1AD8">
              <w:rPr>
                <w:rFonts w:ascii="Times New Roman" w:eastAsia="Times New Roman" w:hAnsi="Times New Roman" w:cs="Times New Roman"/>
                <w:color w:val="000000" w:themeColor="text1"/>
              </w:rPr>
              <w:t>оземних інвестицій Міжвідомчою к</w:t>
            </w:r>
            <w:r w:rsidRPr="00D23129">
              <w:rPr>
                <w:rFonts w:ascii="Times New Roman" w:eastAsia="Times New Roman" w:hAnsi="Times New Roman" w:cs="Times New Roman"/>
                <w:color w:val="000000" w:themeColor="text1"/>
              </w:rPr>
              <w:t>омісією з питань оцінки впливу іноземних інвестицій на національну безпеку України у випадках, передбачених Законом України “Про здійснення іноземних інвестицій у суб’єкти господарювання, що мають стратегічне значення для національної безпеки України», про що приймається розпорядження відповідних органів Антимонопольного комітету України”;</w:t>
            </w:r>
          </w:p>
          <w:p w:rsidR="001D5A5E" w:rsidRPr="00FD57C6" w:rsidRDefault="001D5A5E" w:rsidP="001D5A5E">
            <w:pPr>
              <w:jc w:val="both"/>
              <w:rPr>
                <w:rFonts w:ascii="Times New Roman" w:hAnsi="Times New Roman" w:cs="Times New Roman"/>
                <w:b/>
              </w:rPr>
            </w:pPr>
          </w:p>
        </w:tc>
        <w:tc>
          <w:tcPr>
            <w:tcW w:w="5191" w:type="dxa"/>
          </w:tcPr>
          <w:p w:rsidR="001D5A5E" w:rsidRPr="00FD57C6" w:rsidRDefault="001D5A5E" w:rsidP="001D5A5E">
            <w:pPr>
              <w:jc w:val="both"/>
              <w:rPr>
                <w:rFonts w:ascii="Times New Roman" w:hAnsi="Times New Roman" w:cs="Times New Roman"/>
              </w:rPr>
            </w:pPr>
            <w:r>
              <w:rPr>
                <w:rFonts w:ascii="Times New Roman" w:hAnsi="Times New Roman" w:cs="Times New Roman"/>
              </w:rPr>
              <w:lastRenderedPageBreak/>
              <w:t xml:space="preserve">Внесення зазначеної зміни до </w:t>
            </w:r>
            <w:r w:rsidRPr="00DB6FA9">
              <w:rPr>
                <w:rFonts w:ascii="Times New Roman" w:hAnsi="Times New Roman" w:cs="Times New Roman"/>
              </w:rPr>
              <w:t>Закон України “Про захист економічної конкуренції”</w:t>
            </w:r>
            <w:r>
              <w:rPr>
                <w:rFonts w:ascii="Times New Roman" w:hAnsi="Times New Roman" w:cs="Times New Roman"/>
              </w:rPr>
              <w:t xml:space="preserve"> передбачає обов’язкове погодження </w:t>
            </w:r>
            <w:r w:rsidRPr="00DB6FA9">
              <w:rPr>
                <w:rFonts w:ascii="Times New Roman" w:hAnsi="Times New Roman" w:cs="Times New Roman"/>
              </w:rPr>
              <w:t>правочину щодо здійснення іноземних інвестицій у с</w:t>
            </w:r>
            <w:r>
              <w:rPr>
                <w:rFonts w:ascii="Times New Roman" w:hAnsi="Times New Roman" w:cs="Times New Roman"/>
              </w:rPr>
              <w:t>тратегічних сферах Міжвідомчою к</w:t>
            </w:r>
            <w:r w:rsidRPr="00DB6FA9">
              <w:rPr>
                <w:rFonts w:ascii="Times New Roman" w:hAnsi="Times New Roman" w:cs="Times New Roman"/>
              </w:rPr>
              <w:t>омісією з питань оцінки впливу іноземних інвестицій на національну безпеку України</w:t>
            </w:r>
            <w:r>
              <w:rPr>
                <w:rFonts w:ascii="Times New Roman" w:hAnsi="Times New Roman" w:cs="Times New Roman"/>
              </w:rPr>
              <w:t xml:space="preserve">, а у разі відсутності зазначеного </w:t>
            </w:r>
            <w:r>
              <w:rPr>
                <w:rFonts w:ascii="Times New Roman" w:hAnsi="Times New Roman" w:cs="Times New Roman"/>
              </w:rPr>
              <w:lastRenderedPageBreak/>
              <w:t xml:space="preserve">погодження, є підставою залишення </w:t>
            </w:r>
            <w:r w:rsidRPr="00DB6FA9">
              <w:rPr>
                <w:rFonts w:ascii="Times New Roman" w:hAnsi="Times New Roman" w:cs="Times New Roman"/>
              </w:rPr>
              <w:t>заяви про на</w:t>
            </w:r>
            <w:r>
              <w:rPr>
                <w:rFonts w:ascii="Times New Roman" w:hAnsi="Times New Roman" w:cs="Times New Roman"/>
              </w:rPr>
              <w:t xml:space="preserve">дання дозволу на </w:t>
            </w:r>
            <w:r w:rsidRPr="00DB6FA9">
              <w:rPr>
                <w:rFonts w:ascii="Times New Roman" w:hAnsi="Times New Roman" w:cs="Times New Roman"/>
              </w:rPr>
              <w:t>концентрацію суб’єктів господарювання</w:t>
            </w:r>
            <w:r>
              <w:rPr>
                <w:rFonts w:ascii="Times New Roman" w:hAnsi="Times New Roman" w:cs="Times New Roman"/>
              </w:rPr>
              <w:t>, що мають стратегічне значення для національної безпеки України, без розгляду.</w:t>
            </w:r>
          </w:p>
        </w:tc>
      </w:tr>
      <w:tr w:rsidR="00D23129" w:rsidRPr="00FD57C6" w:rsidTr="00BB0197">
        <w:tc>
          <w:tcPr>
            <w:tcW w:w="4934" w:type="dxa"/>
          </w:tcPr>
          <w:p w:rsidR="00D23129" w:rsidRPr="00D23129" w:rsidRDefault="00D23129" w:rsidP="00D23129">
            <w:pPr>
              <w:pStyle w:val="rvps2"/>
              <w:shd w:val="clear" w:color="auto" w:fill="FFFFFF"/>
              <w:spacing w:before="0" w:beforeAutospacing="0" w:after="150" w:afterAutospacing="0"/>
              <w:jc w:val="both"/>
              <w:rPr>
                <w:b/>
                <w:color w:val="000000" w:themeColor="text1"/>
                <w:sz w:val="22"/>
                <w:szCs w:val="22"/>
                <w:lang w:val="uk-UA" w:eastAsia="en-US"/>
              </w:rPr>
            </w:pPr>
            <w:r w:rsidRPr="00D23129">
              <w:rPr>
                <w:b/>
                <w:color w:val="000000" w:themeColor="text1"/>
                <w:sz w:val="22"/>
                <w:szCs w:val="22"/>
                <w:lang w:val="uk-UA" w:eastAsia="en-US"/>
              </w:rPr>
              <w:lastRenderedPageBreak/>
              <w:t>Стаття 28. Прийняття рішень у заявах про надання дозволу на узгоджені дії, концентрацію суб’єктів господарювання</w:t>
            </w:r>
          </w:p>
          <w:p w:rsidR="00D23129" w:rsidRPr="00D23129" w:rsidRDefault="00D23129" w:rsidP="00D23129">
            <w:pPr>
              <w:pStyle w:val="rvps2"/>
              <w:shd w:val="clear" w:color="auto" w:fill="FFFFFF"/>
              <w:spacing w:before="0" w:beforeAutospacing="0" w:after="150" w:afterAutospacing="0"/>
              <w:ind w:firstLine="450"/>
              <w:jc w:val="both"/>
              <w:rPr>
                <w:color w:val="000000" w:themeColor="text1"/>
                <w:sz w:val="22"/>
                <w:szCs w:val="22"/>
                <w:lang w:val="uk-UA" w:eastAsia="en-US"/>
              </w:rPr>
            </w:pPr>
            <w:bookmarkStart w:id="0" w:name="n249"/>
            <w:bookmarkEnd w:id="0"/>
            <w:r w:rsidRPr="00D23129">
              <w:rPr>
                <w:color w:val="000000" w:themeColor="text1"/>
                <w:sz w:val="22"/>
                <w:szCs w:val="22"/>
                <w:lang w:val="uk-UA" w:eastAsia="en-US"/>
              </w:rPr>
              <w:t>1. Якщо протягом строку розгляду заяви, передбаченого </w:t>
            </w:r>
            <w:hyperlink r:id="rId10" w:anchor="n230" w:history="1">
              <w:r w:rsidRPr="00D23129">
                <w:rPr>
                  <w:color w:val="000000" w:themeColor="text1"/>
                  <w:sz w:val="22"/>
                  <w:szCs w:val="22"/>
                  <w:lang w:val="uk-UA" w:eastAsia="en-US"/>
                </w:rPr>
                <w:t>частиною першою</w:t>
              </w:r>
            </w:hyperlink>
            <w:r w:rsidRPr="00D23129">
              <w:rPr>
                <w:color w:val="000000" w:themeColor="text1"/>
                <w:sz w:val="22"/>
                <w:szCs w:val="22"/>
                <w:lang w:val="uk-UA" w:eastAsia="en-US"/>
              </w:rPr>
              <w:t> статті 27 цього Закону, органами Антимонопольного комітету України не виявлено підстав для заборони узгоджених дій, концентрації, і концентрація не заборонена відповідно до </w:t>
            </w:r>
            <w:hyperlink r:id="rId11" w:tgtFrame="_blank" w:history="1">
              <w:r w:rsidRPr="00D23129">
                <w:rPr>
                  <w:color w:val="000000" w:themeColor="text1"/>
                  <w:sz w:val="22"/>
                  <w:szCs w:val="22"/>
                  <w:lang w:val="uk-UA" w:eastAsia="en-US"/>
                </w:rPr>
                <w:t>Закону України</w:t>
              </w:r>
            </w:hyperlink>
            <w:r w:rsidRPr="00D23129">
              <w:rPr>
                <w:color w:val="000000" w:themeColor="text1"/>
                <w:sz w:val="22"/>
                <w:szCs w:val="22"/>
                <w:lang w:val="uk-UA" w:eastAsia="en-US"/>
              </w:rPr>
              <w:t> "Про санкції", органи Антимонопольного комітету України приймають рішення про надання дозволу на узгоджені дії, концентрацію.</w:t>
            </w:r>
          </w:p>
          <w:p w:rsidR="00D23129" w:rsidRPr="00CC4F1E" w:rsidRDefault="00D23129" w:rsidP="00CC4F1E">
            <w:pPr>
              <w:pStyle w:val="rvps2"/>
              <w:shd w:val="clear" w:color="auto" w:fill="FFFFFF"/>
              <w:spacing w:before="0" w:beforeAutospacing="0" w:after="150" w:afterAutospacing="0"/>
              <w:ind w:firstLine="450"/>
              <w:jc w:val="both"/>
              <w:rPr>
                <w:color w:val="000000" w:themeColor="text1"/>
                <w:sz w:val="22"/>
                <w:szCs w:val="22"/>
                <w:lang w:val="uk-UA" w:eastAsia="en-US"/>
              </w:rPr>
            </w:pPr>
            <w:bookmarkStart w:id="1" w:name="n250"/>
            <w:bookmarkStart w:id="2" w:name="n251"/>
            <w:bookmarkEnd w:id="1"/>
            <w:bookmarkEnd w:id="2"/>
            <w:r w:rsidRPr="00D23129">
              <w:rPr>
                <w:color w:val="000000" w:themeColor="text1"/>
                <w:sz w:val="22"/>
                <w:szCs w:val="22"/>
                <w:lang w:val="uk-UA" w:eastAsia="en-US"/>
              </w:rPr>
              <w:t>Рішення про надання дозволу</w:t>
            </w:r>
            <w:r>
              <w:rPr>
                <w:color w:val="333333"/>
              </w:rPr>
              <w:t xml:space="preserve"> </w:t>
            </w:r>
            <w:r w:rsidRPr="00D23129">
              <w:rPr>
                <w:color w:val="000000" w:themeColor="text1"/>
                <w:sz w:val="22"/>
                <w:szCs w:val="22"/>
                <w:lang w:val="uk-UA" w:eastAsia="en-US"/>
              </w:rPr>
              <w:t>на узгоджені дії, концентрацію також вважається прийнятим, якщо протягом строку розгляду заяви, передбаченого </w:t>
            </w:r>
            <w:hyperlink r:id="rId12" w:anchor="n230" w:history="1">
              <w:r w:rsidRPr="00D23129">
                <w:rPr>
                  <w:color w:val="000000" w:themeColor="text1"/>
                  <w:sz w:val="22"/>
                  <w:szCs w:val="22"/>
                  <w:lang w:val="uk-UA" w:eastAsia="en-US"/>
                </w:rPr>
                <w:t>частиною першою</w:t>
              </w:r>
            </w:hyperlink>
            <w:r w:rsidRPr="00D23129">
              <w:rPr>
                <w:color w:val="000000" w:themeColor="text1"/>
                <w:sz w:val="22"/>
                <w:szCs w:val="22"/>
                <w:lang w:val="uk-UA" w:eastAsia="en-US"/>
              </w:rPr>
              <w:t> статті 27 цього Закону, органи Антимонопольного комітету України не розпочали розгляд справи про узгоджені дії, концентрацію відповідно до </w:t>
            </w:r>
            <w:hyperlink r:id="rId13" w:anchor="n265" w:history="1">
              <w:r w:rsidRPr="00D23129">
                <w:rPr>
                  <w:color w:val="000000" w:themeColor="text1"/>
                  <w:sz w:val="22"/>
                  <w:szCs w:val="22"/>
                  <w:lang w:val="uk-UA" w:eastAsia="en-US"/>
                </w:rPr>
                <w:t>частини першої</w:t>
              </w:r>
            </w:hyperlink>
            <w:r w:rsidRPr="00D23129">
              <w:rPr>
                <w:color w:val="000000" w:themeColor="text1"/>
                <w:sz w:val="22"/>
                <w:szCs w:val="22"/>
                <w:lang w:val="uk-UA" w:eastAsia="en-US"/>
              </w:rPr>
              <w:t xml:space="preserve"> статті 30 цього Закону за </w:t>
            </w:r>
            <w:r w:rsidRPr="00D23129">
              <w:rPr>
                <w:color w:val="000000" w:themeColor="text1"/>
                <w:sz w:val="22"/>
                <w:szCs w:val="22"/>
                <w:lang w:val="uk-UA" w:eastAsia="en-US"/>
              </w:rPr>
              <w:lastRenderedPageBreak/>
              <w:t>умови, що концентрація не заборонена відповідно до Закону України "Про санкції".</w:t>
            </w:r>
            <w:bookmarkStart w:id="3" w:name="n252"/>
            <w:bookmarkEnd w:id="3"/>
          </w:p>
        </w:tc>
        <w:tc>
          <w:tcPr>
            <w:tcW w:w="5043" w:type="dxa"/>
          </w:tcPr>
          <w:p w:rsidR="00D23129" w:rsidRPr="00D23129" w:rsidRDefault="00D23129" w:rsidP="00D23129">
            <w:pPr>
              <w:pStyle w:val="rvps2"/>
              <w:shd w:val="clear" w:color="auto" w:fill="FFFFFF"/>
              <w:spacing w:before="0" w:beforeAutospacing="0" w:after="150" w:afterAutospacing="0"/>
              <w:jc w:val="both"/>
              <w:rPr>
                <w:b/>
                <w:color w:val="000000" w:themeColor="text1"/>
                <w:sz w:val="22"/>
                <w:szCs w:val="22"/>
                <w:lang w:val="uk-UA" w:eastAsia="en-US"/>
              </w:rPr>
            </w:pPr>
            <w:r w:rsidRPr="00D23129">
              <w:rPr>
                <w:b/>
                <w:color w:val="000000" w:themeColor="text1"/>
                <w:sz w:val="22"/>
                <w:szCs w:val="22"/>
                <w:lang w:val="uk-UA" w:eastAsia="en-US"/>
              </w:rPr>
              <w:lastRenderedPageBreak/>
              <w:t>Стаття 28. Прийняття рішень у заявах про надання дозволу на узгоджені дії, концентрацію суб’єктів господарювання</w:t>
            </w:r>
          </w:p>
          <w:p w:rsidR="00D23129" w:rsidRPr="00D23129" w:rsidRDefault="00D23129" w:rsidP="00D23129">
            <w:pPr>
              <w:ind w:firstLine="567"/>
              <w:jc w:val="both"/>
              <w:rPr>
                <w:rFonts w:ascii="Times New Roman" w:eastAsia="Times New Roman" w:hAnsi="Times New Roman" w:cs="Times New Roman"/>
                <w:color w:val="000000" w:themeColor="text1"/>
              </w:rPr>
            </w:pPr>
            <w:r w:rsidRPr="00D23129">
              <w:rPr>
                <w:rFonts w:ascii="Times New Roman" w:eastAsia="Times New Roman" w:hAnsi="Times New Roman" w:cs="Times New Roman"/>
                <w:color w:val="000000" w:themeColor="text1"/>
              </w:rPr>
              <w:t>1. Якщо протягом строку розгляду заяви, передбаченого частиною першою статті 27 цього Закону, органами Антимонопольного комітету України не виявлено підстав для заборони узгоджених дій, концентрації, і концентрація не заборонена відповідно до Закону України “Про санкції”, правочин щодо здійснення іноземних ін</w:t>
            </w:r>
            <w:r w:rsidR="007F1AD8">
              <w:rPr>
                <w:rFonts w:ascii="Times New Roman" w:eastAsia="Times New Roman" w:hAnsi="Times New Roman" w:cs="Times New Roman"/>
                <w:color w:val="000000" w:themeColor="text1"/>
              </w:rPr>
              <w:t>вестицій погоджено Міжвідомчою к</w:t>
            </w:r>
            <w:r w:rsidRPr="00D23129">
              <w:rPr>
                <w:rFonts w:ascii="Times New Roman" w:eastAsia="Times New Roman" w:hAnsi="Times New Roman" w:cs="Times New Roman"/>
                <w:color w:val="000000" w:themeColor="text1"/>
              </w:rPr>
              <w:t>омісією з питань оцінки впливу іноземних інвестицій у випадках, передбачених  Законом України “Про здійснення іноземних інвестицій у суб’єкти господарювання, що мають стратегічне значення для національної безпеки України”, на національну безпеку України, органи Антимонопольного комітету України приймають рішення про надання дозволу на узгоджені дії, концентрацію;</w:t>
            </w:r>
          </w:p>
          <w:p w:rsidR="00D23129" w:rsidRPr="00D23129" w:rsidRDefault="00D23129" w:rsidP="001D5A5E">
            <w:pPr>
              <w:jc w:val="both"/>
              <w:rPr>
                <w:rFonts w:ascii="Times New Roman" w:hAnsi="Times New Roman" w:cs="Times New Roman"/>
                <w:b/>
              </w:rPr>
            </w:pPr>
          </w:p>
        </w:tc>
        <w:tc>
          <w:tcPr>
            <w:tcW w:w="5191" w:type="dxa"/>
          </w:tcPr>
          <w:p w:rsidR="00D23129" w:rsidRDefault="00CC4F1E" w:rsidP="00CC4F1E">
            <w:pPr>
              <w:jc w:val="both"/>
              <w:rPr>
                <w:rFonts w:ascii="Times New Roman" w:hAnsi="Times New Roman" w:cs="Times New Roman"/>
              </w:rPr>
            </w:pPr>
            <w:r>
              <w:rPr>
                <w:rFonts w:ascii="Times New Roman" w:hAnsi="Times New Roman" w:cs="Times New Roman"/>
              </w:rPr>
              <w:t>Відсутність такого правочину може бути однією з підстав, які виходять за сферу оцінки наслідків концентрації для конкуренції.</w:t>
            </w:r>
          </w:p>
        </w:tc>
      </w:tr>
      <w:tr w:rsidR="00CC4F1E" w:rsidRPr="00FD57C6" w:rsidTr="00BB0197">
        <w:tc>
          <w:tcPr>
            <w:tcW w:w="4934" w:type="dxa"/>
          </w:tcPr>
          <w:p w:rsidR="00CC4F1E" w:rsidRPr="00E33DC0" w:rsidRDefault="00CC4F1E" w:rsidP="00FA29B4">
            <w:pPr>
              <w:pStyle w:val="rvps2"/>
              <w:shd w:val="clear" w:color="auto" w:fill="FFFFFF"/>
              <w:spacing w:before="0" w:beforeAutospacing="0" w:after="0" w:afterAutospacing="0"/>
              <w:ind w:firstLine="34"/>
              <w:jc w:val="both"/>
              <w:rPr>
                <w:color w:val="000000" w:themeColor="text1"/>
                <w:sz w:val="22"/>
                <w:szCs w:val="22"/>
                <w:lang w:val="uk-UA"/>
              </w:rPr>
            </w:pPr>
            <w:r w:rsidRPr="00FA29B4">
              <w:rPr>
                <w:rStyle w:val="rvts9"/>
                <w:b/>
                <w:bCs/>
                <w:color w:val="000000" w:themeColor="text1"/>
                <w:sz w:val="22"/>
                <w:szCs w:val="22"/>
                <w:lang w:val="uk-UA"/>
              </w:rPr>
              <w:t>Стаття 32. </w:t>
            </w:r>
            <w:r w:rsidRPr="00FA29B4">
              <w:rPr>
                <w:b/>
                <w:color w:val="000000" w:themeColor="text1"/>
                <w:sz w:val="22"/>
                <w:szCs w:val="22"/>
                <w:lang w:val="uk-UA"/>
              </w:rPr>
              <w:t>Підстави закриття розгляду справи про узгоджені дії, концентрацію</w:t>
            </w:r>
            <w:r w:rsidRPr="00E33DC0">
              <w:rPr>
                <w:b/>
                <w:color w:val="000000" w:themeColor="text1"/>
                <w:lang w:val="uk-UA"/>
              </w:rPr>
              <w:t xml:space="preserve"> </w:t>
            </w:r>
            <w:r w:rsidRPr="00E33DC0">
              <w:rPr>
                <w:b/>
                <w:color w:val="000000" w:themeColor="text1"/>
                <w:sz w:val="22"/>
                <w:szCs w:val="22"/>
                <w:lang w:val="uk-UA"/>
              </w:rPr>
              <w:t>суб’єктів господарювання</w:t>
            </w:r>
          </w:p>
          <w:p w:rsidR="00CC4F1E" w:rsidRPr="00E33DC0" w:rsidRDefault="00CC4F1E" w:rsidP="00E33DC0">
            <w:pPr>
              <w:pStyle w:val="rvps2"/>
              <w:shd w:val="clear" w:color="auto" w:fill="FFFFFF"/>
              <w:spacing w:before="0" w:beforeAutospacing="0" w:after="0" w:afterAutospacing="0"/>
              <w:ind w:firstLine="450"/>
              <w:jc w:val="both"/>
              <w:rPr>
                <w:color w:val="000000" w:themeColor="text1"/>
                <w:sz w:val="22"/>
                <w:szCs w:val="22"/>
                <w:lang w:val="uk-UA"/>
              </w:rPr>
            </w:pPr>
            <w:bookmarkStart w:id="4" w:name="n298"/>
            <w:bookmarkEnd w:id="4"/>
            <w:r w:rsidRPr="00E33DC0">
              <w:rPr>
                <w:color w:val="000000" w:themeColor="text1"/>
                <w:sz w:val="22"/>
                <w:szCs w:val="22"/>
                <w:lang w:val="uk-UA"/>
              </w:rPr>
              <w:t>1. Розгляд справи про узгоджені дії, концентрацію суб’єктів господарювання підлягає закриттю без прийняття рішення по суті у разі:</w:t>
            </w:r>
          </w:p>
          <w:p w:rsidR="00CC4F1E" w:rsidRPr="00E33DC0" w:rsidRDefault="00CC4F1E" w:rsidP="00E33DC0">
            <w:pPr>
              <w:pStyle w:val="rvps2"/>
              <w:shd w:val="clear" w:color="auto" w:fill="FFFFFF"/>
              <w:spacing w:before="0" w:beforeAutospacing="0" w:after="0" w:afterAutospacing="0"/>
              <w:ind w:firstLine="450"/>
              <w:jc w:val="both"/>
              <w:rPr>
                <w:color w:val="000000" w:themeColor="text1"/>
                <w:sz w:val="22"/>
                <w:szCs w:val="22"/>
                <w:lang w:val="uk-UA"/>
              </w:rPr>
            </w:pPr>
            <w:bookmarkStart w:id="5" w:name="n299"/>
            <w:bookmarkEnd w:id="5"/>
            <w:r w:rsidRPr="00E33DC0">
              <w:rPr>
                <w:color w:val="000000" w:themeColor="text1"/>
                <w:sz w:val="22"/>
                <w:szCs w:val="22"/>
                <w:lang w:val="uk-UA"/>
              </w:rPr>
              <w:t>надходження від заявника клопотання про відкликання заяви або про закриття розгляду справи;</w:t>
            </w:r>
          </w:p>
          <w:p w:rsidR="00CC4F1E" w:rsidRPr="00E33DC0" w:rsidRDefault="00CC4F1E" w:rsidP="00E33DC0">
            <w:pPr>
              <w:pStyle w:val="rvps2"/>
              <w:shd w:val="clear" w:color="auto" w:fill="FFFFFF"/>
              <w:spacing w:before="0" w:beforeAutospacing="0" w:after="0" w:afterAutospacing="0"/>
              <w:ind w:firstLine="450"/>
              <w:jc w:val="both"/>
              <w:rPr>
                <w:color w:val="000000" w:themeColor="text1"/>
                <w:sz w:val="22"/>
                <w:szCs w:val="22"/>
                <w:lang w:val="uk-UA"/>
              </w:rPr>
            </w:pPr>
            <w:bookmarkStart w:id="6" w:name="n300"/>
            <w:bookmarkEnd w:id="6"/>
            <w:r w:rsidRPr="00E33DC0">
              <w:rPr>
                <w:color w:val="000000" w:themeColor="text1"/>
                <w:sz w:val="22"/>
                <w:szCs w:val="22"/>
                <w:lang w:val="uk-UA"/>
              </w:rPr>
              <w:t>неподання заявником інформації у визначений органами Антимонопольного комітету України, головою його територіальних відділень строк, якщо відсутність такої інформації перешкоджає</w:t>
            </w:r>
            <w:r w:rsidRPr="00E33DC0">
              <w:rPr>
                <w:color w:val="000000" w:themeColor="text1"/>
                <w:lang w:val="uk-UA"/>
              </w:rPr>
              <w:t xml:space="preserve"> </w:t>
            </w:r>
            <w:r w:rsidRPr="00E33DC0">
              <w:rPr>
                <w:color w:val="000000" w:themeColor="text1"/>
                <w:sz w:val="22"/>
                <w:szCs w:val="22"/>
                <w:lang w:val="uk-UA"/>
              </w:rPr>
              <w:t>розгляду справи;</w:t>
            </w:r>
          </w:p>
          <w:p w:rsidR="00CC4F1E" w:rsidRPr="00E33DC0" w:rsidRDefault="00CC4F1E" w:rsidP="00E33DC0">
            <w:pPr>
              <w:pStyle w:val="rvps2"/>
              <w:shd w:val="clear" w:color="auto" w:fill="FFFFFF"/>
              <w:spacing w:before="0" w:beforeAutospacing="0" w:after="0" w:afterAutospacing="0"/>
              <w:ind w:firstLine="450"/>
              <w:jc w:val="both"/>
              <w:rPr>
                <w:color w:val="000000" w:themeColor="text1"/>
                <w:sz w:val="22"/>
                <w:szCs w:val="22"/>
                <w:lang w:val="uk-UA"/>
              </w:rPr>
            </w:pPr>
            <w:bookmarkStart w:id="7" w:name="n301"/>
            <w:bookmarkEnd w:id="7"/>
            <w:r w:rsidRPr="00E33DC0">
              <w:rPr>
                <w:color w:val="000000" w:themeColor="text1"/>
                <w:sz w:val="22"/>
                <w:szCs w:val="22"/>
                <w:lang w:val="uk-UA"/>
              </w:rPr>
              <w:t>наявності рішення органу Антимонопольного комітету України про визнання заявлених узгоджених дій, концентрації такими, що здійснені з порушенням законодавства про захист економічної конкуренції;</w:t>
            </w:r>
          </w:p>
          <w:p w:rsidR="00CC4F1E" w:rsidRPr="00E33DC0" w:rsidRDefault="00E33DC0" w:rsidP="00E33DC0">
            <w:pPr>
              <w:pStyle w:val="rvps2"/>
              <w:shd w:val="clear" w:color="auto" w:fill="FFFFFF"/>
              <w:spacing w:before="0" w:beforeAutospacing="0" w:after="0" w:afterAutospacing="0"/>
              <w:jc w:val="both"/>
              <w:rPr>
                <w:color w:val="000000" w:themeColor="text1"/>
                <w:sz w:val="22"/>
                <w:szCs w:val="22"/>
                <w:shd w:val="clear" w:color="auto" w:fill="FFFFFF"/>
                <w:lang w:val="uk-UA"/>
              </w:rPr>
            </w:pPr>
            <w:r w:rsidRPr="00E33DC0">
              <w:rPr>
                <w:color w:val="000000" w:themeColor="text1"/>
                <w:sz w:val="22"/>
                <w:szCs w:val="22"/>
                <w:shd w:val="clear" w:color="auto" w:fill="FFFFFF"/>
                <w:lang w:val="uk-UA"/>
              </w:rPr>
              <w:t>ліквідації заявника - юридичної особи;</w:t>
            </w:r>
          </w:p>
          <w:p w:rsidR="00E33DC0" w:rsidRPr="00E33DC0" w:rsidRDefault="00E33DC0" w:rsidP="00E33DC0">
            <w:pPr>
              <w:pStyle w:val="rvps2"/>
              <w:shd w:val="clear" w:color="auto" w:fill="FFFFFF"/>
              <w:spacing w:before="0" w:beforeAutospacing="0" w:after="0" w:afterAutospacing="0"/>
              <w:jc w:val="both"/>
              <w:rPr>
                <w:color w:val="000000" w:themeColor="text1"/>
                <w:sz w:val="22"/>
                <w:szCs w:val="22"/>
                <w:shd w:val="clear" w:color="auto" w:fill="FFFFFF"/>
                <w:lang w:val="uk-UA"/>
              </w:rPr>
            </w:pPr>
            <w:r w:rsidRPr="00E33DC0">
              <w:rPr>
                <w:color w:val="000000" w:themeColor="text1"/>
                <w:sz w:val="22"/>
                <w:szCs w:val="22"/>
                <w:shd w:val="clear" w:color="auto" w:fill="FFFFFF"/>
                <w:lang w:val="uk-UA"/>
              </w:rPr>
              <w:t>якщо концентрація заборонена відповідно до </w:t>
            </w:r>
            <w:hyperlink r:id="rId14" w:tgtFrame="_blank" w:history="1">
              <w:r w:rsidRPr="00E33DC0">
                <w:rPr>
                  <w:rStyle w:val="a6"/>
                  <w:color w:val="000000" w:themeColor="text1"/>
                  <w:sz w:val="22"/>
                  <w:szCs w:val="22"/>
                  <w:u w:val="none"/>
                  <w:shd w:val="clear" w:color="auto" w:fill="FFFFFF"/>
                  <w:lang w:val="uk-UA"/>
                </w:rPr>
                <w:t>Закону України</w:t>
              </w:r>
            </w:hyperlink>
            <w:r w:rsidRPr="00E33DC0">
              <w:rPr>
                <w:color w:val="000000" w:themeColor="text1"/>
                <w:sz w:val="22"/>
                <w:szCs w:val="22"/>
                <w:shd w:val="clear" w:color="auto" w:fill="FFFFFF"/>
                <w:lang w:val="uk-UA"/>
              </w:rPr>
              <w:t> "Про санкції".</w:t>
            </w:r>
          </w:p>
          <w:p w:rsidR="00E33DC0" w:rsidRPr="00E33DC0" w:rsidRDefault="00E33DC0" w:rsidP="00E33DC0">
            <w:pPr>
              <w:pStyle w:val="rvps2"/>
              <w:shd w:val="clear" w:color="auto" w:fill="FFFFFF"/>
              <w:spacing w:before="0" w:beforeAutospacing="0" w:after="0" w:afterAutospacing="0"/>
              <w:jc w:val="both"/>
              <w:rPr>
                <w:color w:val="000000" w:themeColor="text1"/>
                <w:sz w:val="22"/>
                <w:szCs w:val="22"/>
                <w:shd w:val="clear" w:color="auto" w:fill="FFFFFF"/>
                <w:lang w:val="uk-UA"/>
              </w:rPr>
            </w:pPr>
          </w:p>
          <w:p w:rsidR="00E33DC0" w:rsidRPr="00E33DC0" w:rsidRDefault="00E33DC0" w:rsidP="00E33DC0">
            <w:pPr>
              <w:pStyle w:val="rvps2"/>
              <w:shd w:val="clear" w:color="auto" w:fill="FFFFFF"/>
              <w:spacing w:before="0" w:beforeAutospacing="0" w:after="0" w:afterAutospacing="0"/>
              <w:jc w:val="both"/>
              <w:rPr>
                <w:b/>
                <w:color w:val="000000" w:themeColor="text1"/>
                <w:sz w:val="22"/>
                <w:szCs w:val="22"/>
                <w:shd w:val="clear" w:color="auto" w:fill="FFFFFF"/>
                <w:lang w:val="uk-UA"/>
              </w:rPr>
            </w:pPr>
            <w:r w:rsidRPr="00E33DC0">
              <w:rPr>
                <w:b/>
                <w:color w:val="000000" w:themeColor="text1"/>
                <w:sz w:val="22"/>
                <w:szCs w:val="22"/>
                <w:shd w:val="clear" w:color="auto" w:fill="FFFFFF"/>
                <w:lang w:val="uk-UA"/>
              </w:rPr>
              <w:t>Абзац відсутній</w:t>
            </w:r>
          </w:p>
          <w:p w:rsidR="00E33DC0" w:rsidRPr="00E33DC0" w:rsidRDefault="00E33DC0" w:rsidP="00E33DC0">
            <w:pPr>
              <w:pStyle w:val="rvps2"/>
              <w:shd w:val="clear" w:color="auto" w:fill="FFFFFF"/>
              <w:spacing w:before="0" w:beforeAutospacing="0" w:after="0" w:afterAutospacing="0"/>
              <w:jc w:val="both"/>
              <w:rPr>
                <w:b/>
                <w:color w:val="000000" w:themeColor="text1"/>
                <w:sz w:val="22"/>
                <w:szCs w:val="22"/>
                <w:lang w:val="uk-UA" w:eastAsia="en-US"/>
              </w:rPr>
            </w:pPr>
          </w:p>
        </w:tc>
        <w:tc>
          <w:tcPr>
            <w:tcW w:w="5043" w:type="dxa"/>
          </w:tcPr>
          <w:p w:rsidR="00FA29B4" w:rsidRPr="00E33DC0" w:rsidRDefault="00FA29B4" w:rsidP="00FA29B4">
            <w:pPr>
              <w:pStyle w:val="rvps2"/>
              <w:shd w:val="clear" w:color="auto" w:fill="FFFFFF"/>
              <w:spacing w:before="0" w:beforeAutospacing="0" w:after="0" w:afterAutospacing="0"/>
              <w:ind w:firstLine="34"/>
              <w:jc w:val="both"/>
              <w:rPr>
                <w:color w:val="000000" w:themeColor="text1"/>
                <w:sz w:val="22"/>
                <w:szCs w:val="22"/>
                <w:lang w:val="uk-UA"/>
              </w:rPr>
            </w:pPr>
            <w:r w:rsidRPr="00FA29B4">
              <w:rPr>
                <w:rStyle w:val="rvts9"/>
                <w:b/>
                <w:bCs/>
                <w:color w:val="000000" w:themeColor="text1"/>
                <w:sz w:val="22"/>
                <w:szCs w:val="22"/>
                <w:lang w:val="uk-UA"/>
              </w:rPr>
              <w:t>Стаття 32. </w:t>
            </w:r>
            <w:r w:rsidRPr="00FA29B4">
              <w:rPr>
                <w:b/>
                <w:color w:val="000000" w:themeColor="text1"/>
                <w:sz w:val="22"/>
                <w:szCs w:val="22"/>
                <w:lang w:val="uk-UA"/>
              </w:rPr>
              <w:t>Підстави закриття розгляду справи про узгоджені дії, концентрацію</w:t>
            </w:r>
            <w:r w:rsidRPr="00E33DC0">
              <w:rPr>
                <w:b/>
                <w:color w:val="000000" w:themeColor="text1"/>
                <w:lang w:val="uk-UA"/>
              </w:rPr>
              <w:t xml:space="preserve"> </w:t>
            </w:r>
            <w:r w:rsidRPr="00E33DC0">
              <w:rPr>
                <w:b/>
                <w:color w:val="000000" w:themeColor="text1"/>
                <w:sz w:val="22"/>
                <w:szCs w:val="22"/>
                <w:lang w:val="uk-UA"/>
              </w:rPr>
              <w:t>суб’єктів господарювання</w:t>
            </w:r>
          </w:p>
          <w:p w:rsidR="00FA29B4" w:rsidRPr="00E33DC0" w:rsidRDefault="00FA29B4" w:rsidP="00FA29B4">
            <w:pPr>
              <w:pStyle w:val="rvps2"/>
              <w:shd w:val="clear" w:color="auto" w:fill="FFFFFF"/>
              <w:spacing w:before="0" w:beforeAutospacing="0" w:after="0" w:afterAutospacing="0"/>
              <w:ind w:firstLine="450"/>
              <w:jc w:val="both"/>
              <w:rPr>
                <w:color w:val="000000" w:themeColor="text1"/>
                <w:sz w:val="22"/>
                <w:szCs w:val="22"/>
                <w:lang w:val="uk-UA"/>
              </w:rPr>
            </w:pPr>
            <w:r w:rsidRPr="00E33DC0">
              <w:rPr>
                <w:color w:val="000000" w:themeColor="text1"/>
                <w:sz w:val="22"/>
                <w:szCs w:val="22"/>
                <w:lang w:val="uk-UA"/>
              </w:rPr>
              <w:t>1. Розгляд справи про узгоджені дії, концентрацію суб’єктів господарювання підлягає закриттю без прийняття рішення по суті у разі:</w:t>
            </w:r>
          </w:p>
          <w:p w:rsidR="00FA29B4" w:rsidRPr="00E33DC0" w:rsidRDefault="00FA29B4" w:rsidP="00FA29B4">
            <w:pPr>
              <w:pStyle w:val="rvps2"/>
              <w:shd w:val="clear" w:color="auto" w:fill="FFFFFF"/>
              <w:spacing w:before="0" w:beforeAutospacing="0" w:after="0" w:afterAutospacing="0"/>
              <w:ind w:firstLine="450"/>
              <w:jc w:val="both"/>
              <w:rPr>
                <w:color w:val="000000" w:themeColor="text1"/>
                <w:sz w:val="22"/>
                <w:szCs w:val="22"/>
                <w:lang w:val="uk-UA"/>
              </w:rPr>
            </w:pPr>
            <w:r w:rsidRPr="00E33DC0">
              <w:rPr>
                <w:color w:val="000000" w:themeColor="text1"/>
                <w:sz w:val="22"/>
                <w:szCs w:val="22"/>
                <w:lang w:val="uk-UA"/>
              </w:rPr>
              <w:t>надходження від заявника клопотання про відкликання заяви або про закриття розгляду справи;</w:t>
            </w:r>
          </w:p>
          <w:p w:rsidR="00FA29B4" w:rsidRPr="00E33DC0" w:rsidRDefault="00FA29B4" w:rsidP="00FA29B4">
            <w:pPr>
              <w:pStyle w:val="rvps2"/>
              <w:shd w:val="clear" w:color="auto" w:fill="FFFFFF"/>
              <w:spacing w:before="0" w:beforeAutospacing="0" w:after="0" w:afterAutospacing="0"/>
              <w:ind w:firstLine="450"/>
              <w:jc w:val="both"/>
              <w:rPr>
                <w:color w:val="000000" w:themeColor="text1"/>
                <w:sz w:val="22"/>
                <w:szCs w:val="22"/>
                <w:lang w:val="uk-UA"/>
              </w:rPr>
            </w:pPr>
            <w:r w:rsidRPr="00E33DC0">
              <w:rPr>
                <w:color w:val="000000" w:themeColor="text1"/>
                <w:sz w:val="22"/>
                <w:szCs w:val="22"/>
                <w:lang w:val="uk-UA"/>
              </w:rPr>
              <w:t>неподання заявником інформації у визначений органами Антимонопольного комітету України, головою його територіальних відділень строк, якщо відсутність такої інформації перешкоджає</w:t>
            </w:r>
            <w:r w:rsidRPr="00E33DC0">
              <w:rPr>
                <w:color w:val="000000" w:themeColor="text1"/>
                <w:lang w:val="uk-UA"/>
              </w:rPr>
              <w:t xml:space="preserve"> </w:t>
            </w:r>
            <w:r w:rsidRPr="00E33DC0">
              <w:rPr>
                <w:color w:val="000000" w:themeColor="text1"/>
                <w:sz w:val="22"/>
                <w:szCs w:val="22"/>
                <w:lang w:val="uk-UA"/>
              </w:rPr>
              <w:t>розгляду справи;</w:t>
            </w:r>
          </w:p>
          <w:p w:rsidR="00FA29B4" w:rsidRPr="00E33DC0" w:rsidRDefault="00FA29B4" w:rsidP="00FA29B4">
            <w:pPr>
              <w:pStyle w:val="rvps2"/>
              <w:shd w:val="clear" w:color="auto" w:fill="FFFFFF"/>
              <w:spacing w:before="0" w:beforeAutospacing="0" w:after="0" w:afterAutospacing="0"/>
              <w:ind w:firstLine="450"/>
              <w:jc w:val="both"/>
              <w:rPr>
                <w:color w:val="000000" w:themeColor="text1"/>
                <w:sz w:val="22"/>
                <w:szCs w:val="22"/>
                <w:lang w:val="uk-UA"/>
              </w:rPr>
            </w:pPr>
            <w:r w:rsidRPr="00E33DC0">
              <w:rPr>
                <w:color w:val="000000" w:themeColor="text1"/>
                <w:sz w:val="22"/>
                <w:szCs w:val="22"/>
                <w:lang w:val="uk-UA"/>
              </w:rPr>
              <w:t>наявності рішення органу Антимонопольного комітету України про визнання заявлених узгоджених дій, концентрації такими, що здійснені з порушенням законодавства про захист економічної конкуренції;</w:t>
            </w:r>
          </w:p>
          <w:p w:rsidR="00FA29B4" w:rsidRPr="00E33DC0" w:rsidRDefault="00FA29B4" w:rsidP="00FA29B4">
            <w:pPr>
              <w:pStyle w:val="rvps2"/>
              <w:shd w:val="clear" w:color="auto" w:fill="FFFFFF"/>
              <w:spacing w:before="0" w:beforeAutospacing="0" w:after="0" w:afterAutospacing="0"/>
              <w:jc w:val="both"/>
              <w:rPr>
                <w:color w:val="000000" w:themeColor="text1"/>
                <w:sz w:val="22"/>
                <w:szCs w:val="22"/>
                <w:shd w:val="clear" w:color="auto" w:fill="FFFFFF"/>
                <w:lang w:val="uk-UA"/>
              </w:rPr>
            </w:pPr>
            <w:r w:rsidRPr="00E33DC0">
              <w:rPr>
                <w:color w:val="000000" w:themeColor="text1"/>
                <w:sz w:val="22"/>
                <w:szCs w:val="22"/>
                <w:shd w:val="clear" w:color="auto" w:fill="FFFFFF"/>
                <w:lang w:val="uk-UA"/>
              </w:rPr>
              <w:t>ліквідації заявника - юридичної особи;</w:t>
            </w:r>
          </w:p>
          <w:p w:rsidR="00FA29B4" w:rsidRDefault="00FA29B4" w:rsidP="00FA29B4">
            <w:pPr>
              <w:pStyle w:val="rvps2"/>
              <w:shd w:val="clear" w:color="auto" w:fill="FFFFFF"/>
              <w:spacing w:before="0" w:beforeAutospacing="0" w:after="0" w:afterAutospacing="0"/>
              <w:jc w:val="both"/>
              <w:rPr>
                <w:color w:val="000000" w:themeColor="text1"/>
                <w:sz w:val="22"/>
                <w:szCs w:val="22"/>
                <w:shd w:val="clear" w:color="auto" w:fill="FFFFFF"/>
                <w:lang w:val="uk-UA"/>
              </w:rPr>
            </w:pPr>
            <w:r w:rsidRPr="00E33DC0">
              <w:rPr>
                <w:color w:val="000000" w:themeColor="text1"/>
                <w:sz w:val="22"/>
                <w:szCs w:val="22"/>
                <w:shd w:val="clear" w:color="auto" w:fill="FFFFFF"/>
                <w:lang w:val="uk-UA"/>
              </w:rPr>
              <w:t>якщо концентрація заборонена відповідно до </w:t>
            </w:r>
            <w:hyperlink r:id="rId15" w:tgtFrame="_blank" w:history="1">
              <w:r w:rsidRPr="00E33DC0">
                <w:rPr>
                  <w:rStyle w:val="a6"/>
                  <w:color w:val="000000" w:themeColor="text1"/>
                  <w:sz w:val="22"/>
                  <w:szCs w:val="22"/>
                  <w:u w:val="none"/>
                  <w:shd w:val="clear" w:color="auto" w:fill="FFFFFF"/>
                  <w:lang w:val="uk-UA"/>
                </w:rPr>
                <w:t>Закону України</w:t>
              </w:r>
            </w:hyperlink>
            <w:r w:rsidRPr="00E33DC0">
              <w:rPr>
                <w:color w:val="000000" w:themeColor="text1"/>
                <w:sz w:val="22"/>
                <w:szCs w:val="22"/>
                <w:shd w:val="clear" w:color="auto" w:fill="FFFFFF"/>
                <w:lang w:val="uk-UA"/>
              </w:rPr>
              <w:t> "Про санкції".</w:t>
            </w:r>
          </w:p>
          <w:p w:rsidR="00FA29B4" w:rsidRPr="00FA29B4" w:rsidRDefault="00FA29B4" w:rsidP="00FA29B4">
            <w:pPr>
              <w:pStyle w:val="rvps2"/>
              <w:shd w:val="clear" w:color="auto" w:fill="FFFFFF"/>
              <w:spacing w:before="0" w:beforeAutospacing="0" w:after="0" w:afterAutospacing="0"/>
              <w:jc w:val="both"/>
              <w:rPr>
                <w:color w:val="000000" w:themeColor="text1"/>
                <w:sz w:val="22"/>
                <w:szCs w:val="22"/>
                <w:shd w:val="clear" w:color="auto" w:fill="FFFFFF"/>
                <w:lang w:val="uk-UA"/>
              </w:rPr>
            </w:pPr>
          </w:p>
          <w:p w:rsidR="00CC4F1E" w:rsidRPr="00FA29B4" w:rsidRDefault="00CC4F1E" w:rsidP="00E3156E">
            <w:pPr>
              <w:pStyle w:val="rvps2"/>
              <w:shd w:val="clear" w:color="auto" w:fill="FFFFFF"/>
              <w:spacing w:before="0" w:beforeAutospacing="0" w:after="150" w:afterAutospacing="0"/>
              <w:jc w:val="both"/>
              <w:rPr>
                <w:b/>
                <w:color w:val="000000" w:themeColor="text1"/>
                <w:sz w:val="22"/>
                <w:szCs w:val="22"/>
                <w:lang w:val="uk-UA" w:eastAsia="en-US"/>
              </w:rPr>
            </w:pPr>
            <w:r w:rsidRPr="00FA29B4">
              <w:rPr>
                <w:b/>
                <w:color w:val="000000" w:themeColor="text1"/>
                <w:sz w:val="22"/>
                <w:szCs w:val="22"/>
                <w:lang w:val="uk-UA"/>
              </w:rPr>
              <w:t>відсутності погодження правочину щодо здійснення ін</w:t>
            </w:r>
            <w:r w:rsidR="007F1AD8">
              <w:rPr>
                <w:b/>
                <w:color w:val="000000" w:themeColor="text1"/>
                <w:sz w:val="22"/>
                <w:szCs w:val="22"/>
                <w:lang w:val="uk-UA"/>
              </w:rPr>
              <w:t>оземних інвестицій Міжвідомчою к</w:t>
            </w:r>
            <w:r w:rsidRPr="00FA29B4">
              <w:rPr>
                <w:b/>
                <w:color w:val="000000" w:themeColor="text1"/>
                <w:sz w:val="22"/>
                <w:szCs w:val="22"/>
                <w:lang w:val="uk-UA"/>
              </w:rPr>
              <w:t>омісією з питань оцінки впливу іноземних інвестицій на національну безпеку України у випадках, передбачених Законом України “Про здійснення іноземних інвестицій у суб’єкти господарювання, що мають стратегічне значення для національної безпеки України</w:t>
            </w:r>
            <w:r w:rsidR="00FA29B4">
              <w:rPr>
                <w:b/>
                <w:color w:val="000000" w:themeColor="text1"/>
                <w:sz w:val="22"/>
                <w:szCs w:val="22"/>
                <w:lang w:val="uk-UA"/>
              </w:rPr>
              <w:t>.</w:t>
            </w:r>
          </w:p>
        </w:tc>
        <w:tc>
          <w:tcPr>
            <w:tcW w:w="5191" w:type="dxa"/>
          </w:tcPr>
          <w:p w:rsidR="00CC4F1E" w:rsidRDefault="00FA29B4" w:rsidP="00CC4F1E">
            <w:pPr>
              <w:jc w:val="both"/>
              <w:rPr>
                <w:rFonts w:ascii="Times New Roman" w:hAnsi="Times New Roman" w:cs="Times New Roman"/>
              </w:rPr>
            </w:pPr>
            <w:r>
              <w:rPr>
                <w:rFonts w:ascii="Times New Roman" w:hAnsi="Times New Roman" w:cs="Times New Roman"/>
              </w:rPr>
              <w:t xml:space="preserve">Внесення зазначеної зміни до </w:t>
            </w:r>
            <w:r w:rsidRPr="00DB6FA9">
              <w:rPr>
                <w:rFonts w:ascii="Times New Roman" w:hAnsi="Times New Roman" w:cs="Times New Roman"/>
              </w:rPr>
              <w:t>Закон України “Про захист економічної конкуренції”</w:t>
            </w:r>
            <w:r>
              <w:rPr>
                <w:rFonts w:ascii="Times New Roman" w:hAnsi="Times New Roman" w:cs="Times New Roman"/>
              </w:rPr>
              <w:t xml:space="preserve"> передбачає обов’язкове погодження </w:t>
            </w:r>
            <w:r w:rsidRPr="00DB6FA9">
              <w:rPr>
                <w:rFonts w:ascii="Times New Roman" w:hAnsi="Times New Roman" w:cs="Times New Roman"/>
              </w:rPr>
              <w:t>правочину щодо здійснення іноземних інвестицій у с</w:t>
            </w:r>
            <w:r>
              <w:rPr>
                <w:rFonts w:ascii="Times New Roman" w:hAnsi="Times New Roman" w:cs="Times New Roman"/>
              </w:rPr>
              <w:t>тратегічних сферах Міжвідомчою к</w:t>
            </w:r>
            <w:r w:rsidRPr="00DB6FA9">
              <w:rPr>
                <w:rFonts w:ascii="Times New Roman" w:hAnsi="Times New Roman" w:cs="Times New Roman"/>
              </w:rPr>
              <w:t>омісією з питань оцінки впливу іноземних інвестицій на національну безпеку України</w:t>
            </w:r>
            <w:r>
              <w:rPr>
                <w:rFonts w:ascii="Times New Roman" w:hAnsi="Times New Roman" w:cs="Times New Roman"/>
              </w:rPr>
              <w:t xml:space="preserve">, а у разі відсутності зазначеного погодження, є підставою залишення </w:t>
            </w:r>
            <w:r w:rsidRPr="00DB6FA9">
              <w:rPr>
                <w:rFonts w:ascii="Times New Roman" w:hAnsi="Times New Roman" w:cs="Times New Roman"/>
              </w:rPr>
              <w:t>заяви про на</w:t>
            </w:r>
            <w:r>
              <w:rPr>
                <w:rFonts w:ascii="Times New Roman" w:hAnsi="Times New Roman" w:cs="Times New Roman"/>
              </w:rPr>
              <w:t xml:space="preserve">дання дозволу на </w:t>
            </w:r>
            <w:r w:rsidRPr="00DB6FA9">
              <w:rPr>
                <w:rFonts w:ascii="Times New Roman" w:hAnsi="Times New Roman" w:cs="Times New Roman"/>
              </w:rPr>
              <w:t>концентрацію суб’єктів господарювання</w:t>
            </w:r>
            <w:r>
              <w:rPr>
                <w:rFonts w:ascii="Times New Roman" w:hAnsi="Times New Roman" w:cs="Times New Roman"/>
              </w:rPr>
              <w:t>, що мають стратегічне значення для національної безпеки України, без розгляду.</w:t>
            </w:r>
          </w:p>
        </w:tc>
      </w:tr>
      <w:tr w:rsidR="00FA29B4" w:rsidRPr="00462E7A" w:rsidTr="00BB0197">
        <w:tc>
          <w:tcPr>
            <w:tcW w:w="4934" w:type="dxa"/>
          </w:tcPr>
          <w:p w:rsidR="00FA29B4" w:rsidRPr="00462E7A" w:rsidRDefault="00FA29B4" w:rsidP="00FA29B4">
            <w:pPr>
              <w:pStyle w:val="rvps2"/>
              <w:shd w:val="clear" w:color="auto" w:fill="FFFFFF"/>
              <w:spacing w:before="0" w:beforeAutospacing="0" w:after="0" w:afterAutospacing="0"/>
              <w:ind w:firstLine="34"/>
              <w:jc w:val="both"/>
              <w:rPr>
                <w:b/>
                <w:color w:val="000000" w:themeColor="text1"/>
                <w:sz w:val="22"/>
                <w:szCs w:val="22"/>
                <w:lang w:val="uk-UA"/>
              </w:rPr>
            </w:pPr>
            <w:r w:rsidRPr="00462E7A">
              <w:rPr>
                <w:rStyle w:val="rvts15"/>
                <w:b/>
                <w:bCs/>
                <w:color w:val="000000" w:themeColor="text1"/>
                <w:sz w:val="22"/>
                <w:szCs w:val="22"/>
                <w:shd w:val="clear" w:color="auto" w:fill="FFFFFF"/>
                <w:lang w:val="uk-UA"/>
              </w:rPr>
              <w:t xml:space="preserve">Розділ X </w:t>
            </w:r>
            <w:r w:rsidR="00462E7A" w:rsidRPr="00462E7A">
              <w:rPr>
                <w:b/>
                <w:color w:val="000000" w:themeColor="text1"/>
                <w:sz w:val="22"/>
                <w:szCs w:val="22"/>
                <w:lang w:val="uk-UA"/>
              </w:rPr>
              <w:t>“Прикінцеві положення”</w:t>
            </w:r>
          </w:p>
          <w:p w:rsidR="00462E7A" w:rsidRPr="00462E7A" w:rsidRDefault="00462E7A" w:rsidP="00462E7A">
            <w:pPr>
              <w:jc w:val="both"/>
              <w:rPr>
                <w:rFonts w:ascii="Times New Roman" w:hAnsi="Times New Roman" w:cs="Times New Roman"/>
                <w:b/>
                <w:color w:val="000000" w:themeColor="text1"/>
              </w:rPr>
            </w:pPr>
            <w:r w:rsidRPr="00462E7A">
              <w:rPr>
                <w:rFonts w:ascii="Times New Roman" w:hAnsi="Times New Roman" w:cs="Times New Roman"/>
                <w:b/>
                <w:color w:val="000000" w:themeColor="text1"/>
              </w:rPr>
              <w:t>&lt;…&gt;</w:t>
            </w:r>
          </w:p>
          <w:p w:rsidR="00462E7A" w:rsidRPr="00462E7A" w:rsidRDefault="00462E7A" w:rsidP="00462E7A">
            <w:pPr>
              <w:shd w:val="clear" w:color="auto" w:fill="FFFFFF"/>
              <w:jc w:val="both"/>
              <w:rPr>
                <w:rFonts w:ascii="Times New Roman" w:eastAsia="Times New Roman" w:hAnsi="Times New Roman" w:cs="Times New Roman"/>
                <w:color w:val="000000" w:themeColor="text1"/>
                <w:sz w:val="24"/>
                <w:szCs w:val="24"/>
                <w:lang w:eastAsia="ru-RU"/>
              </w:rPr>
            </w:pPr>
            <w:r w:rsidRPr="00462E7A">
              <w:rPr>
                <w:rFonts w:ascii="Times New Roman" w:eastAsia="Times New Roman" w:hAnsi="Times New Roman" w:cs="Times New Roman"/>
                <w:color w:val="000000" w:themeColor="text1"/>
                <w:sz w:val="24"/>
                <w:szCs w:val="24"/>
                <w:lang w:eastAsia="ru-RU"/>
              </w:rPr>
              <w:t>4. </w:t>
            </w:r>
            <w:hyperlink r:id="rId16" w:anchor="n392" w:history="1">
              <w:r w:rsidRPr="00462E7A">
                <w:rPr>
                  <w:rFonts w:ascii="Times New Roman" w:eastAsia="Times New Roman" w:hAnsi="Times New Roman" w:cs="Times New Roman"/>
                  <w:color w:val="000000" w:themeColor="text1"/>
                  <w:sz w:val="24"/>
                  <w:szCs w:val="24"/>
                  <w:lang w:eastAsia="ru-RU"/>
                </w:rPr>
                <w:t>Стаття 44</w:t>
              </w:r>
            </w:hyperlink>
            <w:r w:rsidRPr="00462E7A">
              <w:rPr>
                <w:rFonts w:ascii="Times New Roman" w:eastAsia="Times New Roman" w:hAnsi="Times New Roman" w:cs="Times New Roman"/>
                <w:color w:val="000000" w:themeColor="text1"/>
                <w:sz w:val="24"/>
                <w:szCs w:val="24"/>
                <w:lang w:eastAsia="ru-RU"/>
              </w:rPr>
              <w:t xml:space="preserve"> цього Закону в частині проникнення до житла чи до іншого </w:t>
            </w:r>
            <w:r w:rsidRPr="00462E7A">
              <w:rPr>
                <w:rFonts w:ascii="Times New Roman" w:eastAsia="Times New Roman" w:hAnsi="Times New Roman" w:cs="Times New Roman"/>
                <w:color w:val="000000" w:themeColor="text1"/>
                <w:sz w:val="24"/>
                <w:szCs w:val="24"/>
                <w:lang w:eastAsia="ru-RU"/>
              </w:rPr>
              <w:lastRenderedPageBreak/>
              <w:t>володіння особи, проведення в них огляду чи обшуку набирає чинності з дня набрання чинності законом, що передбачить порядок прийняття господарським судом рішення стосовно проникнення до житла чи до іншого володіння особи, проведення в них огляду чи обшуку.</w:t>
            </w:r>
          </w:p>
          <w:p w:rsidR="00462E7A" w:rsidRPr="00462E7A" w:rsidRDefault="00462E7A" w:rsidP="00462E7A">
            <w:pPr>
              <w:jc w:val="both"/>
              <w:rPr>
                <w:rFonts w:ascii="Times New Roman" w:hAnsi="Times New Roman" w:cs="Times New Roman"/>
                <w:b/>
                <w:color w:val="000000" w:themeColor="text1"/>
              </w:rPr>
            </w:pPr>
            <w:r w:rsidRPr="00462E7A">
              <w:rPr>
                <w:rFonts w:ascii="Times New Roman" w:hAnsi="Times New Roman" w:cs="Times New Roman"/>
                <w:b/>
                <w:color w:val="000000" w:themeColor="text1"/>
              </w:rPr>
              <w:t>&lt;…&gt;</w:t>
            </w:r>
          </w:p>
          <w:p w:rsidR="00462E7A" w:rsidRPr="00462E7A" w:rsidRDefault="00462E7A" w:rsidP="00462E7A">
            <w:pPr>
              <w:shd w:val="clear" w:color="auto" w:fill="FFFFFF"/>
              <w:spacing w:after="150"/>
              <w:jc w:val="both"/>
              <w:rPr>
                <w:rFonts w:ascii="Times New Roman" w:eastAsia="Times New Roman" w:hAnsi="Times New Roman" w:cs="Times New Roman"/>
                <w:b/>
                <w:color w:val="000000" w:themeColor="text1"/>
                <w:sz w:val="24"/>
                <w:szCs w:val="24"/>
                <w:lang w:eastAsia="ru-RU"/>
              </w:rPr>
            </w:pPr>
            <w:r w:rsidRPr="00462E7A">
              <w:rPr>
                <w:rFonts w:ascii="Times New Roman" w:eastAsia="Times New Roman" w:hAnsi="Times New Roman" w:cs="Times New Roman"/>
                <w:b/>
                <w:color w:val="000000" w:themeColor="text1"/>
                <w:sz w:val="24"/>
                <w:szCs w:val="24"/>
                <w:lang w:eastAsia="ru-RU"/>
              </w:rPr>
              <w:t>Пункт відсутній</w:t>
            </w:r>
          </w:p>
          <w:p w:rsidR="00462E7A" w:rsidRPr="00462E7A" w:rsidRDefault="00462E7A" w:rsidP="00462E7A">
            <w:pPr>
              <w:shd w:val="clear" w:color="auto" w:fill="FFFFFF"/>
              <w:spacing w:after="150"/>
              <w:ind w:firstLine="450"/>
              <w:jc w:val="both"/>
              <w:rPr>
                <w:rStyle w:val="rvts9"/>
                <w:b/>
                <w:bCs/>
                <w:color w:val="333333"/>
                <w:shd w:val="clear" w:color="auto" w:fill="FFFFFF"/>
              </w:rPr>
            </w:pPr>
            <w:bookmarkStart w:id="8" w:name="n626"/>
            <w:bookmarkEnd w:id="8"/>
          </w:p>
        </w:tc>
        <w:tc>
          <w:tcPr>
            <w:tcW w:w="5043" w:type="dxa"/>
          </w:tcPr>
          <w:p w:rsidR="00462E7A" w:rsidRPr="00462E7A" w:rsidRDefault="00462E7A" w:rsidP="00462E7A">
            <w:pPr>
              <w:pStyle w:val="rvps2"/>
              <w:shd w:val="clear" w:color="auto" w:fill="FFFFFF"/>
              <w:spacing w:before="0" w:beforeAutospacing="0" w:after="0" w:afterAutospacing="0"/>
              <w:ind w:firstLine="34"/>
              <w:jc w:val="both"/>
              <w:rPr>
                <w:b/>
                <w:color w:val="000000" w:themeColor="text1"/>
                <w:sz w:val="22"/>
                <w:szCs w:val="22"/>
                <w:lang w:val="uk-UA"/>
              </w:rPr>
            </w:pPr>
            <w:r w:rsidRPr="00462E7A">
              <w:rPr>
                <w:rStyle w:val="rvts15"/>
                <w:b/>
                <w:bCs/>
                <w:color w:val="000000" w:themeColor="text1"/>
                <w:sz w:val="22"/>
                <w:szCs w:val="22"/>
                <w:shd w:val="clear" w:color="auto" w:fill="FFFFFF"/>
                <w:lang w:val="uk-UA"/>
              </w:rPr>
              <w:lastRenderedPageBreak/>
              <w:t xml:space="preserve">Розділ X </w:t>
            </w:r>
            <w:r w:rsidRPr="00462E7A">
              <w:rPr>
                <w:b/>
                <w:color w:val="000000" w:themeColor="text1"/>
                <w:sz w:val="22"/>
                <w:szCs w:val="22"/>
                <w:lang w:val="uk-UA"/>
              </w:rPr>
              <w:t>“Прикінцеві положення”</w:t>
            </w:r>
          </w:p>
          <w:p w:rsidR="00462E7A" w:rsidRDefault="00462E7A" w:rsidP="00462E7A">
            <w:pPr>
              <w:jc w:val="both"/>
              <w:rPr>
                <w:rFonts w:ascii="Times New Roman" w:hAnsi="Times New Roman" w:cs="Times New Roman"/>
                <w:b/>
                <w:color w:val="000000" w:themeColor="text1"/>
              </w:rPr>
            </w:pPr>
            <w:r w:rsidRPr="00462E7A">
              <w:rPr>
                <w:rFonts w:ascii="Times New Roman" w:hAnsi="Times New Roman" w:cs="Times New Roman"/>
                <w:b/>
                <w:color w:val="000000" w:themeColor="text1"/>
              </w:rPr>
              <w:t>&lt;…&gt;</w:t>
            </w:r>
          </w:p>
          <w:p w:rsidR="00462E7A" w:rsidRPr="00462E7A" w:rsidRDefault="00462E7A" w:rsidP="00462E7A">
            <w:pPr>
              <w:shd w:val="clear" w:color="auto" w:fill="FFFFFF"/>
              <w:spacing w:after="150"/>
              <w:jc w:val="both"/>
              <w:rPr>
                <w:rFonts w:ascii="Times New Roman" w:eastAsia="Times New Roman" w:hAnsi="Times New Roman" w:cs="Times New Roman"/>
                <w:color w:val="000000" w:themeColor="text1"/>
                <w:sz w:val="24"/>
                <w:szCs w:val="24"/>
                <w:lang w:eastAsia="ru-RU"/>
              </w:rPr>
            </w:pPr>
            <w:r w:rsidRPr="00462E7A">
              <w:rPr>
                <w:rFonts w:ascii="Times New Roman" w:eastAsia="Times New Roman" w:hAnsi="Times New Roman" w:cs="Times New Roman"/>
                <w:color w:val="000000" w:themeColor="text1"/>
                <w:sz w:val="24"/>
                <w:szCs w:val="24"/>
                <w:lang w:eastAsia="ru-RU"/>
              </w:rPr>
              <w:t>4. </w:t>
            </w:r>
            <w:hyperlink r:id="rId17" w:anchor="n392" w:history="1">
              <w:r w:rsidRPr="00462E7A">
                <w:rPr>
                  <w:rFonts w:ascii="Times New Roman" w:eastAsia="Times New Roman" w:hAnsi="Times New Roman" w:cs="Times New Roman"/>
                  <w:color w:val="000000" w:themeColor="text1"/>
                  <w:sz w:val="24"/>
                  <w:szCs w:val="24"/>
                  <w:lang w:eastAsia="ru-RU"/>
                </w:rPr>
                <w:t>Стаття 44</w:t>
              </w:r>
            </w:hyperlink>
            <w:r w:rsidRPr="00462E7A">
              <w:rPr>
                <w:rFonts w:ascii="Times New Roman" w:eastAsia="Times New Roman" w:hAnsi="Times New Roman" w:cs="Times New Roman"/>
                <w:color w:val="000000" w:themeColor="text1"/>
                <w:sz w:val="24"/>
                <w:szCs w:val="24"/>
                <w:lang w:eastAsia="ru-RU"/>
              </w:rPr>
              <w:t xml:space="preserve"> цього Закону в частині проникнення до житла чи до іншого володіння </w:t>
            </w:r>
            <w:r w:rsidRPr="00462E7A">
              <w:rPr>
                <w:rFonts w:ascii="Times New Roman" w:eastAsia="Times New Roman" w:hAnsi="Times New Roman" w:cs="Times New Roman"/>
                <w:color w:val="000000" w:themeColor="text1"/>
                <w:sz w:val="24"/>
                <w:szCs w:val="24"/>
                <w:lang w:eastAsia="ru-RU"/>
              </w:rPr>
              <w:lastRenderedPageBreak/>
              <w:t>особи, проведення в них огляду чи обшуку набирає чинності з дня набрання чинності законом, що передбачить порядок прийняття господарським судом рішення стосовно проникнення до житла чи до іншого володіння особи, проведення в них огляду чи обшуку.</w:t>
            </w:r>
          </w:p>
          <w:p w:rsidR="00462E7A" w:rsidRPr="00462E7A" w:rsidRDefault="00462E7A" w:rsidP="00462E7A">
            <w:pPr>
              <w:jc w:val="both"/>
              <w:rPr>
                <w:rFonts w:ascii="Times New Roman" w:hAnsi="Times New Roman" w:cs="Times New Roman"/>
                <w:b/>
                <w:color w:val="000000" w:themeColor="text1"/>
              </w:rPr>
            </w:pPr>
            <w:r w:rsidRPr="00462E7A">
              <w:rPr>
                <w:rFonts w:ascii="Times New Roman" w:hAnsi="Times New Roman" w:cs="Times New Roman"/>
                <w:b/>
                <w:color w:val="000000" w:themeColor="text1"/>
              </w:rPr>
              <w:t>&lt;…&gt;</w:t>
            </w:r>
          </w:p>
          <w:p w:rsidR="00FA29B4" w:rsidRPr="00462E7A" w:rsidRDefault="00FA29B4" w:rsidP="00E3156E">
            <w:pPr>
              <w:pStyle w:val="rvps2"/>
              <w:shd w:val="clear" w:color="auto" w:fill="FFFFFF"/>
              <w:spacing w:before="0" w:beforeAutospacing="0" w:after="0" w:afterAutospacing="0"/>
              <w:ind w:firstLine="34"/>
              <w:jc w:val="both"/>
              <w:rPr>
                <w:rStyle w:val="rvts9"/>
                <w:b/>
                <w:bCs/>
                <w:color w:val="000000" w:themeColor="text1"/>
                <w:sz w:val="22"/>
                <w:szCs w:val="22"/>
                <w:lang w:val="uk-UA"/>
              </w:rPr>
            </w:pPr>
            <w:r w:rsidRPr="00462E7A">
              <w:rPr>
                <w:b/>
                <w:color w:val="000000" w:themeColor="text1"/>
                <w:sz w:val="22"/>
                <w:szCs w:val="22"/>
                <w:lang w:val="uk-UA"/>
              </w:rPr>
              <w:t>4</w:t>
            </w:r>
            <w:r w:rsidRPr="00462E7A">
              <w:rPr>
                <w:b/>
                <w:color w:val="000000" w:themeColor="text1"/>
                <w:sz w:val="22"/>
                <w:szCs w:val="22"/>
                <w:vertAlign w:val="superscript"/>
                <w:lang w:val="uk-UA"/>
              </w:rPr>
              <w:t>4</w:t>
            </w:r>
            <w:r w:rsidRPr="00462E7A">
              <w:rPr>
                <w:b/>
                <w:color w:val="000000" w:themeColor="text1"/>
                <w:sz w:val="22"/>
                <w:szCs w:val="22"/>
                <w:lang w:val="uk-UA"/>
              </w:rPr>
              <w:t>. Заяви про надання дозволу на концентрацію та справи про концентрацію, рішення по яким не прийняті на момент набрання чинності Законом України  “Про здійснення іноземних інвестицій у суб’єкти господарювання, що мають стратегічне значення д</w:t>
            </w:r>
            <w:r w:rsidR="00462E7A">
              <w:rPr>
                <w:b/>
                <w:color w:val="000000" w:themeColor="text1"/>
                <w:sz w:val="22"/>
                <w:szCs w:val="22"/>
                <w:lang w:val="uk-UA"/>
              </w:rPr>
              <w:t>ля національної безпеки України</w:t>
            </w:r>
            <w:r w:rsidR="00462E7A" w:rsidRPr="00E3156E">
              <w:rPr>
                <w:b/>
                <w:color w:val="000000" w:themeColor="text1"/>
                <w:sz w:val="22"/>
                <w:szCs w:val="22"/>
                <w:lang w:val="uk-UA"/>
              </w:rPr>
              <w:t>”</w:t>
            </w:r>
            <w:r w:rsidRPr="00462E7A">
              <w:rPr>
                <w:b/>
                <w:color w:val="000000" w:themeColor="text1"/>
                <w:sz w:val="22"/>
                <w:szCs w:val="22"/>
                <w:lang w:val="uk-UA"/>
              </w:rPr>
              <w:t xml:space="preserve"> підлягають розгляду відповідно до вимог Закону України “Про здійснення іноземних інвестицій у суб’єкти господарювання, що мають стратегічне значення для національної безпеки України” з моменту набрання ним чинності.</w:t>
            </w:r>
          </w:p>
        </w:tc>
        <w:tc>
          <w:tcPr>
            <w:tcW w:w="5191" w:type="dxa"/>
          </w:tcPr>
          <w:p w:rsidR="00FA29B4" w:rsidRPr="00462E7A" w:rsidRDefault="00FA29B4" w:rsidP="00CC4F1E">
            <w:pPr>
              <w:jc w:val="both"/>
              <w:rPr>
                <w:rFonts w:ascii="Times New Roman" w:hAnsi="Times New Roman" w:cs="Times New Roman"/>
              </w:rPr>
            </w:pPr>
          </w:p>
        </w:tc>
      </w:tr>
    </w:tbl>
    <w:p w:rsidR="00354CBD" w:rsidRPr="00462E7A" w:rsidRDefault="00354CBD" w:rsidP="00B62583">
      <w:pPr>
        <w:spacing w:line="240" w:lineRule="atLeast"/>
        <w:contextualSpacing/>
        <w:rPr>
          <w:rFonts w:ascii="Times New Roman" w:hAnsi="Times New Roman" w:cs="Times New Roman"/>
          <w:b/>
        </w:rPr>
      </w:pPr>
    </w:p>
    <w:p w:rsidR="00177CEA" w:rsidRDefault="00177CEA" w:rsidP="00177CEA">
      <w:pPr>
        <w:spacing w:after="0" w:line="240" w:lineRule="atLeast"/>
        <w:jc w:val="both"/>
        <w:rPr>
          <w:rFonts w:ascii="Times New Roman" w:eastAsia="Calibri" w:hAnsi="Times New Roman" w:cs="Times New Roman"/>
          <w:b/>
          <w:sz w:val="26"/>
          <w:szCs w:val="26"/>
        </w:rPr>
      </w:pPr>
      <w:r w:rsidRPr="008E3184">
        <w:rPr>
          <w:rFonts w:ascii="Times New Roman" w:eastAsia="Calibri" w:hAnsi="Times New Roman" w:cs="Times New Roman"/>
          <w:b/>
          <w:sz w:val="26"/>
          <w:szCs w:val="26"/>
        </w:rPr>
        <w:t>Міністр</w:t>
      </w:r>
      <w:r>
        <w:rPr>
          <w:rFonts w:ascii="Times New Roman" w:eastAsia="Calibri" w:hAnsi="Times New Roman" w:cs="Times New Roman"/>
          <w:b/>
          <w:sz w:val="26"/>
          <w:szCs w:val="26"/>
        </w:rPr>
        <w:t xml:space="preserve"> </w:t>
      </w:r>
      <w:r w:rsidRPr="008E3184">
        <w:rPr>
          <w:rFonts w:ascii="Times New Roman" w:eastAsia="Calibri" w:hAnsi="Times New Roman" w:cs="Times New Roman"/>
          <w:b/>
          <w:sz w:val="26"/>
          <w:szCs w:val="26"/>
        </w:rPr>
        <w:t>розвитку економіки,</w:t>
      </w:r>
      <w:r w:rsidRPr="00177CEA">
        <w:rPr>
          <w:rFonts w:ascii="Times New Roman" w:eastAsia="Calibri" w:hAnsi="Times New Roman" w:cs="Times New Roman"/>
          <w:b/>
          <w:sz w:val="26"/>
          <w:szCs w:val="26"/>
        </w:rPr>
        <w:t xml:space="preserve"> </w:t>
      </w:r>
      <w:r w:rsidRPr="008E3184">
        <w:rPr>
          <w:rFonts w:ascii="Times New Roman" w:eastAsia="Calibri" w:hAnsi="Times New Roman" w:cs="Times New Roman"/>
          <w:b/>
          <w:sz w:val="26"/>
          <w:szCs w:val="26"/>
        </w:rPr>
        <w:t>торгівлі та</w:t>
      </w:r>
      <w:r>
        <w:rPr>
          <w:rFonts w:ascii="Times New Roman" w:eastAsia="Calibri" w:hAnsi="Times New Roman" w:cs="Times New Roman"/>
          <w:b/>
          <w:sz w:val="26"/>
          <w:szCs w:val="26"/>
        </w:rPr>
        <w:t xml:space="preserve"> </w:t>
      </w:r>
    </w:p>
    <w:p w:rsidR="00177CEA" w:rsidRPr="008E3184" w:rsidRDefault="00177CEA" w:rsidP="00177CEA">
      <w:pPr>
        <w:spacing w:after="0" w:line="240" w:lineRule="atLeast"/>
        <w:jc w:val="both"/>
        <w:rPr>
          <w:rFonts w:ascii="Times New Roman" w:eastAsia="Calibri" w:hAnsi="Times New Roman" w:cs="Times New Roman"/>
          <w:b/>
          <w:sz w:val="26"/>
          <w:szCs w:val="26"/>
          <w:lang w:eastAsia="uk-UA"/>
        </w:rPr>
      </w:pPr>
      <w:r>
        <w:rPr>
          <w:rFonts w:ascii="Times New Roman" w:eastAsia="Calibri" w:hAnsi="Times New Roman" w:cs="Times New Roman"/>
          <w:b/>
          <w:sz w:val="26"/>
          <w:szCs w:val="26"/>
        </w:rPr>
        <w:t>сільського</w:t>
      </w:r>
      <w:r w:rsidRPr="00177CEA">
        <w:rPr>
          <w:rFonts w:ascii="Times New Roman" w:eastAsia="Calibri" w:hAnsi="Times New Roman" w:cs="Times New Roman"/>
          <w:b/>
          <w:sz w:val="26"/>
          <w:szCs w:val="26"/>
        </w:rPr>
        <w:t xml:space="preserve"> </w:t>
      </w:r>
      <w:r w:rsidRPr="008E3184">
        <w:rPr>
          <w:rFonts w:ascii="Times New Roman" w:eastAsia="Calibri" w:hAnsi="Times New Roman" w:cs="Times New Roman"/>
          <w:b/>
          <w:sz w:val="26"/>
          <w:szCs w:val="26"/>
        </w:rPr>
        <w:t>господарства України</w:t>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 xml:space="preserve">                                  </w:t>
      </w:r>
      <w:bookmarkStart w:id="9" w:name="_GoBack"/>
      <w:bookmarkEnd w:id="9"/>
      <w:r>
        <w:rPr>
          <w:rFonts w:ascii="Times New Roman" w:eastAsia="Calibri" w:hAnsi="Times New Roman" w:cs="Times New Roman"/>
          <w:b/>
          <w:sz w:val="26"/>
          <w:szCs w:val="26"/>
        </w:rPr>
        <w:t>Ігор ПЕТРАШКО</w:t>
      </w:r>
    </w:p>
    <w:p w:rsidR="00177CEA" w:rsidRDefault="00177CEA" w:rsidP="00177CEA">
      <w:pPr>
        <w:spacing w:after="0" w:line="240" w:lineRule="atLeast"/>
        <w:jc w:val="both"/>
        <w:rPr>
          <w:rFonts w:ascii="Times New Roman" w:eastAsia="Calibri" w:hAnsi="Times New Roman" w:cs="Times New Roman"/>
          <w:b/>
          <w:sz w:val="26"/>
          <w:szCs w:val="26"/>
        </w:rPr>
      </w:pPr>
    </w:p>
    <w:p w:rsidR="00177CEA" w:rsidRDefault="00177CEA" w:rsidP="00177CEA">
      <w:pPr>
        <w:spacing w:after="0" w:line="240" w:lineRule="atLeast"/>
        <w:jc w:val="both"/>
        <w:rPr>
          <w:rFonts w:ascii="Times New Roman" w:eastAsia="Calibri" w:hAnsi="Times New Roman" w:cs="Times New Roman"/>
          <w:b/>
          <w:sz w:val="26"/>
          <w:szCs w:val="26"/>
        </w:rPr>
      </w:pPr>
    </w:p>
    <w:p w:rsidR="008E2325" w:rsidRPr="00FD57C6" w:rsidRDefault="008E2325" w:rsidP="00B62583">
      <w:pPr>
        <w:spacing w:line="240" w:lineRule="atLeast"/>
        <w:rPr>
          <w:b/>
        </w:rPr>
      </w:pPr>
    </w:p>
    <w:p w:rsidR="008B14AA" w:rsidRPr="00177CEA" w:rsidRDefault="008E2325">
      <w:pPr>
        <w:rPr>
          <w:lang w:val="ru-RU"/>
        </w:rPr>
      </w:pPr>
      <w:r w:rsidRPr="00FD57C6">
        <w:rPr>
          <w:rFonts w:ascii="Times New Roman" w:hAnsi="Times New Roman" w:cs="Times New Roman"/>
        </w:rPr>
        <w:t>_____ ______________ 20__ р.</w:t>
      </w:r>
    </w:p>
    <w:sectPr w:rsidR="008B14AA" w:rsidRPr="00177CEA" w:rsidSect="00582423">
      <w:headerReference w:type="default" r:id="rId18"/>
      <w:pgSz w:w="16838" w:h="11906" w:orient="landscape"/>
      <w:pgMar w:top="284"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D6" w:rsidRDefault="005920D6" w:rsidP="00582423">
      <w:pPr>
        <w:spacing w:after="0" w:line="240" w:lineRule="auto"/>
      </w:pPr>
      <w:r>
        <w:separator/>
      </w:r>
    </w:p>
  </w:endnote>
  <w:endnote w:type="continuationSeparator" w:id="0">
    <w:p w:rsidR="005920D6" w:rsidRDefault="005920D6" w:rsidP="0058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D6" w:rsidRDefault="005920D6" w:rsidP="00582423">
      <w:pPr>
        <w:spacing w:after="0" w:line="240" w:lineRule="auto"/>
      </w:pPr>
      <w:r>
        <w:separator/>
      </w:r>
    </w:p>
  </w:footnote>
  <w:footnote w:type="continuationSeparator" w:id="0">
    <w:p w:rsidR="005920D6" w:rsidRDefault="005920D6" w:rsidP="0058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99719"/>
      <w:docPartObj>
        <w:docPartGallery w:val="Page Numbers (Top of Page)"/>
        <w:docPartUnique/>
      </w:docPartObj>
    </w:sdtPr>
    <w:sdtEndPr/>
    <w:sdtContent>
      <w:p w:rsidR="00582423" w:rsidRDefault="00582423">
        <w:pPr>
          <w:pStyle w:val="a8"/>
          <w:jc w:val="center"/>
        </w:pPr>
        <w:r>
          <w:fldChar w:fldCharType="begin"/>
        </w:r>
        <w:r>
          <w:instrText>PAGE   \* MERGEFORMAT</w:instrText>
        </w:r>
        <w:r>
          <w:fldChar w:fldCharType="separate"/>
        </w:r>
        <w:r w:rsidR="00177CEA" w:rsidRPr="00177CEA">
          <w:rPr>
            <w:noProof/>
            <w:lang w:val="ru-RU"/>
          </w:rPr>
          <w:t>4</w:t>
        </w:r>
        <w:r>
          <w:fldChar w:fldCharType="end"/>
        </w:r>
      </w:p>
    </w:sdtContent>
  </w:sdt>
  <w:p w:rsidR="00582423" w:rsidRDefault="0058242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3C"/>
    <w:rsid w:val="000F1B32"/>
    <w:rsid w:val="00121E2D"/>
    <w:rsid w:val="00126A54"/>
    <w:rsid w:val="00177CEA"/>
    <w:rsid w:val="00192068"/>
    <w:rsid w:val="001B6F3F"/>
    <w:rsid w:val="001D1681"/>
    <w:rsid w:val="001D5A5E"/>
    <w:rsid w:val="001F3453"/>
    <w:rsid w:val="00285284"/>
    <w:rsid w:val="002D18AF"/>
    <w:rsid w:val="002E201A"/>
    <w:rsid w:val="00354CBD"/>
    <w:rsid w:val="00386451"/>
    <w:rsid w:val="003D42A6"/>
    <w:rsid w:val="003E6431"/>
    <w:rsid w:val="00462E7A"/>
    <w:rsid w:val="004C1B52"/>
    <w:rsid w:val="0050123E"/>
    <w:rsid w:val="00547189"/>
    <w:rsid w:val="00555814"/>
    <w:rsid w:val="00563F16"/>
    <w:rsid w:val="00577649"/>
    <w:rsid w:val="00582423"/>
    <w:rsid w:val="005920D6"/>
    <w:rsid w:val="005D6F9C"/>
    <w:rsid w:val="00635A8E"/>
    <w:rsid w:val="00656CE1"/>
    <w:rsid w:val="006A5B0B"/>
    <w:rsid w:val="007B78C9"/>
    <w:rsid w:val="007D0467"/>
    <w:rsid w:val="007F1AD8"/>
    <w:rsid w:val="008069A6"/>
    <w:rsid w:val="00815FA1"/>
    <w:rsid w:val="0082476C"/>
    <w:rsid w:val="00890BF0"/>
    <w:rsid w:val="008971F0"/>
    <w:rsid w:val="008A2B5F"/>
    <w:rsid w:val="008B14AA"/>
    <w:rsid w:val="008C1E09"/>
    <w:rsid w:val="008C72BF"/>
    <w:rsid w:val="008E2325"/>
    <w:rsid w:val="00910AE2"/>
    <w:rsid w:val="00927FA3"/>
    <w:rsid w:val="0093363C"/>
    <w:rsid w:val="009F68BF"/>
    <w:rsid w:val="00A3562D"/>
    <w:rsid w:val="00B00A34"/>
    <w:rsid w:val="00B02866"/>
    <w:rsid w:val="00B05FC4"/>
    <w:rsid w:val="00B32363"/>
    <w:rsid w:val="00B62583"/>
    <w:rsid w:val="00BA3657"/>
    <w:rsid w:val="00BB0197"/>
    <w:rsid w:val="00C279E6"/>
    <w:rsid w:val="00C76A1C"/>
    <w:rsid w:val="00CC08C4"/>
    <w:rsid w:val="00CC4F1E"/>
    <w:rsid w:val="00D23129"/>
    <w:rsid w:val="00D326B7"/>
    <w:rsid w:val="00D5000C"/>
    <w:rsid w:val="00DB6FA9"/>
    <w:rsid w:val="00E235E0"/>
    <w:rsid w:val="00E3156E"/>
    <w:rsid w:val="00E33DC0"/>
    <w:rsid w:val="00EB1181"/>
    <w:rsid w:val="00F4674B"/>
    <w:rsid w:val="00F9419F"/>
    <w:rsid w:val="00FA29B4"/>
    <w:rsid w:val="00FB20B7"/>
    <w:rsid w:val="00FD57C6"/>
    <w:rsid w:val="00FF5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BBD3"/>
  <w15:docId w15:val="{81A88AD7-D436-411B-A9A0-3573026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7D0467"/>
  </w:style>
  <w:style w:type="paragraph" w:styleId="a4">
    <w:name w:val="Balloon Text"/>
    <w:basedOn w:val="a"/>
    <w:link w:val="a5"/>
    <w:uiPriority w:val="99"/>
    <w:semiHidden/>
    <w:unhideWhenUsed/>
    <w:rsid w:val="00910A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0AE2"/>
    <w:rPr>
      <w:rFonts w:ascii="Segoe UI" w:hAnsi="Segoe UI" w:cs="Segoe UI"/>
      <w:sz w:val="18"/>
      <w:szCs w:val="18"/>
    </w:rPr>
  </w:style>
  <w:style w:type="character" w:customStyle="1" w:styleId="rvts9">
    <w:name w:val="rvts9"/>
    <w:basedOn w:val="a0"/>
    <w:rsid w:val="001D5A5E"/>
  </w:style>
  <w:style w:type="character" w:styleId="a6">
    <w:name w:val="Hyperlink"/>
    <w:basedOn w:val="a0"/>
    <w:uiPriority w:val="99"/>
    <w:semiHidden/>
    <w:unhideWhenUsed/>
    <w:rsid w:val="001D5A5E"/>
    <w:rPr>
      <w:color w:val="0000FF"/>
      <w:u w:val="single"/>
    </w:rPr>
  </w:style>
  <w:style w:type="paragraph" w:styleId="a7">
    <w:name w:val="List Paragraph"/>
    <w:basedOn w:val="a"/>
    <w:uiPriority w:val="34"/>
    <w:qFormat/>
    <w:rsid w:val="001D5A5E"/>
    <w:pPr>
      <w:ind w:left="720"/>
      <w:contextualSpacing/>
    </w:pPr>
  </w:style>
  <w:style w:type="paragraph" w:customStyle="1" w:styleId="rvps2">
    <w:name w:val="rvps2"/>
    <w:basedOn w:val="a"/>
    <w:rsid w:val="00D231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D23129"/>
  </w:style>
  <w:style w:type="paragraph" w:styleId="a8">
    <w:name w:val="header"/>
    <w:basedOn w:val="a"/>
    <w:link w:val="a9"/>
    <w:uiPriority w:val="99"/>
    <w:unhideWhenUsed/>
    <w:rsid w:val="00FA29B4"/>
    <w:pPr>
      <w:tabs>
        <w:tab w:val="center" w:pos="4819"/>
        <w:tab w:val="right" w:pos="9639"/>
      </w:tabs>
      <w:spacing w:after="0" w:line="240" w:lineRule="auto"/>
    </w:pPr>
    <w:rPr>
      <w:rFonts w:ascii="Calibri" w:eastAsia="Calibri" w:hAnsi="Calibri" w:cs="Calibri"/>
    </w:rPr>
  </w:style>
  <w:style w:type="character" w:customStyle="1" w:styleId="a9">
    <w:name w:val="Верхний колонтитул Знак"/>
    <w:basedOn w:val="a0"/>
    <w:link w:val="a8"/>
    <w:uiPriority w:val="99"/>
    <w:rsid w:val="00FA29B4"/>
    <w:rPr>
      <w:rFonts w:ascii="Calibri" w:eastAsia="Calibri" w:hAnsi="Calibri" w:cs="Calibri"/>
    </w:rPr>
  </w:style>
  <w:style w:type="character" w:customStyle="1" w:styleId="rvts15">
    <w:name w:val="rvts15"/>
    <w:basedOn w:val="a0"/>
    <w:rsid w:val="00FA29B4"/>
  </w:style>
  <w:style w:type="character" w:customStyle="1" w:styleId="rvts37">
    <w:name w:val="rvts37"/>
    <w:basedOn w:val="a0"/>
    <w:rsid w:val="00462E7A"/>
  </w:style>
  <w:style w:type="paragraph" w:styleId="aa">
    <w:name w:val="footer"/>
    <w:basedOn w:val="a"/>
    <w:link w:val="ab"/>
    <w:uiPriority w:val="99"/>
    <w:unhideWhenUsed/>
    <w:rsid w:val="005824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05096">
      <w:bodyDiv w:val="1"/>
      <w:marLeft w:val="0"/>
      <w:marRight w:val="0"/>
      <w:marTop w:val="0"/>
      <w:marBottom w:val="0"/>
      <w:divBdr>
        <w:top w:val="none" w:sz="0" w:space="0" w:color="auto"/>
        <w:left w:val="none" w:sz="0" w:space="0" w:color="auto"/>
        <w:bottom w:val="none" w:sz="0" w:space="0" w:color="auto"/>
        <w:right w:val="none" w:sz="0" w:space="0" w:color="auto"/>
      </w:divBdr>
    </w:div>
    <w:div w:id="946931937">
      <w:bodyDiv w:val="1"/>
      <w:marLeft w:val="0"/>
      <w:marRight w:val="0"/>
      <w:marTop w:val="0"/>
      <w:marBottom w:val="0"/>
      <w:divBdr>
        <w:top w:val="none" w:sz="0" w:space="0" w:color="auto"/>
        <w:left w:val="none" w:sz="0" w:space="0" w:color="auto"/>
        <w:bottom w:val="none" w:sz="0" w:space="0" w:color="auto"/>
        <w:right w:val="none" w:sz="0" w:space="0" w:color="auto"/>
      </w:divBdr>
    </w:div>
    <w:div w:id="1286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FACF-AA79-4E8E-93AE-998B1100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8661</Words>
  <Characters>4937</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УДОД Маргарита Едуардівна</dc:creator>
  <cp:keywords/>
  <dc:description/>
  <cp:lastModifiedBy>ГЕРЕНОК Олена Борисівна</cp:lastModifiedBy>
  <cp:revision>3</cp:revision>
  <cp:lastPrinted>2020-05-08T12:26:00Z</cp:lastPrinted>
  <dcterms:created xsi:type="dcterms:W3CDTF">2020-12-27T14:43:00Z</dcterms:created>
  <dcterms:modified xsi:type="dcterms:W3CDTF">2020-12-28T15:33:00Z</dcterms:modified>
</cp:coreProperties>
</file>