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06" w:rsidRDefault="004A27D6">
      <w:pPr>
        <w:spacing w:after="160" w:line="240" w:lineRule="auto"/>
        <w:ind w:right="113" w:firstLine="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Порівняльна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таблиця</w:t>
      </w:r>
      <w:proofErr w:type="spellEnd"/>
    </w:p>
    <w:p w:rsidR="00952506" w:rsidRDefault="004A27D6">
      <w:pPr>
        <w:spacing w:after="160" w:line="240" w:lineRule="auto"/>
        <w:ind w:left="113" w:right="11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проекту Закону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внесення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змін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Податкового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кодексу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щодо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соціальних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пільг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соціальних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гарантій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бойових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52506" w:rsidRDefault="00952506"/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5250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506" w:rsidRDefault="004A27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чинного акта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506" w:rsidRDefault="004A27D6" w:rsidP="004A27D6">
            <w:pPr>
              <w:spacing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Запропонована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редакція</w:t>
            </w:r>
            <w:proofErr w:type="spellEnd"/>
          </w:p>
        </w:tc>
      </w:tr>
      <w:tr w:rsidR="0095250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506" w:rsidRDefault="004A27D6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п. 169.1.4. ст. 169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кодексу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:</w:t>
            </w:r>
          </w:p>
          <w:p w:rsidR="00952506" w:rsidRDefault="004A27D6">
            <w:pPr>
              <w:shd w:val="clear" w:color="auto" w:fill="FFFFFF"/>
              <w:spacing w:after="160"/>
              <w:ind w:firstLine="4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169.1.4.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розмірі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дорівнює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200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пільги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визначеної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hyperlink r:id="rId7" w:anchor="n3917"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підпунктом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 xml:space="preserve"> 169.1.1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пункту, - для такого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платника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є:</w:t>
            </w:r>
          </w:p>
          <w:p w:rsidR="00952506" w:rsidRDefault="004A27D6">
            <w:pPr>
              <w:shd w:val="clear" w:color="auto" w:fill="FFFFFF"/>
              <w:spacing w:after="160"/>
              <w:ind w:firstLine="4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Героєм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Героєм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Радянського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Союзу,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Героєм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Соціалістичної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кавалером ордена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Слави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ордена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Трудової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Слави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нагородженою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чотирма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медалями "За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відвагу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";</w:t>
            </w:r>
          </w:p>
          <w:p w:rsidR="00952506" w:rsidRDefault="004A27D6">
            <w:pPr>
              <w:shd w:val="clear" w:color="auto" w:fill="FFFFFF"/>
              <w:spacing w:after="160"/>
              <w:ind w:firstLine="4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бойових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дій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світової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війни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особою, яка у той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працювала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тилу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та особою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інвалідністю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I і II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з числа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бойових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дій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країн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світової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війни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поширюється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 xml:space="preserve"> "Про статус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ветеранів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війни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 xml:space="preserve">,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гарантії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їх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соціального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захисту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"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;</w:t>
            </w:r>
          </w:p>
          <w:p w:rsidR="00952506" w:rsidRDefault="004A27D6">
            <w:pPr>
              <w:shd w:val="clear" w:color="auto" w:fill="FFFFFF"/>
              <w:spacing w:after="160"/>
              <w:ind w:firstLine="4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колишнім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в'язнем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концтаборів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гетто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місць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примусового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утримання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світової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війни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визнаною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репресованою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реабілітованою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;</w:t>
            </w:r>
          </w:p>
          <w:p w:rsidR="00952506" w:rsidRDefault="004A27D6">
            <w:pPr>
              <w:shd w:val="clear" w:color="auto" w:fill="FFFFFF"/>
              <w:spacing w:after="160"/>
              <w:ind w:firstLine="4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г) особою,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насильно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вивезена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колишнього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СРСР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світової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війни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територію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держав,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перебували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війни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колишнім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СРСР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були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окуповані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lastRenderedPageBreak/>
              <w:t>фашистською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Німеччиною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союзниками;</w:t>
            </w:r>
          </w:p>
          <w:p w:rsidR="00952506" w:rsidRDefault="004A27D6">
            <w:pPr>
              <w:shd w:val="clear" w:color="auto" w:fill="FFFFFF"/>
              <w:spacing w:after="160"/>
              <w:ind w:firstLine="4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ґ) особою,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перебувала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блокадній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колишнього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Ленінграда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(Санкт-Петербург,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Російська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Федерація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)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 8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вересня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1941 року по 27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січня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1944 року.</w:t>
            </w:r>
          </w:p>
          <w:p w:rsidR="00952506" w:rsidRDefault="0095250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506" w:rsidRDefault="004A27D6" w:rsidP="004A27D6">
            <w:pPr>
              <w:shd w:val="clear" w:color="auto" w:fill="FFFFFF"/>
              <w:spacing w:after="160"/>
              <w:ind w:left="54" w:firstLine="34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lastRenderedPageBreak/>
              <w:t xml:space="preserve">п. 169.1.4. ст. 169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кодексу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:</w:t>
            </w:r>
          </w:p>
          <w:p w:rsidR="00952506" w:rsidRDefault="004A27D6" w:rsidP="004A27D6">
            <w:pPr>
              <w:shd w:val="clear" w:color="auto" w:fill="FFFFFF"/>
              <w:spacing w:after="160"/>
              <w:ind w:left="54" w:firstLine="34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169.1.4.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розмірі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дорівнює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200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відсоткам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пільги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визначеної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hyperlink r:id="rId9" w:anchor="n3917">
              <w:proofErr w:type="spellStart"/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підпунктом</w:t>
              </w:r>
              <w:proofErr w:type="spellEnd"/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 xml:space="preserve"> 169.1.1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пункту, - для такого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платника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є:</w:t>
            </w:r>
          </w:p>
          <w:p w:rsidR="00952506" w:rsidRDefault="004A27D6" w:rsidP="004A27D6">
            <w:pPr>
              <w:shd w:val="clear" w:color="auto" w:fill="FFFFFF"/>
              <w:spacing w:after="160"/>
              <w:ind w:left="54" w:firstLine="34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Героєм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Героєм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Радянського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Союзу,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Героєм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Соціалістичної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повним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кавалером ордена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Слави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ордена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Трудової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Слави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особою,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нагородженою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чотирма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медалями "За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відвагу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";</w:t>
            </w:r>
          </w:p>
          <w:p w:rsidR="00952506" w:rsidRDefault="004A27D6" w:rsidP="004A27D6">
            <w:pPr>
              <w:shd w:val="clear" w:color="auto" w:fill="FFFFFF"/>
              <w:spacing w:after="160"/>
              <w:ind w:left="54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бойових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дій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світової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війни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особою, яка у той 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працювала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тилу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та особою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інвалідністю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I і 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з числа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бойових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дій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країн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світової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війни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поширюється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hyperlink r:id="rId10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 xml:space="preserve"> "Про статус </w:t>
              </w:r>
              <w:proofErr w:type="spellStart"/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ветеранів</w:t>
              </w:r>
              <w:proofErr w:type="spellEnd"/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війни</w:t>
              </w:r>
              <w:proofErr w:type="spellEnd"/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 xml:space="preserve">, </w:t>
              </w:r>
              <w:proofErr w:type="spellStart"/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гарантії</w:t>
              </w:r>
              <w:proofErr w:type="spellEnd"/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їх</w:t>
              </w:r>
              <w:proofErr w:type="spellEnd"/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соціального</w:t>
              </w:r>
              <w:proofErr w:type="spellEnd"/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захисту</w:t>
              </w:r>
              <w:proofErr w:type="spellEnd"/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"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;</w:t>
            </w:r>
          </w:p>
          <w:p w:rsidR="00952506" w:rsidRDefault="004A27D6" w:rsidP="004A27D6">
            <w:pPr>
              <w:shd w:val="clear" w:color="auto" w:fill="FFFFFF"/>
              <w:spacing w:after="160"/>
              <w:ind w:left="54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колишнім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в'язнем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концтаборів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гетто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місць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примусового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утримання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світової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війни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визнаною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репресованою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реабілітованою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;</w:t>
            </w:r>
          </w:p>
          <w:p w:rsidR="00952506" w:rsidRDefault="004A27D6" w:rsidP="004A27D6">
            <w:pPr>
              <w:shd w:val="clear" w:color="auto" w:fill="FFFFFF"/>
              <w:spacing w:after="160"/>
              <w:ind w:left="54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г) особою, яка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насильно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вивезена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колишнього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СРСР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світової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війни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територію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держав,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перебували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стані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війни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lastRenderedPageBreak/>
              <w:t>колишнім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СРСР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були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окуповані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фашистською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Німеччиною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союзниками;</w:t>
            </w:r>
          </w:p>
          <w:p w:rsidR="00952506" w:rsidRDefault="004A27D6" w:rsidP="004A27D6">
            <w:pPr>
              <w:shd w:val="clear" w:color="auto" w:fill="FFFFFF"/>
              <w:spacing w:after="160"/>
              <w:ind w:left="54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ґ) особою, яка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перебувала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блокадній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колишнього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Ленінграда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(Санкт-Петербург,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Російська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Федерація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)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з 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вересня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1941 року по 27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січня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1944 року;</w:t>
            </w:r>
          </w:p>
          <w:p w:rsidR="00952506" w:rsidRDefault="004A27D6" w:rsidP="004A27D6">
            <w:pPr>
              <w:shd w:val="clear" w:color="auto" w:fill="FFFFFF"/>
              <w:spacing w:after="160"/>
              <w:ind w:left="54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д)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військовослужбовці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резервісти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військовозобов'язані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Сил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Національної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зовнішньої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розвідки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прикордонної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спеціальної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транспорту,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військовослужбовці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військових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прокуратур, особи рядового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начальницького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складу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підрозділів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оперативного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зон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антитерористичної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операції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центрального органу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виконавчої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влади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реалізує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податкову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політику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політику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митної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справи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поліцейські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особи рядового,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начальницького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складу,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військовослужбовці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внутрішніх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справ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спеціального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зв'язку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надзвичайних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ситуацій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пенітенціарної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утворених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законів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військових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захищали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незалежність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суверенітет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територіальну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цілісність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і брали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безпосередню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антитерористичній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операції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lastRenderedPageBreak/>
              <w:t>забезпеченні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перебуваючи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в районах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антитерористичної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операції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здійсненні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національної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і оборони,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відсічі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стримування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збройної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агресії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Донецькій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Луганській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областях,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забезпеченні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перебуваючи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в районах та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;</w:t>
            </w:r>
          </w:p>
          <w:p w:rsidR="00952506" w:rsidRDefault="004A27D6" w:rsidP="004A27D6">
            <w:pPr>
              <w:shd w:val="clear" w:color="auto" w:fill="FFFFFF"/>
              <w:spacing w:after="160"/>
              <w:ind w:left="54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</w:p>
          <w:p w:rsidR="00952506" w:rsidRDefault="004A27D6" w:rsidP="004A27D6">
            <w:pPr>
              <w:shd w:val="clear" w:color="auto" w:fill="FFFFFF"/>
              <w:spacing w:after="160"/>
              <w:ind w:left="54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е) особи,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добровольчих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були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утворені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самоорганізувалися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незалежності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суверенітету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цілісності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брали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безпосередню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антитерористичній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операції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перебуваючи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в районах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антитерористичної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операції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подальшому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добровольчі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були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включені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до складу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Сил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внутрішніх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справ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Національної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утворених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законів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військових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правоохоронних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органів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;</w:t>
            </w:r>
          </w:p>
          <w:p w:rsidR="00952506" w:rsidRDefault="004A27D6" w:rsidP="004A27D6">
            <w:pPr>
              <w:shd w:val="clear" w:color="auto" w:fill="FFFFFF"/>
              <w:spacing w:after="160"/>
              <w:ind w:left="54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є) особи,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набрання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чинності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hyperlink r:id="rId11">
              <w:r>
                <w:rPr>
                  <w:rFonts w:ascii="Times New Roman" w:eastAsia="Times New Roman" w:hAnsi="Times New Roman" w:cs="Times New Roman"/>
                  <w:b/>
                  <w:color w:val="000099"/>
                  <w:sz w:val="24"/>
                  <w:szCs w:val="24"/>
                  <w:highlight w:val="white"/>
                  <w:u w:val="single"/>
                </w:rPr>
                <w:t xml:space="preserve">Законом </w:t>
              </w:r>
              <w:proofErr w:type="spellStart"/>
              <w:r>
                <w:rPr>
                  <w:rFonts w:ascii="Times New Roman" w:eastAsia="Times New Roman" w:hAnsi="Times New Roman" w:cs="Times New Roman"/>
                  <w:b/>
                  <w:color w:val="000099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політики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суверенітету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тимчасово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окупованих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територіях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Донецькій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Луганській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областях"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добровольчих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були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утворені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самоорганізувалися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незалежності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суверенітету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lastRenderedPageBreak/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цілісності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брали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безпосередню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антитерористичній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операції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перебуваючи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в районах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антитерористичної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операції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календарних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сукупністю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в районах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взаємодії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Збройними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Силами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Міністерством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внутрішніх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справ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Національною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поліцією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Національною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гвардією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Службою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утвореними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законів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військовими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формуваннями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правоохоронними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органами;</w:t>
            </w:r>
          </w:p>
          <w:p w:rsidR="00952506" w:rsidRDefault="004A27D6" w:rsidP="004A27D6">
            <w:pPr>
              <w:shd w:val="clear" w:color="auto" w:fill="FFFFFF"/>
              <w:spacing w:after="160"/>
              <w:ind w:left="54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</w:p>
          <w:p w:rsidR="00952506" w:rsidRDefault="004A27D6" w:rsidP="004A27D6">
            <w:pPr>
              <w:shd w:val="clear" w:color="auto" w:fill="FFFFFF"/>
              <w:spacing w:after="160"/>
              <w:ind w:left="54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і)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працівники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підприємств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установ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організацій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залучалися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та брали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безпосередню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забезпеченні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антитерористичної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операції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перебуваючи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в районах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антитерористичної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операції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у порядку,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залучалися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та брали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безпосередню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забезпеченні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національної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і оборони,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відсічі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стримування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збройної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агресії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Донецькій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Луганській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областях,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перебуваючи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в районах та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, у порядку,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.</w:t>
            </w:r>
          </w:p>
          <w:p w:rsidR="00952506" w:rsidRDefault="00952506" w:rsidP="004A27D6">
            <w:pPr>
              <w:shd w:val="clear" w:color="auto" w:fill="FFFFFF"/>
              <w:spacing w:before="160" w:after="160"/>
              <w:ind w:left="54" w:right="46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</w:p>
        </w:tc>
      </w:tr>
    </w:tbl>
    <w:tbl>
      <w:tblPr>
        <w:tblStyle w:val="a6"/>
        <w:tblW w:w="105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70"/>
        <w:gridCol w:w="5790"/>
      </w:tblGrid>
      <w:tr w:rsidR="00952506">
        <w:tc>
          <w:tcPr>
            <w:tcW w:w="4770" w:type="dxa"/>
          </w:tcPr>
          <w:p w:rsidR="00952506" w:rsidRDefault="004A27D6">
            <w:pPr>
              <w:spacing w:after="60"/>
              <w:ind w:left="1" w:hanging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Народний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депутат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790" w:type="dxa"/>
          </w:tcPr>
          <w:p w:rsidR="00952506" w:rsidRDefault="004A27D6">
            <w:pPr>
              <w:spacing w:after="60"/>
              <w:ind w:left="1" w:hanging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М.В.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Заремський</w:t>
            </w:r>
            <w:proofErr w:type="spellEnd"/>
          </w:p>
          <w:p w:rsidR="00952506" w:rsidRDefault="004A27D6">
            <w:pPr>
              <w:spacing w:after="60"/>
              <w:ind w:left="1" w:hanging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№403)</w:t>
            </w:r>
          </w:p>
        </w:tc>
      </w:tr>
      <w:tr w:rsidR="00952506">
        <w:tc>
          <w:tcPr>
            <w:tcW w:w="4770" w:type="dxa"/>
          </w:tcPr>
          <w:p w:rsidR="00952506" w:rsidRDefault="00952506">
            <w:pPr>
              <w:spacing w:after="60"/>
              <w:ind w:left="1" w:hanging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</w:tcPr>
          <w:p w:rsidR="00952506" w:rsidRDefault="00952506">
            <w:pPr>
              <w:spacing w:after="60"/>
              <w:ind w:left="1" w:hanging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2506" w:rsidRDefault="00952506" w:rsidP="004A27D6"/>
    <w:sectPr w:rsidR="0095250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06"/>
    <w:rsid w:val="003B770E"/>
    <w:rsid w:val="004A27D6"/>
    <w:rsid w:val="0095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219E7-8D66-495D-8D78-3A4645BC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zakon.rada.gov.ua/laws/show/2755-17/print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2268-1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3551-12" TargetMode="External"/><Relationship Id="rId4" Type="http://schemas.openxmlformats.org/officeDocument/2006/relationships/styles" Target="styles.xml"/><Relationship Id="rId9" Type="http://schemas.openxmlformats.org/officeDocument/2006/relationships/hyperlink" Target="https://zakon.rada.gov.ua/laws/show/2755-17/pr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26689-B5D1-4D1F-B427-8E3B1821C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D08082-546E-4C41-AC7F-165981AE5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9730F-4E57-491F-BF9B-20963473E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4315</Words>
  <Characters>2461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2021-02-05T14:32:00Z</dcterms:created>
  <dcterms:modified xsi:type="dcterms:W3CDTF">2021-02-05T14:32:00Z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