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30B18" w:rsidRDefault="00791661">
      <w:pPr>
        <w:ind w:left="5245"/>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Проєкт вноситься</w:t>
      </w:r>
    </w:p>
    <w:p w14:paraId="00000002" w14:textId="77777777" w:rsidR="00B30B18" w:rsidRDefault="00791661">
      <w:pPr>
        <w:ind w:left="5245"/>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Народним депутатом України</w:t>
      </w:r>
    </w:p>
    <w:p w14:paraId="00000003" w14:textId="77777777" w:rsidR="00B30B18" w:rsidRDefault="00791661">
      <w:pPr>
        <w:ind w:left="5245"/>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Василенко Л.В. (224)</w:t>
      </w:r>
    </w:p>
    <w:p w14:paraId="00000004" w14:textId="77777777" w:rsidR="00B30B18" w:rsidRDefault="00791661">
      <w:pPr>
        <w:ind w:left="5245"/>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іншими</w:t>
      </w:r>
      <w:r>
        <w:rPr>
          <w:rFonts w:ascii="Times New Roman" w:eastAsia="Times New Roman" w:hAnsi="Times New Roman" w:cs="Times New Roman"/>
          <w:sz w:val="28"/>
          <w:szCs w:val="28"/>
        </w:rPr>
        <w:t xml:space="preserve">  </w:t>
      </w:r>
    </w:p>
    <w:p w14:paraId="00000005" w14:textId="77777777" w:rsidR="00B30B18" w:rsidRDefault="00791661">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6" w14:textId="77777777" w:rsidR="00B30B18" w:rsidRDefault="00B30B18">
      <w:pPr>
        <w:ind w:firstLine="720"/>
        <w:jc w:val="right"/>
        <w:rPr>
          <w:rFonts w:ascii="Times New Roman" w:eastAsia="Times New Roman" w:hAnsi="Times New Roman" w:cs="Times New Roman"/>
          <w:sz w:val="28"/>
          <w:szCs w:val="28"/>
        </w:rPr>
      </w:pPr>
    </w:p>
    <w:p w14:paraId="00000007" w14:textId="77777777" w:rsidR="00B30B18" w:rsidRDefault="00791661">
      <w:pPr>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8" w14:textId="77777777" w:rsidR="00B30B18" w:rsidRDefault="00791661">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ПОСТАНОВА</w:t>
      </w:r>
    </w:p>
    <w:p w14:paraId="00000009" w14:textId="77777777" w:rsidR="00B30B18" w:rsidRDefault="00791661">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Верховної Ради України</w:t>
      </w:r>
    </w:p>
    <w:p w14:paraId="0000000A" w14:textId="77777777" w:rsidR="00B30B18" w:rsidRDefault="00791661">
      <w:pPr>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імплементацію Національного плану скорочення викидів від великих спалювальних установок </w:t>
      </w:r>
    </w:p>
    <w:p w14:paraId="0000000B" w14:textId="77777777" w:rsidR="00B30B18" w:rsidRDefault="00B30B18">
      <w:pPr>
        <w:ind w:firstLine="720"/>
        <w:jc w:val="center"/>
        <w:rPr>
          <w:rFonts w:ascii="Times New Roman" w:eastAsia="Times New Roman" w:hAnsi="Times New Roman" w:cs="Times New Roman"/>
          <w:b/>
          <w:sz w:val="28"/>
          <w:szCs w:val="28"/>
        </w:rPr>
      </w:pPr>
    </w:p>
    <w:p w14:paraId="0000000C" w14:textId="77777777" w:rsidR="00B30B18" w:rsidRDefault="0079166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Засвідчуючи, що 15 грудня 2010 року Україною ратифіковано Протокол про приєднання України до Договору про заснування Енергетичного Співтовариства відповідно до Закону України «Про ратифікацію Протоколу про приєднання України до Договору про заснування Енергетичного Співтовариства» № 2787-VI;</w:t>
      </w:r>
    </w:p>
    <w:p w14:paraId="0000000D" w14:textId="77777777" w:rsidR="00B30B18" w:rsidRDefault="0079166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Відмічаючи, що Україною, як членом Енергетичного Співтовариства з 1 лютого 2011 року, прийнято зобов'язання дотримуватися положень Договору про заснування Енергетичного Співтовариства та додатків до нього;</w:t>
      </w:r>
    </w:p>
    <w:p w14:paraId="0000000E" w14:textId="77777777" w:rsidR="00B30B18" w:rsidRDefault="0079166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Відзначаючи, що Додатком ІІ до Договору про заснування Енергетичного Співтовариства передбачено, що після 31 грудня 2017 року всі великі спалювальні установки країн-членів Договору мають відповідати вимогам Директиви 2001/80/ЄC про обмеження викидів деяких забруднюючих речовин у повітря від великих спалювальних установок;</w:t>
      </w:r>
    </w:p>
    <w:p w14:paraId="0000000F" w14:textId="77777777" w:rsidR="00B30B18" w:rsidRDefault="0079166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що з метою виконання зобов’язань України в рамках Договору про заснування Енергетичного Співтовариства в частині обмеження викидів забруднюючих речовин Кабінетом Міністрів України прийнято Розпорядження від 8 листопада 2017 р. № 796-р «Про Національний план скорочення викидів від великих спалювальних установок»;</w:t>
      </w:r>
    </w:p>
    <w:p w14:paraId="00000010" w14:textId="77777777" w:rsidR="00B30B18" w:rsidRDefault="0079166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Виходячи з Енергетичної стратегії України на період до 2035 року «Безпека, енергоефективність, конкурентоспроможність», затвердженій розпорядженням Кабінету Міністрів України від 18 серпня 2017 року № </w:t>
      </w:r>
      <w:r>
        <w:rPr>
          <w:rFonts w:ascii="Times New Roman" w:eastAsia="Times New Roman" w:hAnsi="Times New Roman" w:cs="Times New Roman"/>
          <w:sz w:val="28"/>
          <w:szCs w:val="28"/>
        </w:rPr>
        <w:lastRenderedPageBreak/>
        <w:t>605, яка визначає плани повної реконструкції всієї енергетичної галузі та визначає строк дії НПСВ з 1 січня 2018 року по 31 грудня 2033 року;</w:t>
      </w:r>
    </w:p>
    <w:p w14:paraId="00000011" w14:textId="77777777" w:rsidR="00B30B18" w:rsidRDefault="0079166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Звертаючи увагу, що оцінка та моніторинг викидів спалювальних установок, які включені до НПСВ, мають виконуватися на основі безперервних вимірювань відповідно до вимог Директиви 2001/80/ЄС;</w:t>
      </w:r>
    </w:p>
    <w:p w14:paraId="00000012" w14:textId="77777777" w:rsidR="00B30B18" w:rsidRDefault="0079166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Відзначаючи значний негативний вплив викидів діоксиду сірки (SO</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оксидів азоту (NOx) та речовин у вигляді суспендованих твердих частинок, недиференційованих за складом з великих спалювальних установок на життя і здоров’я громадян та відповідні збитки, завдані системі охорони здоров’я;</w:t>
      </w:r>
    </w:p>
    <w:p w14:paraId="00000013" w14:textId="77777777" w:rsidR="00B30B18" w:rsidRDefault="0079166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що комплекс потенційних джерел та інструментів фінансового забезпечення впровадження НПСВ мають бути визначені за участі операторів великих спалювальних установок, представників Секретаріату Енергетичного Співтовариства, донорів, міжнародних фінансових установ, банків іноземних країн та України, науково-дослідних і громадських організацій, аналітичних центрів;</w:t>
      </w:r>
    </w:p>
    <w:p w14:paraId="00000014" w14:textId="77777777" w:rsidR="00B30B18" w:rsidRDefault="0079166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Підтверджуючи, що після закінчення строку впровадження Національного плану скорочення викидів спалювальні установки мають дотримуватися нормативів гранично допустимих викидів забруднюючих речовин, встановлених у Частині 1 Додатку V Директиви 2010/75/ЄС,</w:t>
      </w:r>
    </w:p>
    <w:p w14:paraId="00000015" w14:textId="77777777" w:rsidR="00B30B18" w:rsidRDefault="00B30B18">
      <w:pPr>
        <w:ind w:firstLine="709"/>
        <w:jc w:val="both"/>
        <w:rPr>
          <w:rFonts w:ascii="Times New Roman" w:eastAsia="Times New Roman" w:hAnsi="Times New Roman" w:cs="Times New Roman"/>
          <w:sz w:val="28"/>
          <w:szCs w:val="28"/>
        </w:rPr>
      </w:pPr>
    </w:p>
    <w:p w14:paraId="00000016" w14:textId="77777777" w:rsidR="00B30B18" w:rsidRDefault="00791661">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Верховна Рада України </w:t>
      </w:r>
      <w:r>
        <w:rPr>
          <w:rFonts w:ascii="Times New Roman" w:eastAsia="Times New Roman" w:hAnsi="Times New Roman" w:cs="Times New Roman"/>
          <w:b/>
          <w:sz w:val="28"/>
          <w:szCs w:val="28"/>
        </w:rPr>
        <w:t>постановляє:</w:t>
      </w:r>
    </w:p>
    <w:p w14:paraId="00000017" w14:textId="77777777" w:rsidR="00B30B18" w:rsidRDefault="00B30B18">
      <w:pPr>
        <w:ind w:firstLine="709"/>
        <w:jc w:val="both"/>
        <w:rPr>
          <w:rFonts w:ascii="Times New Roman" w:eastAsia="Times New Roman" w:hAnsi="Times New Roman" w:cs="Times New Roman"/>
          <w:b/>
          <w:sz w:val="28"/>
          <w:szCs w:val="28"/>
        </w:rPr>
      </w:pPr>
    </w:p>
    <w:p w14:paraId="00000018" w14:textId="77777777" w:rsidR="00B30B18" w:rsidRDefault="00791661">
      <w:pPr>
        <w:numPr>
          <w:ilvl w:val="0"/>
          <w:numId w:val="4"/>
        </w:numPr>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Кабінету міністрів України:</w:t>
      </w:r>
    </w:p>
    <w:p w14:paraId="00000019" w14:textId="77777777" w:rsidR="00B30B18" w:rsidRDefault="00791661">
      <w:pPr>
        <w:numPr>
          <w:ilvl w:val="1"/>
          <w:numId w:val="2"/>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Забезпечити реалізацію заходів зі скорочення викидів діоксиду сірки (SO</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 оксидів азоту (NOx) та речовин у вигляді суспендованих твердих частинок, недиференційованих за складом (пилу) з великих спалювальних установок, в порядку та строки, передбачені Національним планом скорочення викидів, затвердженим Розпорядженням Кабінету Міністрів України від 8 листопада 2017 р. № 796-р;</w:t>
      </w:r>
    </w:p>
    <w:p w14:paraId="0000001A" w14:textId="77777777" w:rsidR="00B30B18" w:rsidRDefault="00791661">
      <w:pPr>
        <w:numPr>
          <w:ilvl w:val="1"/>
          <w:numId w:val="2"/>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Затвердити комплекс потенційних джерел та інструменти фінансового забезпечення впровадження Національного плану скорочення викидів, який відповідатиме вимогам пункту (f) частини третьої статті 262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0000001B" w14:textId="77777777" w:rsidR="00B30B18" w:rsidRDefault="00791661">
      <w:pPr>
        <w:numPr>
          <w:ilvl w:val="1"/>
          <w:numId w:val="2"/>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Затвердити про</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кт закону України про Енергетичну стратегію України до 2050 року.</w:t>
      </w:r>
    </w:p>
    <w:p w14:paraId="0000001C" w14:textId="77777777" w:rsidR="00B30B18" w:rsidRDefault="00B30B18">
      <w:pPr>
        <w:pBdr>
          <w:top w:val="nil"/>
          <w:left w:val="nil"/>
          <w:bottom w:val="nil"/>
          <w:right w:val="nil"/>
          <w:between w:val="nil"/>
        </w:pBdr>
        <w:jc w:val="both"/>
        <w:rPr>
          <w:rFonts w:ascii="Times New Roman" w:eastAsia="Times New Roman" w:hAnsi="Times New Roman" w:cs="Times New Roman"/>
          <w:color w:val="000000"/>
          <w:sz w:val="28"/>
          <w:szCs w:val="28"/>
        </w:rPr>
      </w:pPr>
    </w:p>
    <w:p w14:paraId="0000001D" w14:textId="77777777" w:rsidR="00B30B18" w:rsidRDefault="00791661">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Кабінету міністрів України доручити:</w:t>
      </w:r>
    </w:p>
    <w:p w14:paraId="0000001E" w14:textId="77777777" w:rsidR="00B30B18" w:rsidRDefault="00791661">
      <w:pPr>
        <w:numPr>
          <w:ilvl w:val="1"/>
          <w:numId w:val="3"/>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Міністерству енергетики України розробити про</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кт закону України про Енергетичну стратегію України до 2050 року, в якому зокрема визначити:</w:t>
      </w:r>
    </w:p>
    <w:p w14:paraId="0000001F" w14:textId="77777777" w:rsidR="00B30B18" w:rsidRDefault="00791661">
      <w:pPr>
        <w:numPr>
          <w:ilvl w:val="2"/>
          <w:numId w:val="3"/>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роль генеруючих потужностей, які працюють на </w:t>
      </w:r>
      <w:r>
        <w:rPr>
          <w:rFonts w:ascii="Times New Roman" w:eastAsia="Times New Roman" w:hAnsi="Times New Roman" w:cs="Times New Roman"/>
          <w:sz w:val="28"/>
          <w:szCs w:val="28"/>
        </w:rPr>
        <w:t>основі вугілля та інших джерел</w:t>
      </w:r>
      <w:r>
        <w:rPr>
          <w:rFonts w:ascii="Times New Roman" w:eastAsia="Times New Roman" w:hAnsi="Times New Roman" w:cs="Times New Roman"/>
          <w:color w:val="000000"/>
          <w:sz w:val="28"/>
          <w:szCs w:val="28"/>
        </w:rPr>
        <w:t xml:space="preserve"> викопного палива;</w:t>
      </w:r>
    </w:p>
    <w:p w14:paraId="00000020" w14:textId="77777777" w:rsidR="00B30B18" w:rsidRDefault="00791661">
      <w:pPr>
        <w:numPr>
          <w:ilvl w:val="2"/>
          <w:numId w:val="3"/>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механізми забезпечення збалансованості енергетичної мережі України для забезпечення безперебійного надійного енергопостачання;</w:t>
      </w:r>
    </w:p>
    <w:p w14:paraId="00000021" w14:textId="77777777" w:rsidR="00B30B18" w:rsidRDefault="00791661">
      <w:pPr>
        <w:numPr>
          <w:ilvl w:val="2"/>
          <w:numId w:val="3"/>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синхронізацію всієї об'єднаної енергетичної системи України з ENTSO-E.</w:t>
      </w:r>
    </w:p>
    <w:p w14:paraId="00000022" w14:textId="77777777" w:rsidR="00B30B18" w:rsidRDefault="00791661">
      <w:pPr>
        <w:numPr>
          <w:ilvl w:val="1"/>
          <w:numId w:val="3"/>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Міністерству захисту довкілля та природних ресурсів України розробити та затвердити уніфіковану методику розрахунку та верифікації даних про викиди забруднюючих речовин атмосферного повітря від великих спалювальних установок.</w:t>
      </w:r>
    </w:p>
    <w:p w14:paraId="00000023" w14:textId="77777777" w:rsidR="00B30B18" w:rsidRDefault="00791661">
      <w:pPr>
        <w:numPr>
          <w:ilvl w:val="1"/>
          <w:numId w:val="3"/>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Міністерству охорони здоров’я України затвердити механізм </w:t>
      </w:r>
      <w:r>
        <w:rPr>
          <w:rFonts w:ascii="Times New Roman" w:eastAsia="Times New Roman" w:hAnsi="Times New Roman" w:cs="Times New Roman"/>
          <w:sz w:val="28"/>
          <w:szCs w:val="28"/>
        </w:rPr>
        <w:t>щоквартального</w:t>
      </w:r>
      <w:r>
        <w:rPr>
          <w:rFonts w:ascii="Times New Roman" w:eastAsia="Times New Roman" w:hAnsi="Times New Roman" w:cs="Times New Roman"/>
          <w:color w:val="000000"/>
          <w:sz w:val="28"/>
          <w:szCs w:val="28"/>
        </w:rPr>
        <w:t xml:space="preserve"> розрахунку збитків, завданих викидами забруднюючих речовин в атмосферне повітря з великих спалювальних установок системі охорони здоров’я, життю та здоров’ю громадян України.</w:t>
      </w:r>
    </w:p>
    <w:p w14:paraId="00000024" w14:textId="77777777" w:rsidR="00B30B18" w:rsidRDefault="00B30B1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14:paraId="00000025" w14:textId="77777777" w:rsidR="00B30B18" w:rsidRDefault="00791661">
      <w:pPr>
        <w:numPr>
          <w:ilvl w:val="0"/>
          <w:numId w:val="1"/>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Національній Комісії з Регулювання Енергетики та Комунальних Послуг </w:t>
      </w:r>
      <w:r>
        <w:rPr>
          <w:rFonts w:ascii="Times New Roman" w:eastAsia="Times New Roman" w:hAnsi="Times New Roman" w:cs="Times New Roman"/>
          <w:sz w:val="28"/>
          <w:szCs w:val="28"/>
        </w:rPr>
        <w:t>внести</w:t>
      </w:r>
      <w:r>
        <w:rPr>
          <w:rFonts w:ascii="Times New Roman" w:eastAsia="Times New Roman" w:hAnsi="Times New Roman" w:cs="Times New Roman"/>
          <w:color w:val="000000"/>
          <w:sz w:val="28"/>
          <w:szCs w:val="28"/>
        </w:rPr>
        <w:t xml:space="preserve"> зміни до нормативно-правових актів</w:t>
      </w:r>
      <w:r>
        <w:rPr>
          <w:rFonts w:ascii="Times New Roman" w:eastAsia="Times New Roman" w:hAnsi="Times New Roman" w:cs="Times New Roman"/>
          <w:sz w:val="28"/>
          <w:szCs w:val="28"/>
        </w:rPr>
        <w:t xml:space="preserve"> для </w:t>
      </w:r>
      <w:r>
        <w:rPr>
          <w:rFonts w:ascii="Times New Roman" w:eastAsia="Times New Roman" w:hAnsi="Times New Roman" w:cs="Times New Roman"/>
          <w:color w:val="000000"/>
          <w:sz w:val="28"/>
          <w:szCs w:val="28"/>
        </w:rPr>
        <w:t>забезпечення впровадження Національного плану скорочення викидів в умовах лібералізованого ринку електроенергії.</w:t>
      </w:r>
    </w:p>
    <w:p w14:paraId="00000026" w14:textId="77777777" w:rsidR="00B30B18" w:rsidRDefault="00B30B1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14:paraId="00000027" w14:textId="77777777" w:rsidR="00B30B18" w:rsidRDefault="00791661">
      <w:pPr>
        <w:numPr>
          <w:ilvl w:val="0"/>
          <w:numId w:val="1"/>
        </w:numPr>
        <w:pBdr>
          <w:top w:val="nil"/>
          <w:left w:val="nil"/>
          <w:bottom w:val="nil"/>
          <w:right w:val="nil"/>
          <w:between w:val="nil"/>
        </w:pBdr>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Ця Постанова набирає чинності з дня її прийняття.</w:t>
      </w:r>
    </w:p>
    <w:p w14:paraId="00000028" w14:textId="77777777" w:rsidR="00B30B18" w:rsidRDefault="00791661">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9" w14:textId="77777777" w:rsidR="00B30B18" w:rsidRDefault="00791661">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Голова Верховної Ради</w:t>
      </w:r>
    </w:p>
    <w:p w14:paraId="0000002A" w14:textId="77777777" w:rsidR="00B30B18" w:rsidRDefault="00791661">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України</w:t>
      </w:r>
    </w:p>
    <w:p w14:paraId="0000002B" w14:textId="77777777" w:rsidR="00B30B18" w:rsidRDefault="00B30B18">
      <w:pPr>
        <w:ind w:firstLine="720"/>
        <w:rPr>
          <w:rFonts w:ascii="Times New Roman" w:eastAsia="Times New Roman" w:hAnsi="Times New Roman" w:cs="Times New Roman"/>
          <w:sz w:val="28"/>
          <w:szCs w:val="28"/>
          <w:shd w:val="clear" w:color="auto" w:fill="FF9900"/>
        </w:rPr>
      </w:pPr>
    </w:p>
    <w:p w14:paraId="0000002C" w14:textId="77777777" w:rsidR="00B30B18" w:rsidRDefault="00B30B18">
      <w:pPr>
        <w:ind w:firstLine="720"/>
        <w:rPr>
          <w:rFonts w:ascii="Times New Roman" w:eastAsia="Times New Roman" w:hAnsi="Times New Roman" w:cs="Times New Roman"/>
          <w:sz w:val="28"/>
          <w:szCs w:val="28"/>
        </w:rPr>
      </w:pPr>
    </w:p>
    <w:sectPr w:rsidR="00B30B18">
      <w:footerReference w:type="even"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1E024" w14:textId="77777777" w:rsidR="007A0F14" w:rsidRDefault="007A0F14" w:rsidP="00D5291C">
      <w:pPr>
        <w:spacing w:line="240" w:lineRule="auto"/>
      </w:pPr>
      <w:r>
        <w:separator/>
      </w:r>
    </w:p>
  </w:endnote>
  <w:endnote w:type="continuationSeparator" w:id="0">
    <w:p w14:paraId="5F6587DF" w14:textId="77777777" w:rsidR="007A0F14" w:rsidRDefault="007A0F14" w:rsidP="00D52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566022058"/>
      <w:docPartObj>
        <w:docPartGallery w:val="Page Numbers (Bottom of Page)"/>
        <w:docPartUnique/>
      </w:docPartObj>
    </w:sdtPr>
    <w:sdtEndPr>
      <w:rPr>
        <w:rStyle w:val="ad"/>
      </w:rPr>
    </w:sdtEndPr>
    <w:sdtContent>
      <w:p w14:paraId="60CF15F2" w14:textId="5B1F0D78" w:rsidR="00D5291C" w:rsidRDefault="00D5291C" w:rsidP="006A112F">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2F2CB2AB" w14:textId="77777777" w:rsidR="00D5291C" w:rsidRDefault="00D5291C" w:rsidP="00D5291C">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Fonts w:ascii="Times New Roman" w:hAnsi="Times New Roman" w:cs="Times New Roman"/>
        <w:sz w:val="20"/>
        <w:szCs w:val="20"/>
      </w:rPr>
      <w:id w:val="-2070793197"/>
      <w:docPartObj>
        <w:docPartGallery w:val="Page Numbers (Bottom of Page)"/>
        <w:docPartUnique/>
      </w:docPartObj>
    </w:sdtPr>
    <w:sdtEndPr>
      <w:rPr>
        <w:rStyle w:val="ad"/>
      </w:rPr>
    </w:sdtEndPr>
    <w:sdtContent>
      <w:p w14:paraId="4393B9F7" w14:textId="2000FAF8" w:rsidR="00D5291C" w:rsidRPr="00D5291C" w:rsidRDefault="00D5291C" w:rsidP="006A112F">
        <w:pPr>
          <w:pStyle w:val="ab"/>
          <w:framePr w:wrap="none" w:vAnchor="text" w:hAnchor="margin" w:xAlign="right" w:y="1"/>
          <w:rPr>
            <w:rStyle w:val="ad"/>
            <w:rFonts w:ascii="Times New Roman" w:hAnsi="Times New Roman" w:cs="Times New Roman"/>
            <w:sz w:val="20"/>
            <w:szCs w:val="20"/>
          </w:rPr>
        </w:pPr>
        <w:r w:rsidRPr="00D5291C">
          <w:rPr>
            <w:rStyle w:val="ad"/>
            <w:rFonts w:ascii="Times New Roman" w:hAnsi="Times New Roman" w:cs="Times New Roman"/>
            <w:sz w:val="20"/>
            <w:szCs w:val="20"/>
          </w:rPr>
          <w:fldChar w:fldCharType="begin"/>
        </w:r>
        <w:r w:rsidRPr="00D5291C">
          <w:rPr>
            <w:rStyle w:val="ad"/>
            <w:rFonts w:ascii="Times New Roman" w:hAnsi="Times New Roman" w:cs="Times New Roman"/>
            <w:sz w:val="20"/>
            <w:szCs w:val="20"/>
          </w:rPr>
          <w:instrText xml:space="preserve"> PAGE </w:instrText>
        </w:r>
        <w:r w:rsidRPr="00D5291C">
          <w:rPr>
            <w:rStyle w:val="ad"/>
            <w:rFonts w:ascii="Times New Roman" w:hAnsi="Times New Roman" w:cs="Times New Roman"/>
            <w:sz w:val="20"/>
            <w:szCs w:val="20"/>
          </w:rPr>
          <w:fldChar w:fldCharType="separate"/>
        </w:r>
        <w:r w:rsidR="00C1218A">
          <w:rPr>
            <w:rStyle w:val="ad"/>
            <w:rFonts w:ascii="Times New Roman" w:hAnsi="Times New Roman" w:cs="Times New Roman"/>
            <w:noProof/>
            <w:sz w:val="20"/>
            <w:szCs w:val="20"/>
          </w:rPr>
          <w:t>2</w:t>
        </w:r>
        <w:r w:rsidRPr="00D5291C">
          <w:rPr>
            <w:rStyle w:val="ad"/>
            <w:rFonts w:ascii="Times New Roman" w:hAnsi="Times New Roman" w:cs="Times New Roman"/>
            <w:sz w:val="20"/>
            <w:szCs w:val="20"/>
          </w:rPr>
          <w:fldChar w:fldCharType="end"/>
        </w:r>
      </w:p>
    </w:sdtContent>
  </w:sdt>
  <w:p w14:paraId="3BEB0E63" w14:textId="77777777" w:rsidR="00D5291C" w:rsidRPr="00D5291C" w:rsidRDefault="00D5291C" w:rsidP="00D5291C">
    <w:pPr>
      <w:pStyle w:val="ab"/>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8A5C" w14:textId="77777777" w:rsidR="007A0F14" w:rsidRDefault="007A0F14" w:rsidP="00D5291C">
      <w:pPr>
        <w:spacing w:line="240" w:lineRule="auto"/>
      </w:pPr>
      <w:r>
        <w:separator/>
      </w:r>
    </w:p>
  </w:footnote>
  <w:footnote w:type="continuationSeparator" w:id="0">
    <w:p w14:paraId="43000B97" w14:textId="77777777" w:rsidR="007A0F14" w:rsidRDefault="007A0F14" w:rsidP="00D529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AA0"/>
    <w:multiLevelType w:val="multilevel"/>
    <w:tmpl w:val="D8F81F82"/>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D2A6CEE"/>
    <w:multiLevelType w:val="multilevel"/>
    <w:tmpl w:val="D8F81F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D3806D8"/>
    <w:multiLevelType w:val="multilevel"/>
    <w:tmpl w:val="6C0693C6"/>
    <w:lvl w:ilvl="0">
      <w:start w:val="1"/>
      <w:numFmt w:val="decimal"/>
      <w:lvlText w:val="%1."/>
      <w:lvlJc w:val="left"/>
      <w:pPr>
        <w:ind w:left="360" w:hanging="360"/>
      </w:pPr>
      <w:rPr>
        <w:rFonts w:ascii="Arial" w:eastAsia="Arial" w:hAnsi="Arial" w:cs="Arial"/>
        <w:color w:val="000000"/>
        <w:sz w:val="22"/>
        <w:szCs w:val="22"/>
      </w:rPr>
    </w:lvl>
    <w:lvl w:ilvl="1">
      <w:start w:val="1"/>
      <w:numFmt w:val="decimal"/>
      <w:lvlText w:val="%1.%2."/>
      <w:lvlJc w:val="left"/>
      <w:pPr>
        <w:ind w:left="720" w:hanging="720"/>
      </w:pPr>
      <w:rPr>
        <w:rFonts w:ascii="Times New Roman" w:eastAsia="Times New Roman" w:hAnsi="Times New Roman" w:cs="Times New Roman"/>
        <w:color w:val="000000"/>
        <w:sz w:val="28"/>
        <w:szCs w:val="28"/>
      </w:rPr>
    </w:lvl>
    <w:lvl w:ilvl="2">
      <w:start w:val="1"/>
      <w:numFmt w:val="decimal"/>
      <w:lvlText w:val="%1.%2.%3."/>
      <w:lvlJc w:val="left"/>
      <w:pPr>
        <w:ind w:left="720" w:hanging="720"/>
      </w:pPr>
      <w:rPr>
        <w:rFonts w:ascii="Arial" w:eastAsia="Arial" w:hAnsi="Arial" w:cs="Arial"/>
        <w:color w:val="000000"/>
        <w:sz w:val="22"/>
        <w:szCs w:val="22"/>
      </w:rPr>
    </w:lvl>
    <w:lvl w:ilvl="3">
      <w:start w:val="1"/>
      <w:numFmt w:val="decimal"/>
      <w:lvlText w:val="%1.%2.%3.%4."/>
      <w:lvlJc w:val="left"/>
      <w:pPr>
        <w:ind w:left="1080" w:hanging="1080"/>
      </w:pPr>
      <w:rPr>
        <w:rFonts w:ascii="Arial" w:eastAsia="Arial" w:hAnsi="Arial" w:cs="Arial"/>
        <w:color w:val="000000"/>
        <w:sz w:val="22"/>
        <w:szCs w:val="22"/>
      </w:rPr>
    </w:lvl>
    <w:lvl w:ilvl="4">
      <w:start w:val="1"/>
      <w:numFmt w:val="decimal"/>
      <w:lvlText w:val="%1.%2.%3.%4.%5."/>
      <w:lvlJc w:val="left"/>
      <w:pPr>
        <w:ind w:left="1080" w:hanging="1080"/>
      </w:pPr>
      <w:rPr>
        <w:rFonts w:ascii="Arial" w:eastAsia="Arial" w:hAnsi="Arial" w:cs="Arial"/>
        <w:color w:val="000000"/>
        <w:sz w:val="22"/>
        <w:szCs w:val="22"/>
      </w:rPr>
    </w:lvl>
    <w:lvl w:ilvl="5">
      <w:start w:val="1"/>
      <w:numFmt w:val="decimal"/>
      <w:lvlText w:val="%1.%2.%3.%4.%5.%6."/>
      <w:lvlJc w:val="left"/>
      <w:pPr>
        <w:ind w:left="1440" w:hanging="1440"/>
      </w:pPr>
      <w:rPr>
        <w:rFonts w:ascii="Arial" w:eastAsia="Arial" w:hAnsi="Arial" w:cs="Arial"/>
        <w:color w:val="000000"/>
        <w:sz w:val="22"/>
        <w:szCs w:val="22"/>
      </w:rPr>
    </w:lvl>
    <w:lvl w:ilvl="6">
      <w:start w:val="1"/>
      <w:numFmt w:val="decimal"/>
      <w:lvlText w:val="%1.%2.%3.%4.%5.%6.%7."/>
      <w:lvlJc w:val="left"/>
      <w:pPr>
        <w:ind w:left="1800" w:hanging="1800"/>
      </w:pPr>
      <w:rPr>
        <w:rFonts w:ascii="Arial" w:eastAsia="Arial" w:hAnsi="Arial" w:cs="Arial"/>
        <w:color w:val="000000"/>
        <w:sz w:val="22"/>
        <w:szCs w:val="22"/>
      </w:rPr>
    </w:lvl>
    <w:lvl w:ilvl="7">
      <w:start w:val="1"/>
      <w:numFmt w:val="decimal"/>
      <w:lvlText w:val="%1.%2.%3.%4.%5.%6.%7.%8."/>
      <w:lvlJc w:val="left"/>
      <w:pPr>
        <w:ind w:left="1800" w:hanging="1800"/>
      </w:pPr>
      <w:rPr>
        <w:rFonts w:ascii="Arial" w:eastAsia="Arial" w:hAnsi="Arial" w:cs="Arial"/>
        <w:color w:val="000000"/>
        <w:sz w:val="22"/>
        <w:szCs w:val="22"/>
      </w:rPr>
    </w:lvl>
    <w:lvl w:ilvl="8">
      <w:start w:val="1"/>
      <w:numFmt w:val="decimal"/>
      <w:lvlText w:val="%1.%2.%3.%4.%5.%6.%7.%8.%9."/>
      <w:lvlJc w:val="left"/>
      <w:pPr>
        <w:ind w:left="2160" w:hanging="2160"/>
      </w:pPr>
      <w:rPr>
        <w:rFonts w:ascii="Arial" w:eastAsia="Arial" w:hAnsi="Arial" w:cs="Arial"/>
        <w:color w:val="000000"/>
        <w:sz w:val="22"/>
        <w:szCs w:val="22"/>
      </w:rPr>
    </w:lvl>
  </w:abstractNum>
  <w:abstractNum w:abstractNumId="3" w15:restartNumberingAfterBreak="0">
    <w:nsid w:val="3AD65318"/>
    <w:multiLevelType w:val="multilevel"/>
    <w:tmpl w:val="F7AE6462"/>
    <w:lvl w:ilvl="0">
      <w:start w:val="2"/>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18"/>
    <w:rsid w:val="005B0DAE"/>
    <w:rsid w:val="00791661"/>
    <w:rsid w:val="007A0F14"/>
    <w:rsid w:val="00B30B18"/>
    <w:rsid w:val="00C1218A"/>
    <w:rsid w:val="00D5291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75165-DF63-5047-950E-8C65C898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List Paragraph"/>
    <w:basedOn w:val="a"/>
    <w:uiPriority w:val="34"/>
    <w:qFormat/>
    <w:rsid w:val="00323C02"/>
    <w:pPr>
      <w:ind w:left="720"/>
      <w:contextualSpacing/>
    </w:pPr>
  </w:style>
  <w:style w:type="paragraph" w:styleId="a9">
    <w:name w:val="annotation subject"/>
    <w:basedOn w:val="a5"/>
    <w:next w:val="a5"/>
    <w:link w:val="aa"/>
    <w:uiPriority w:val="99"/>
    <w:semiHidden/>
    <w:unhideWhenUsed/>
    <w:rsid w:val="00416F68"/>
    <w:rPr>
      <w:b/>
      <w:bCs/>
    </w:rPr>
  </w:style>
  <w:style w:type="character" w:customStyle="1" w:styleId="aa">
    <w:name w:val="Тема примітки Знак"/>
    <w:basedOn w:val="a6"/>
    <w:link w:val="a9"/>
    <w:uiPriority w:val="99"/>
    <w:semiHidden/>
    <w:rsid w:val="00416F68"/>
    <w:rPr>
      <w:b/>
      <w:bCs/>
      <w:sz w:val="20"/>
      <w:szCs w:val="20"/>
    </w:rPr>
  </w:style>
  <w:style w:type="paragraph" w:styleId="ab">
    <w:name w:val="footer"/>
    <w:basedOn w:val="a"/>
    <w:link w:val="ac"/>
    <w:uiPriority w:val="99"/>
    <w:unhideWhenUsed/>
    <w:rsid w:val="00D5291C"/>
    <w:pPr>
      <w:tabs>
        <w:tab w:val="center" w:pos="4680"/>
        <w:tab w:val="right" w:pos="9360"/>
      </w:tabs>
      <w:spacing w:line="240" w:lineRule="auto"/>
    </w:pPr>
  </w:style>
  <w:style w:type="character" w:customStyle="1" w:styleId="ac">
    <w:name w:val="Нижній колонтитул Знак"/>
    <w:basedOn w:val="a0"/>
    <w:link w:val="ab"/>
    <w:uiPriority w:val="99"/>
    <w:rsid w:val="00D5291C"/>
  </w:style>
  <w:style w:type="character" w:styleId="ad">
    <w:name w:val="page number"/>
    <w:basedOn w:val="a0"/>
    <w:uiPriority w:val="99"/>
    <w:semiHidden/>
    <w:unhideWhenUsed/>
    <w:rsid w:val="00D5291C"/>
  </w:style>
  <w:style w:type="paragraph" w:styleId="ae">
    <w:name w:val="header"/>
    <w:basedOn w:val="a"/>
    <w:link w:val="af"/>
    <w:uiPriority w:val="99"/>
    <w:unhideWhenUsed/>
    <w:rsid w:val="00D5291C"/>
    <w:pPr>
      <w:tabs>
        <w:tab w:val="center" w:pos="4680"/>
        <w:tab w:val="right" w:pos="9360"/>
      </w:tabs>
      <w:spacing w:line="240" w:lineRule="auto"/>
    </w:pPr>
  </w:style>
  <w:style w:type="character" w:customStyle="1" w:styleId="af">
    <w:name w:val="Верхній колонтитул Знак"/>
    <w:basedOn w:val="a0"/>
    <w:link w:val="ae"/>
    <w:uiPriority w:val="99"/>
    <w:rsid w:val="00D5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03hVZmp0VbCjjVePQgm1hh813sA==">AMUW2mVQMFp5t72VNI2tG5Memsi4GHHqkiwijbtYzMS8G1El5i9d9eNpvsfwM2UBrEd/QqlWL3f+jeL6hO4QaJmr2JtR1+DioG85hGg+WdQZBUXP67RDQpg=</go:docsCustomData>
</go:gDocsCustomXmlDataStorage>
</file>

<file path=customXml/itemProps1.xml><?xml version="1.0" encoding="utf-8"?>
<ds:datastoreItem xmlns:ds="http://schemas.openxmlformats.org/officeDocument/2006/customXml" ds:itemID="{C73319C7-2DCB-4792-8529-6AE4C8877C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490C2A-39B4-4BE6-995E-ED7AB45299BC}">
  <ds:schemaRefs>
    <ds:schemaRef ds:uri="http://schemas.microsoft.com/sharepoint/v3/contenttype/forms"/>
  </ds:schemaRefs>
</ds:datastoreItem>
</file>

<file path=customXml/itemProps3.xml><?xml version="1.0" encoding="utf-8"?>
<ds:datastoreItem xmlns:ds="http://schemas.openxmlformats.org/officeDocument/2006/customXml" ds:itemID="{A2C69ED3-0007-4C66-A02F-D75634E8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3158</Words>
  <Characters>1801</Characters>
  <Application>Microsoft Office Word</Application>
  <DocSecurity>0</DocSecurity>
  <Lines>15</Lines>
  <Paragraphs>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2021-02-23T10:07:00Z</dcterms:created>
  <dcterms:modified xsi:type="dcterms:W3CDTF">2021-02-23T10:07:00Z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