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60" w:rsidRPr="00BB2FF8" w:rsidRDefault="00A40060" w:rsidP="00A40060">
      <w:pPr>
        <w:jc w:val="right"/>
        <w:rPr>
          <w:sz w:val="28"/>
          <w:szCs w:val="28"/>
        </w:rPr>
      </w:pPr>
      <w:bookmarkStart w:id="0" w:name="_GoBack"/>
      <w:bookmarkEnd w:id="0"/>
      <w:r w:rsidRPr="00BB2FF8">
        <w:rPr>
          <w:sz w:val="28"/>
          <w:szCs w:val="28"/>
        </w:rPr>
        <w:t>Проект</w:t>
      </w:r>
    </w:p>
    <w:p w:rsidR="00A40060" w:rsidRPr="00BB2FF8" w:rsidRDefault="00A40060" w:rsidP="00A40060">
      <w:pPr>
        <w:jc w:val="right"/>
        <w:rPr>
          <w:sz w:val="28"/>
          <w:szCs w:val="28"/>
        </w:rPr>
      </w:pPr>
      <w:r w:rsidRPr="00BB2FF8">
        <w:rPr>
          <w:sz w:val="28"/>
          <w:szCs w:val="28"/>
        </w:rPr>
        <w:t>Вноситься народними</w:t>
      </w:r>
    </w:p>
    <w:p w:rsidR="00A40060" w:rsidRPr="00BB2FF8" w:rsidRDefault="00A40060" w:rsidP="00A40060">
      <w:pPr>
        <w:jc w:val="right"/>
        <w:rPr>
          <w:sz w:val="28"/>
          <w:szCs w:val="28"/>
        </w:rPr>
      </w:pPr>
      <w:r w:rsidRPr="00BB2FF8">
        <w:rPr>
          <w:sz w:val="28"/>
          <w:szCs w:val="28"/>
        </w:rPr>
        <w:t>депутатами України</w:t>
      </w:r>
    </w:p>
    <w:p w:rsidR="00A40060" w:rsidRPr="00BB2FF8" w:rsidRDefault="00A40060" w:rsidP="00A40060">
      <w:pPr>
        <w:jc w:val="right"/>
        <w:rPr>
          <w:sz w:val="28"/>
          <w:szCs w:val="28"/>
        </w:rPr>
      </w:pPr>
    </w:p>
    <w:p w:rsidR="00A40060" w:rsidRPr="00BB2FF8" w:rsidRDefault="00A40060" w:rsidP="00A40060">
      <w:pPr>
        <w:jc w:val="right"/>
        <w:rPr>
          <w:sz w:val="28"/>
          <w:szCs w:val="28"/>
        </w:rPr>
      </w:pPr>
      <w:r w:rsidRPr="00BB2FF8">
        <w:rPr>
          <w:sz w:val="28"/>
          <w:szCs w:val="28"/>
        </w:rPr>
        <w:t>Королевською Н.Ю.</w:t>
      </w:r>
    </w:p>
    <w:p w:rsidR="00A40060" w:rsidRPr="00BB2FF8" w:rsidRDefault="00A40060" w:rsidP="00A40060">
      <w:pPr>
        <w:jc w:val="right"/>
        <w:rPr>
          <w:sz w:val="28"/>
          <w:szCs w:val="28"/>
        </w:rPr>
      </w:pPr>
    </w:p>
    <w:p w:rsidR="00A40060" w:rsidRPr="00BB2FF8" w:rsidRDefault="00A40060" w:rsidP="00A40060">
      <w:pPr>
        <w:jc w:val="right"/>
        <w:rPr>
          <w:sz w:val="28"/>
          <w:szCs w:val="28"/>
        </w:rPr>
      </w:pPr>
      <w:r w:rsidRPr="00BB2FF8">
        <w:rPr>
          <w:sz w:val="28"/>
          <w:szCs w:val="28"/>
        </w:rPr>
        <w:t>Солодом Ю.В.</w:t>
      </w:r>
    </w:p>
    <w:p w:rsidR="00A40060" w:rsidRPr="00BB2FF8" w:rsidRDefault="00A40060" w:rsidP="00A40060">
      <w:pPr>
        <w:jc w:val="right"/>
        <w:rPr>
          <w:sz w:val="28"/>
          <w:szCs w:val="28"/>
        </w:rPr>
      </w:pPr>
    </w:p>
    <w:p w:rsidR="00A40060" w:rsidRPr="00BB2FF8" w:rsidRDefault="00A40060" w:rsidP="00A40060">
      <w:pPr>
        <w:jc w:val="right"/>
        <w:rPr>
          <w:sz w:val="28"/>
          <w:szCs w:val="28"/>
        </w:rPr>
      </w:pPr>
      <w:r w:rsidRPr="00BB2FF8">
        <w:rPr>
          <w:sz w:val="28"/>
          <w:szCs w:val="28"/>
        </w:rPr>
        <w:t>Гнатенком В.С.</w:t>
      </w:r>
    </w:p>
    <w:p w:rsidR="00A40060" w:rsidRPr="00BB2FF8" w:rsidRDefault="00A40060" w:rsidP="00A40060">
      <w:pPr>
        <w:jc w:val="right"/>
        <w:rPr>
          <w:sz w:val="28"/>
          <w:szCs w:val="28"/>
        </w:rPr>
      </w:pPr>
    </w:p>
    <w:p w:rsidR="00A40060" w:rsidRPr="00BB2FF8" w:rsidRDefault="00A40060" w:rsidP="00A40060">
      <w:pPr>
        <w:jc w:val="right"/>
        <w:rPr>
          <w:sz w:val="28"/>
          <w:szCs w:val="28"/>
        </w:rPr>
      </w:pPr>
      <w:r w:rsidRPr="00BB2FF8">
        <w:rPr>
          <w:sz w:val="28"/>
          <w:szCs w:val="28"/>
        </w:rPr>
        <w:t>Морозом В.В.</w:t>
      </w:r>
    </w:p>
    <w:p w:rsidR="00A40060" w:rsidRPr="00BB2FF8" w:rsidRDefault="00A40060" w:rsidP="00A40060">
      <w:pPr>
        <w:jc w:val="right"/>
        <w:rPr>
          <w:sz w:val="28"/>
          <w:szCs w:val="28"/>
        </w:rPr>
      </w:pPr>
    </w:p>
    <w:p w:rsidR="00A40060" w:rsidRPr="00BB2FF8" w:rsidRDefault="00A40060" w:rsidP="00A40060">
      <w:pPr>
        <w:jc w:val="right"/>
        <w:rPr>
          <w:sz w:val="28"/>
          <w:szCs w:val="28"/>
        </w:rPr>
      </w:pPr>
      <w:r w:rsidRPr="00BB2FF8">
        <w:rPr>
          <w:sz w:val="28"/>
          <w:szCs w:val="28"/>
        </w:rPr>
        <w:t>Кальцевим В.Ф.</w:t>
      </w:r>
    </w:p>
    <w:p w:rsidR="00A40060" w:rsidRPr="00BB2FF8" w:rsidRDefault="00A40060" w:rsidP="00A40060">
      <w:pPr>
        <w:pStyle w:val="af2"/>
        <w:spacing w:before="0"/>
        <w:rPr>
          <w:rFonts w:ascii="Times New Roman" w:hAnsi="Times New Roman"/>
          <w:i w:val="0"/>
          <w:sz w:val="28"/>
          <w:szCs w:val="28"/>
        </w:rPr>
      </w:pPr>
    </w:p>
    <w:p w:rsidR="00AA5514" w:rsidRPr="00A222CE" w:rsidRDefault="00AA5514" w:rsidP="00AA5514">
      <w:pPr>
        <w:pStyle w:val="af2"/>
        <w:spacing w:before="0"/>
        <w:rPr>
          <w:rFonts w:ascii="Times New Roman" w:hAnsi="Times New Roman" w:cs="Times New Roman"/>
          <w:i w:val="0"/>
          <w:iCs w:val="0"/>
          <w:sz w:val="28"/>
          <w:szCs w:val="28"/>
        </w:rPr>
      </w:pPr>
      <w:r w:rsidRPr="00A222CE">
        <w:rPr>
          <w:rFonts w:ascii="Times New Roman" w:hAnsi="Times New Roman" w:cs="Times New Roman"/>
          <w:i w:val="0"/>
          <w:iCs w:val="0"/>
          <w:sz w:val="28"/>
          <w:szCs w:val="28"/>
        </w:rPr>
        <w:t>Закон УкраЇни</w:t>
      </w:r>
    </w:p>
    <w:p w:rsidR="00594AC0" w:rsidRPr="00A222CE" w:rsidRDefault="00594AC0" w:rsidP="00AA5514">
      <w:pPr>
        <w:pStyle w:val="af2"/>
        <w:spacing w:before="0"/>
        <w:rPr>
          <w:rFonts w:ascii="Times New Roman" w:hAnsi="Times New Roman" w:cs="Times New Roman"/>
          <w:i w:val="0"/>
          <w:iCs w:val="0"/>
          <w:sz w:val="28"/>
          <w:szCs w:val="28"/>
        </w:rPr>
      </w:pPr>
    </w:p>
    <w:p w:rsidR="008A05A4" w:rsidRPr="00A222CE" w:rsidRDefault="00220FD4" w:rsidP="00594AC0">
      <w:pPr>
        <w:ind w:firstLine="425"/>
        <w:jc w:val="center"/>
        <w:rPr>
          <w:b/>
          <w:bCs/>
          <w:sz w:val="28"/>
          <w:szCs w:val="28"/>
          <w:shd w:val="clear" w:color="auto" w:fill="FFFFFF"/>
          <w:lang w:val="uk-UA"/>
        </w:rPr>
      </w:pPr>
      <w:r w:rsidRPr="00A222CE">
        <w:rPr>
          <w:b/>
          <w:bCs/>
          <w:sz w:val="28"/>
          <w:szCs w:val="28"/>
          <w:shd w:val="clear" w:color="auto" w:fill="FFFFFF"/>
          <w:lang w:val="uk-UA"/>
        </w:rPr>
        <w:t xml:space="preserve">Про </w:t>
      </w:r>
      <w:r w:rsidR="00B827BD" w:rsidRPr="00A222CE">
        <w:rPr>
          <w:b/>
          <w:bCs/>
          <w:sz w:val="28"/>
          <w:szCs w:val="28"/>
          <w:shd w:val="clear" w:color="auto" w:fill="FFFFFF"/>
          <w:lang w:val="uk-UA"/>
        </w:rPr>
        <w:t xml:space="preserve">внесення змін до деяких законів України </w:t>
      </w:r>
    </w:p>
    <w:p w:rsidR="00220FD4" w:rsidRPr="00A222CE" w:rsidRDefault="00594AC0" w:rsidP="00594AC0">
      <w:pPr>
        <w:ind w:firstLine="425"/>
        <w:jc w:val="center"/>
        <w:rPr>
          <w:b/>
          <w:bCs/>
          <w:sz w:val="28"/>
          <w:szCs w:val="28"/>
          <w:shd w:val="clear" w:color="auto" w:fill="FFFFFF"/>
          <w:lang w:val="uk-UA"/>
        </w:rPr>
      </w:pPr>
      <w:r w:rsidRPr="00A222CE">
        <w:rPr>
          <w:b/>
          <w:bCs/>
          <w:sz w:val="28"/>
          <w:szCs w:val="28"/>
          <w:lang w:val="uk-UA"/>
        </w:rPr>
        <w:t>щодо</w:t>
      </w:r>
      <w:r w:rsidRPr="00A222CE">
        <w:rPr>
          <w:b/>
          <w:sz w:val="28"/>
          <w:szCs w:val="28"/>
          <w:lang w:val="uk-UA"/>
        </w:rPr>
        <w:t xml:space="preserve"> гарантій правильного нарахування споживачам </w:t>
      </w:r>
      <w:r w:rsidRPr="00A222CE">
        <w:rPr>
          <w:b/>
          <w:color w:val="000000"/>
          <w:sz w:val="28"/>
          <w:szCs w:val="28"/>
          <w:lang w:val="uk-UA"/>
        </w:rPr>
        <w:t>житлово-комунальних послуг</w:t>
      </w:r>
      <w:r w:rsidRPr="00A222CE">
        <w:rPr>
          <w:b/>
          <w:sz w:val="28"/>
          <w:szCs w:val="28"/>
          <w:lang w:val="uk-UA"/>
        </w:rPr>
        <w:t xml:space="preserve"> вартості постачання природного газу, води, електричної,  теплової енергії, комунальних послуг та скасування нарахування пені за несвоєчасне здійснення платежів за житлово-комунальні послуги</w:t>
      </w:r>
    </w:p>
    <w:p w:rsidR="008C23E1" w:rsidRPr="00A222CE" w:rsidRDefault="008C23E1" w:rsidP="00AA5514">
      <w:pPr>
        <w:pStyle w:val="2"/>
        <w:spacing w:before="120" w:beforeAutospacing="0" w:after="0" w:afterAutospacing="0"/>
        <w:ind w:firstLine="426"/>
        <w:jc w:val="center"/>
        <w:rPr>
          <w:b w:val="0"/>
          <w:sz w:val="28"/>
          <w:szCs w:val="28"/>
          <w:lang w:val="uk-UA"/>
        </w:rPr>
      </w:pPr>
    </w:p>
    <w:p w:rsidR="00CE26B8" w:rsidRPr="00A222CE" w:rsidRDefault="00CE26B8" w:rsidP="00952E5F">
      <w:pPr>
        <w:spacing w:before="120"/>
        <w:ind w:firstLine="425"/>
        <w:jc w:val="both"/>
        <w:rPr>
          <w:bCs/>
          <w:sz w:val="28"/>
          <w:szCs w:val="28"/>
          <w:shd w:val="clear" w:color="auto" w:fill="FFFFFF"/>
          <w:lang w:val="uk-UA"/>
        </w:rPr>
      </w:pPr>
      <w:r w:rsidRPr="00A222CE">
        <w:rPr>
          <w:bCs/>
          <w:sz w:val="28"/>
          <w:szCs w:val="28"/>
          <w:shd w:val="clear" w:color="auto" w:fill="FFFFFF"/>
          <w:lang w:val="uk-UA"/>
        </w:rPr>
        <w:t>Верховна Рада України постановляє:</w:t>
      </w:r>
    </w:p>
    <w:p w:rsidR="00CE26B8" w:rsidRPr="00A222CE" w:rsidRDefault="00CE26B8" w:rsidP="00952E5F">
      <w:pPr>
        <w:spacing w:before="120"/>
        <w:ind w:firstLine="425"/>
        <w:jc w:val="both"/>
        <w:rPr>
          <w:bCs/>
          <w:sz w:val="28"/>
          <w:szCs w:val="28"/>
          <w:shd w:val="clear" w:color="auto" w:fill="FFFFFF"/>
          <w:lang w:val="uk-UA"/>
        </w:rPr>
      </w:pPr>
      <w:r w:rsidRPr="00A222CE">
        <w:rPr>
          <w:bCs/>
          <w:sz w:val="28"/>
          <w:szCs w:val="28"/>
          <w:shd w:val="clear" w:color="auto" w:fill="FFFFFF"/>
          <w:lang w:val="uk-UA"/>
        </w:rPr>
        <w:t>І. Внести зміни до таких законів України:</w:t>
      </w:r>
    </w:p>
    <w:p w:rsidR="00A85EFA" w:rsidRPr="00A222CE" w:rsidRDefault="008A05A4" w:rsidP="00952E5F">
      <w:pPr>
        <w:pStyle w:val="a3"/>
        <w:spacing w:before="120" w:beforeAutospacing="0" w:after="0" w:afterAutospacing="0"/>
        <w:ind w:firstLine="425"/>
        <w:jc w:val="both"/>
        <w:rPr>
          <w:sz w:val="28"/>
          <w:szCs w:val="28"/>
          <w:lang w:val="uk-UA"/>
        </w:rPr>
      </w:pPr>
      <w:r w:rsidRPr="00A222CE">
        <w:rPr>
          <w:sz w:val="28"/>
          <w:szCs w:val="28"/>
          <w:lang w:val="uk-UA"/>
        </w:rPr>
        <w:t>1</w:t>
      </w:r>
      <w:r w:rsidR="00A85EFA" w:rsidRPr="00A222CE">
        <w:rPr>
          <w:sz w:val="28"/>
          <w:szCs w:val="28"/>
          <w:lang w:val="uk-UA"/>
        </w:rPr>
        <w:t xml:space="preserve">. </w:t>
      </w:r>
      <w:r w:rsidR="00E76BB2" w:rsidRPr="00A222CE">
        <w:rPr>
          <w:sz w:val="28"/>
          <w:szCs w:val="28"/>
          <w:lang w:val="uk-UA"/>
        </w:rPr>
        <w:t>Закон</w:t>
      </w:r>
      <w:r w:rsidR="00A85EFA" w:rsidRPr="00A222CE">
        <w:rPr>
          <w:sz w:val="28"/>
          <w:szCs w:val="28"/>
          <w:lang w:val="uk-UA"/>
        </w:rPr>
        <w:t xml:space="preserve"> України "</w:t>
      </w:r>
      <w:r w:rsidR="00E76BB2" w:rsidRPr="00A222CE">
        <w:rPr>
          <w:bCs/>
          <w:color w:val="000000"/>
          <w:sz w:val="28"/>
          <w:szCs w:val="28"/>
          <w:shd w:val="clear" w:color="auto" w:fill="FFFFFF"/>
          <w:lang w:val="uk-UA"/>
        </w:rPr>
        <w:t>Про захист прав споживачів</w:t>
      </w:r>
      <w:r w:rsidR="00A85EFA" w:rsidRPr="00A222CE">
        <w:rPr>
          <w:sz w:val="28"/>
          <w:szCs w:val="28"/>
          <w:lang w:val="uk-UA"/>
        </w:rPr>
        <w:t>"</w:t>
      </w:r>
      <w:r w:rsidR="00677624" w:rsidRPr="00A222CE">
        <w:rPr>
          <w:sz w:val="28"/>
          <w:szCs w:val="28"/>
          <w:lang w:val="uk-UA"/>
        </w:rPr>
        <w:t xml:space="preserve"> </w:t>
      </w:r>
      <w:r w:rsidR="00E76BB2" w:rsidRPr="00A222CE">
        <w:rPr>
          <w:bCs/>
          <w:color w:val="000000"/>
          <w:sz w:val="28"/>
          <w:szCs w:val="28"/>
          <w:shd w:val="clear" w:color="auto" w:fill="FFFFFF"/>
          <w:lang w:val="uk-UA"/>
        </w:rPr>
        <w:t xml:space="preserve">(Відомості Верховної Ради УРСР (ВВР), 1991, № 30, ст.379) </w:t>
      </w:r>
      <w:r w:rsidR="00E76BB2" w:rsidRPr="00A222CE">
        <w:rPr>
          <w:sz w:val="28"/>
          <w:szCs w:val="28"/>
          <w:lang w:val="uk-UA"/>
        </w:rPr>
        <w:t>доповнити новою статтею 10</w:t>
      </w:r>
      <w:r w:rsidR="00E76BB2" w:rsidRPr="00A222CE">
        <w:rPr>
          <w:sz w:val="28"/>
          <w:szCs w:val="28"/>
          <w:vertAlign w:val="superscript"/>
          <w:lang w:val="uk-UA"/>
        </w:rPr>
        <w:t>-1</w:t>
      </w:r>
      <w:r w:rsidR="00E76BB2" w:rsidRPr="00A222CE">
        <w:rPr>
          <w:sz w:val="28"/>
          <w:szCs w:val="28"/>
          <w:lang w:val="uk-UA"/>
        </w:rPr>
        <w:t xml:space="preserve"> такого змісту:</w:t>
      </w:r>
    </w:p>
    <w:p w:rsidR="0094082D" w:rsidRPr="00A222CE" w:rsidRDefault="00A85EFA" w:rsidP="00952E5F">
      <w:pPr>
        <w:spacing w:before="120"/>
        <w:ind w:firstLine="425"/>
        <w:jc w:val="both"/>
        <w:rPr>
          <w:sz w:val="28"/>
          <w:szCs w:val="28"/>
          <w:lang w:val="uk-UA"/>
        </w:rPr>
      </w:pPr>
      <w:r w:rsidRPr="00A222CE">
        <w:rPr>
          <w:sz w:val="28"/>
          <w:szCs w:val="28"/>
          <w:lang w:val="uk-UA"/>
        </w:rPr>
        <w:t>"</w:t>
      </w:r>
      <w:r w:rsidR="0094082D" w:rsidRPr="00A222CE">
        <w:rPr>
          <w:sz w:val="28"/>
          <w:szCs w:val="28"/>
          <w:lang w:val="uk-UA"/>
        </w:rPr>
        <w:t>Стаття 10-1. Гарантії  правильного нарахування вартості за постачання природного газу, води, електричної, теплової енергії, надання інших комунальних послуг побутовим споживачам, кінцевим споживачам комунальних послуг</w:t>
      </w:r>
    </w:p>
    <w:p w:rsidR="0094082D" w:rsidRPr="00A222CE" w:rsidRDefault="0094082D" w:rsidP="00952E5F">
      <w:pPr>
        <w:spacing w:before="120"/>
        <w:ind w:firstLine="425"/>
        <w:jc w:val="both"/>
        <w:rPr>
          <w:sz w:val="28"/>
          <w:szCs w:val="28"/>
          <w:lang w:val="uk-UA"/>
        </w:rPr>
      </w:pPr>
      <w:r w:rsidRPr="00A222CE">
        <w:rPr>
          <w:sz w:val="28"/>
          <w:szCs w:val="28"/>
          <w:lang w:val="uk-UA"/>
        </w:rPr>
        <w:t>1.</w:t>
      </w:r>
      <w:r w:rsidRPr="00A222CE">
        <w:rPr>
          <w:sz w:val="28"/>
          <w:szCs w:val="28"/>
          <w:lang w:val="uk-UA"/>
        </w:rPr>
        <w:tab/>
        <w:t>Постачальник природного газу, води, електричної, теплової енергії,   виконавець або визначена власником (співвласниками) інша особа, що здійснює розподіл обсягів комунальної послуги, зобов’язані побутовому споживачу, кінцевому споживачу комунальної послуги нараховувати вартість спожитих ним послуг, яка розраховується відповідно до затверджених стандартів та визначених у договорі ціни та тарифу, зокрема і тарифу за постачання (транспортування), якості та кількості.</w:t>
      </w:r>
    </w:p>
    <w:p w:rsidR="00A85EFA" w:rsidRPr="00A222CE" w:rsidRDefault="0094082D" w:rsidP="00952E5F">
      <w:pPr>
        <w:shd w:val="clear" w:color="auto" w:fill="FFFFFF"/>
        <w:spacing w:before="120"/>
        <w:ind w:firstLine="425"/>
        <w:jc w:val="both"/>
        <w:textAlignment w:val="baseline"/>
        <w:rPr>
          <w:sz w:val="28"/>
          <w:szCs w:val="28"/>
          <w:lang w:val="uk-UA"/>
        </w:rPr>
      </w:pPr>
      <w:r w:rsidRPr="00A222CE">
        <w:rPr>
          <w:sz w:val="28"/>
          <w:szCs w:val="28"/>
          <w:lang w:val="uk-UA"/>
        </w:rPr>
        <w:t>2.</w:t>
      </w:r>
      <w:r w:rsidRPr="00A222CE">
        <w:rPr>
          <w:sz w:val="28"/>
          <w:szCs w:val="28"/>
          <w:lang w:val="uk-UA"/>
        </w:rPr>
        <w:tab/>
        <w:t xml:space="preserve">Якщо в судовому чи позасудовому порядку встановлено, що за відповідний період вартість поставленого побутовому споживачу, кінцевому споживачу комунальної послуги газу, води, теплової чи електричної енергії, наданих комунальних послуг розрахована не правильно та вища за визначену </w:t>
      </w:r>
      <w:r w:rsidRPr="00A222CE">
        <w:rPr>
          <w:sz w:val="28"/>
          <w:szCs w:val="28"/>
          <w:lang w:val="uk-UA"/>
        </w:rPr>
        <w:lastRenderedPageBreak/>
        <w:t>договором ціну, не відповідає встановленим тарифам та (або) встановлена з порушенням порядку нарахувань, постачальник природного газу, води, електричної, теплової енергії, виконавець або визначена власником (співвласниками) інша особа, що здійснює розподіл обсягів комунальної послуги, зобов’язані виплатити побутовому споживачу, кінцевому споживачу комунальної послуги компенсацію в десятикратному розмірі від повної вартості, нарахованої з порушенням умов договору для оплати побутовим споживачем, кінцевим споживачем комунальної послуги за відповідний період постачальником, виконавцем або визначеною власником (співвласниками) іншою особою, що здійснює розподіл обсягів комунальної послуги.</w:t>
      </w:r>
      <w:r w:rsidR="00A85EFA" w:rsidRPr="00A222CE">
        <w:rPr>
          <w:sz w:val="28"/>
          <w:szCs w:val="28"/>
          <w:lang w:val="uk-UA"/>
        </w:rPr>
        <w:t>";</w:t>
      </w:r>
    </w:p>
    <w:p w:rsidR="00A32978" w:rsidRPr="00A222CE" w:rsidRDefault="002026E7" w:rsidP="00952E5F">
      <w:pPr>
        <w:spacing w:before="120"/>
        <w:ind w:firstLine="425"/>
        <w:jc w:val="both"/>
        <w:rPr>
          <w:sz w:val="28"/>
          <w:szCs w:val="28"/>
          <w:lang w:val="uk-UA"/>
        </w:rPr>
      </w:pPr>
      <w:bookmarkStart w:id="1" w:name="n274"/>
      <w:bookmarkEnd w:id="1"/>
      <w:r w:rsidRPr="00A222CE">
        <w:rPr>
          <w:sz w:val="28"/>
          <w:szCs w:val="28"/>
          <w:lang w:val="uk-UA"/>
        </w:rPr>
        <w:t>2</w:t>
      </w:r>
      <w:r w:rsidR="00343D4F" w:rsidRPr="00A222CE">
        <w:rPr>
          <w:sz w:val="28"/>
          <w:szCs w:val="28"/>
          <w:lang w:val="uk-UA"/>
        </w:rPr>
        <w:t xml:space="preserve">. </w:t>
      </w:r>
      <w:r w:rsidR="00A32978" w:rsidRPr="00A222CE">
        <w:rPr>
          <w:sz w:val="28"/>
          <w:szCs w:val="28"/>
          <w:lang w:val="uk-UA"/>
        </w:rPr>
        <w:t xml:space="preserve">У Законі України "Про житлово-комунальні послуги" (Відомості Верховної Ради України, 2018 р., № 1, ст. 1; </w:t>
      </w:r>
      <w:r w:rsidR="00A32978" w:rsidRPr="00A222CE">
        <w:rPr>
          <w:bCs/>
          <w:color w:val="000000"/>
          <w:sz w:val="28"/>
          <w:szCs w:val="28"/>
          <w:shd w:val="clear" w:color="auto" w:fill="FFFFFF"/>
          <w:lang w:val="uk-UA"/>
        </w:rPr>
        <w:t>№ 23, ст. 211</w:t>
      </w:r>
      <w:r w:rsidR="00A32978" w:rsidRPr="00A222CE">
        <w:rPr>
          <w:sz w:val="28"/>
          <w:szCs w:val="28"/>
          <w:lang w:val="uk-UA"/>
        </w:rPr>
        <w:t>):</w:t>
      </w:r>
    </w:p>
    <w:p w:rsidR="00A32978" w:rsidRPr="00A222CE" w:rsidRDefault="00A32978" w:rsidP="00952E5F">
      <w:pPr>
        <w:spacing w:before="120"/>
        <w:ind w:firstLine="425"/>
        <w:jc w:val="both"/>
        <w:rPr>
          <w:sz w:val="28"/>
          <w:szCs w:val="28"/>
          <w:lang w:val="uk-UA"/>
        </w:rPr>
      </w:pPr>
      <w:r w:rsidRPr="00A222CE">
        <w:rPr>
          <w:sz w:val="28"/>
          <w:szCs w:val="28"/>
          <w:lang w:val="uk-UA"/>
        </w:rPr>
        <w:t>1) пункт 10 частини другої та пункт 2 частини третьої статті 7 виключити;</w:t>
      </w:r>
    </w:p>
    <w:p w:rsidR="00AA5514" w:rsidRPr="00A222CE" w:rsidRDefault="00A32978" w:rsidP="00952E5F">
      <w:pPr>
        <w:spacing w:before="120"/>
        <w:ind w:firstLine="425"/>
        <w:jc w:val="both"/>
        <w:rPr>
          <w:sz w:val="28"/>
          <w:szCs w:val="28"/>
          <w:lang w:val="uk-UA"/>
        </w:rPr>
      </w:pPr>
      <w:r w:rsidRPr="00A222CE">
        <w:rPr>
          <w:sz w:val="28"/>
          <w:szCs w:val="28"/>
          <w:lang w:val="uk-UA"/>
        </w:rPr>
        <w:t xml:space="preserve">2) </w:t>
      </w:r>
      <w:r w:rsidR="00AA5514" w:rsidRPr="00A222CE">
        <w:rPr>
          <w:sz w:val="28"/>
          <w:szCs w:val="28"/>
          <w:lang w:val="uk-UA"/>
        </w:rPr>
        <w:t>статтю 9 доповнити новими частинами 1</w:t>
      </w:r>
      <w:r w:rsidR="00AA5514" w:rsidRPr="00A222CE">
        <w:rPr>
          <w:sz w:val="28"/>
          <w:szCs w:val="28"/>
          <w:vertAlign w:val="superscript"/>
          <w:lang w:val="uk-UA"/>
        </w:rPr>
        <w:t>1</w:t>
      </w:r>
      <w:r w:rsidR="00AA5514" w:rsidRPr="00A222CE">
        <w:rPr>
          <w:sz w:val="28"/>
          <w:szCs w:val="28"/>
          <w:lang w:val="uk-UA"/>
        </w:rPr>
        <w:t> та 4 такого змісту:</w:t>
      </w:r>
    </w:p>
    <w:p w:rsidR="00AA5514" w:rsidRPr="00A222CE" w:rsidRDefault="00AA5514" w:rsidP="00952E5F">
      <w:pPr>
        <w:spacing w:before="120"/>
        <w:ind w:firstLine="425"/>
        <w:jc w:val="both"/>
        <w:rPr>
          <w:color w:val="000000"/>
          <w:sz w:val="28"/>
          <w:szCs w:val="28"/>
          <w:lang w:val="uk-UA"/>
        </w:rPr>
      </w:pPr>
      <w:r w:rsidRPr="00A222CE">
        <w:rPr>
          <w:sz w:val="28"/>
          <w:szCs w:val="28"/>
          <w:lang w:val="uk-UA"/>
        </w:rPr>
        <w:t>"</w:t>
      </w:r>
      <w:r w:rsidRPr="00A222CE">
        <w:rPr>
          <w:color w:val="000000"/>
          <w:sz w:val="28"/>
          <w:szCs w:val="28"/>
          <w:lang w:val="uk-UA"/>
        </w:rPr>
        <w:t>1</w:t>
      </w:r>
      <w:r w:rsidRPr="00A222CE">
        <w:rPr>
          <w:color w:val="000000"/>
          <w:sz w:val="28"/>
          <w:szCs w:val="28"/>
          <w:vertAlign w:val="superscript"/>
          <w:lang w:val="uk-UA"/>
        </w:rPr>
        <w:t>-1</w:t>
      </w:r>
      <w:r w:rsidRPr="00A222CE">
        <w:rPr>
          <w:color w:val="000000"/>
          <w:sz w:val="28"/>
          <w:szCs w:val="28"/>
          <w:lang w:val="uk-UA"/>
        </w:rPr>
        <w:t>. В</w:t>
      </w:r>
      <w:r w:rsidRPr="00A222CE">
        <w:rPr>
          <w:color w:val="000000"/>
          <w:sz w:val="28"/>
          <w:szCs w:val="28"/>
          <w:shd w:val="clear" w:color="auto" w:fill="FFFFFF"/>
          <w:lang w:val="uk-UA"/>
        </w:rPr>
        <w:t>иконавець комунальної послуги</w:t>
      </w:r>
      <w:r w:rsidRPr="00A222CE">
        <w:rPr>
          <w:sz w:val="28"/>
          <w:szCs w:val="28"/>
          <w:lang w:val="uk-UA"/>
        </w:rPr>
        <w:t xml:space="preserve"> зобов’язаний споживачу</w:t>
      </w:r>
      <w:r w:rsidRPr="00A222CE">
        <w:rPr>
          <w:color w:val="000000"/>
          <w:sz w:val="28"/>
          <w:szCs w:val="28"/>
          <w:lang w:val="uk-UA"/>
        </w:rPr>
        <w:t xml:space="preserve"> житлово-комунальних послуг</w:t>
      </w:r>
      <w:r w:rsidRPr="00A222CE">
        <w:rPr>
          <w:sz w:val="28"/>
          <w:szCs w:val="28"/>
          <w:lang w:val="uk-UA"/>
        </w:rPr>
        <w:t xml:space="preserve"> нараховувати вартість спожитих ним послуг, яка розраховується відповідно до затверджених стандартів та визначених у договорі ціни та тарифу, зокрема і тарифу за постачання (транспортування), якості та кількості.</w:t>
      </w:r>
    </w:p>
    <w:p w:rsidR="00AA5514" w:rsidRPr="00A222CE" w:rsidRDefault="00AA5514" w:rsidP="00952E5F">
      <w:pPr>
        <w:spacing w:before="120"/>
        <w:ind w:firstLine="425"/>
        <w:jc w:val="both"/>
        <w:rPr>
          <w:sz w:val="28"/>
          <w:szCs w:val="28"/>
          <w:lang w:val="uk-UA"/>
        </w:rPr>
      </w:pPr>
      <w:r w:rsidRPr="00A222CE">
        <w:rPr>
          <w:color w:val="000000"/>
          <w:sz w:val="28"/>
          <w:szCs w:val="28"/>
          <w:lang w:val="uk-UA"/>
        </w:rPr>
        <w:t xml:space="preserve">4. </w:t>
      </w:r>
      <w:r w:rsidRPr="00A222CE">
        <w:rPr>
          <w:sz w:val="28"/>
          <w:szCs w:val="28"/>
          <w:lang w:val="uk-UA"/>
        </w:rPr>
        <w:t xml:space="preserve">Якщо в судовому чи позасудовому порядку встановлено, що за відповідний період вартість </w:t>
      </w:r>
      <w:r w:rsidRPr="00A222CE">
        <w:rPr>
          <w:color w:val="000000"/>
          <w:sz w:val="28"/>
          <w:szCs w:val="28"/>
          <w:lang w:val="uk-UA"/>
        </w:rPr>
        <w:t>житлово-комунальних послуг</w:t>
      </w:r>
      <w:r w:rsidRPr="00A222CE">
        <w:rPr>
          <w:sz w:val="28"/>
          <w:szCs w:val="28"/>
          <w:lang w:val="uk-UA"/>
        </w:rPr>
        <w:t xml:space="preserve"> </w:t>
      </w:r>
      <w:r w:rsidRPr="00A222CE">
        <w:rPr>
          <w:color w:val="000000"/>
          <w:sz w:val="28"/>
          <w:szCs w:val="28"/>
          <w:shd w:val="clear" w:color="auto" w:fill="FFFFFF"/>
          <w:lang w:val="uk-UA"/>
        </w:rPr>
        <w:t>виконавцем комунальної послуги</w:t>
      </w:r>
      <w:r w:rsidRPr="00A222CE">
        <w:rPr>
          <w:sz w:val="28"/>
          <w:szCs w:val="28"/>
          <w:lang w:val="uk-UA"/>
        </w:rPr>
        <w:t xml:space="preserve"> розрахована не правильно та вища за визначену договором ціну, не відповідає встановленим тарифам та (або) встановлена з порушенням порядку нарахувань, </w:t>
      </w:r>
      <w:r w:rsidRPr="00A222CE">
        <w:rPr>
          <w:color w:val="000000"/>
          <w:sz w:val="28"/>
          <w:szCs w:val="28"/>
          <w:shd w:val="clear" w:color="auto" w:fill="FFFFFF"/>
          <w:lang w:val="uk-UA"/>
        </w:rPr>
        <w:t>виконавець комунальної послуги</w:t>
      </w:r>
      <w:r w:rsidRPr="00A222CE">
        <w:rPr>
          <w:sz w:val="28"/>
          <w:szCs w:val="28"/>
          <w:lang w:val="uk-UA"/>
        </w:rPr>
        <w:t xml:space="preserve"> зобов’язаний виплатити споживачу</w:t>
      </w:r>
      <w:r w:rsidRPr="00A222CE">
        <w:rPr>
          <w:color w:val="000000"/>
          <w:sz w:val="28"/>
          <w:szCs w:val="28"/>
          <w:lang w:val="uk-UA"/>
        </w:rPr>
        <w:t xml:space="preserve"> житлово-комунальних послуг</w:t>
      </w:r>
      <w:r w:rsidRPr="00A222CE">
        <w:rPr>
          <w:sz w:val="28"/>
          <w:szCs w:val="28"/>
          <w:lang w:val="uk-UA"/>
        </w:rPr>
        <w:t xml:space="preserve"> компенсацію в десятикратному розмірі від повної вартості, нарахованої з порушенням умов договору. ";</w:t>
      </w:r>
    </w:p>
    <w:p w:rsidR="00A32978" w:rsidRPr="00A222CE" w:rsidRDefault="00A32978" w:rsidP="00952E5F">
      <w:pPr>
        <w:spacing w:before="120"/>
        <w:ind w:firstLine="425"/>
        <w:jc w:val="both"/>
        <w:rPr>
          <w:sz w:val="28"/>
          <w:szCs w:val="28"/>
          <w:lang w:val="uk-UA"/>
        </w:rPr>
      </w:pPr>
      <w:r w:rsidRPr="00A222CE">
        <w:rPr>
          <w:sz w:val="28"/>
          <w:szCs w:val="28"/>
          <w:lang w:val="uk-UA"/>
        </w:rPr>
        <w:t xml:space="preserve">3) частину першу статті 26 </w:t>
      </w:r>
      <w:r w:rsidRPr="00A222CE">
        <w:rPr>
          <w:color w:val="000000"/>
          <w:sz w:val="28"/>
          <w:szCs w:val="28"/>
          <w:lang w:val="uk-UA"/>
        </w:rPr>
        <w:t>викласти в такій редакції:</w:t>
      </w:r>
    </w:p>
    <w:p w:rsidR="00A32978" w:rsidRPr="00A222CE" w:rsidRDefault="00A32978" w:rsidP="00952E5F">
      <w:pPr>
        <w:spacing w:before="120"/>
        <w:ind w:firstLine="425"/>
        <w:jc w:val="both"/>
        <w:rPr>
          <w:sz w:val="28"/>
          <w:szCs w:val="28"/>
          <w:lang w:val="uk-UA"/>
        </w:rPr>
      </w:pPr>
      <w:r w:rsidRPr="00A222CE">
        <w:rPr>
          <w:sz w:val="28"/>
          <w:szCs w:val="28"/>
          <w:lang w:val="uk-UA"/>
        </w:rPr>
        <w:t>"1. Неустойка (штраф, пеня) у разі несвоєчасного здійснення платежів за житлово-комунальні послуги споживачу на суму боргу не нараховується.";</w:t>
      </w:r>
    </w:p>
    <w:p w:rsidR="00A32978" w:rsidRPr="00A222CE" w:rsidRDefault="00A32978" w:rsidP="00952E5F">
      <w:pPr>
        <w:spacing w:before="120"/>
        <w:ind w:firstLine="425"/>
        <w:jc w:val="both"/>
        <w:rPr>
          <w:sz w:val="28"/>
          <w:szCs w:val="28"/>
          <w:lang w:val="uk-UA"/>
        </w:rPr>
      </w:pPr>
      <w:r w:rsidRPr="00A222CE">
        <w:rPr>
          <w:sz w:val="28"/>
          <w:szCs w:val="28"/>
          <w:lang w:val="uk-UA"/>
        </w:rPr>
        <w:t>4) Розділ VI "Прикінцеві та перехідні положення" доповнити пунктом 7</w:t>
      </w:r>
      <w:r w:rsidRPr="00A222CE">
        <w:rPr>
          <w:sz w:val="28"/>
          <w:szCs w:val="28"/>
          <w:vertAlign w:val="superscript"/>
          <w:lang w:val="uk-UA"/>
        </w:rPr>
        <w:t>1</w:t>
      </w:r>
      <w:r w:rsidRPr="00A222CE">
        <w:rPr>
          <w:sz w:val="28"/>
          <w:szCs w:val="28"/>
          <w:lang w:val="uk-UA"/>
        </w:rPr>
        <w:t> такого змісту:</w:t>
      </w:r>
    </w:p>
    <w:p w:rsidR="00A32978" w:rsidRPr="00A222CE" w:rsidRDefault="00A32978" w:rsidP="00952E5F">
      <w:pPr>
        <w:pStyle w:val="af1"/>
        <w:spacing w:before="120"/>
        <w:ind w:firstLine="425"/>
        <w:jc w:val="both"/>
        <w:rPr>
          <w:sz w:val="28"/>
          <w:szCs w:val="28"/>
          <w:lang w:val="uk-UA"/>
        </w:rPr>
      </w:pPr>
      <w:r w:rsidRPr="00A222CE">
        <w:rPr>
          <w:sz w:val="28"/>
          <w:szCs w:val="28"/>
          <w:lang w:val="uk-UA"/>
        </w:rPr>
        <w:t>"7</w:t>
      </w:r>
      <w:r w:rsidRPr="00A222CE">
        <w:rPr>
          <w:sz w:val="28"/>
          <w:szCs w:val="28"/>
          <w:vertAlign w:val="superscript"/>
          <w:lang w:val="uk-UA"/>
        </w:rPr>
        <w:t>1</w:t>
      </w:r>
      <w:r w:rsidRPr="00A222CE">
        <w:rPr>
          <w:sz w:val="28"/>
          <w:szCs w:val="28"/>
          <w:lang w:val="uk-UA"/>
        </w:rPr>
        <w:t>. Встановити до 1 січня 2030 року мораторій на примусове виселення із житла та примусове стягнення</w:t>
      </w:r>
      <w:r w:rsidRPr="00A222CE">
        <w:rPr>
          <w:b/>
          <w:sz w:val="28"/>
          <w:szCs w:val="28"/>
          <w:lang w:val="uk-UA"/>
        </w:rPr>
        <w:t xml:space="preserve"> </w:t>
      </w:r>
      <w:r w:rsidRPr="00A222CE">
        <w:rPr>
          <w:sz w:val="28"/>
          <w:szCs w:val="28"/>
          <w:shd w:val="clear" w:color="auto" w:fill="FFFFFF"/>
          <w:lang w:val="uk-UA"/>
        </w:rPr>
        <w:t xml:space="preserve">житла (житлових будинків, частин житлових будинків, квартир, кімнат у квартирах, кімнат, житлових секцій чи блоків у гуртожитках, інших жилих приміщень), </w:t>
      </w:r>
      <w:r w:rsidRPr="00A222CE">
        <w:rPr>
          <w:sz w:val="28"/>
          <w:szCs w:val="28"/>
          <w:lang w:val="uk-UA"/>
        </w:rPr>
        <w:t>що належить на праві приватної власності громадянам України під час примусового виконання рішень судів щодо стягнення заборгованості за житлово-комунальні послуги.</w:t>
      </w:r>
    </w:p>
    <w:p w:rsidR="00A32978" w:rsidRPr="00A222CE" w:rsidRDefault="00A32978" w:rsidP="00952E5F">
      <w:pPr>
        <w:pStyle w:val="af1"/>
        <w:spacing w:before="120"/>
        <w:ind w:firstLine="425"/>
        <w:jc w:val="both"/>
        <w:rPr>
          <w:sz w:val="28"/>
          <w:szCs w:val="28"/>
          <w:lang w:val="uk-UA"/>
        </w:rPr>
      </w:pPr>
      <w:r w:rsidRPr="00A222CE">
        <w:rPr>
          <w:sz w:val="28"/>
          <w:szCs w:val="28"/>
          <w:lang w:val="uk-UA"/>
        </w:rPr>
        <w:lastRenderedPageBreak/>
        <w:t>Встановити до 1 січня 2030 року мораторій на припинення/зупинення надання житлово-комунальних послуг громадянам України у разі їх неоплати або оплати не в повному обсязі.</w:t>
      </w:r>
    </w:p>
    <w:p w:rsidR="00A32978" w:rsidRPr="00A222CE" w:rsidRDefault="00A32978" w:rsidP="00952E5F">
      <w:pPr>
        <w:pStyle w:val="af1"/>
        <w:spacing w:before="120"/>
        <w:ind w:firstLine="425"/>
        <w:jc w:val="both"/>
        <w:rPr>
          <w:sz w:val="28"/>
          <w:szCs w:val="28"/>
          <w:shd w:val="clear" w:color="auto" w:fill="FFFFFF"/>
          <w:lang w:val="uk-UA"/>
        </w:rPr>
      </w:pPr>
      <w:r w:rsidRPr="00A222CE">
        <w:rPr>
          <w:sz w:val="28"/>
          <w:szCs w:val="28"/>
          <w:lang w:val="uk-UA"/>
        </w:rPr>
        <w:t xml:space="preserve">Встановити до 1 січня 2030 року мораторій на примусове </w:t>
      </w:r>
      <w:r w:rsidRPr="00A222CE">
        <w:rPr>
          <w:bCs/>
          <w:sz w:val="28"/>
          <w:szCs w:val="28"/>
          <w:lang w:val="uk-UA"/>
        </w:rPr>
        <w:t xml:space="preserve">виселення громадян за несвоєчасну оплату </w:t>
      </w:r>
      <w:r w:rsidRPr="00A222CE">
        <w:rPr>
          <w:sz w:val="28"/>
          <w:szCs w:val="28"/>
          <w:lang w:val="uk-UA"/>
        </w:rPr>
        <w:t>житлово-комунальних послуг</w:t>
      </w:r>
      <w:r w:rsidRPr="00A222CE">
        <w:rPr>
          <w:bCs/>
          <w:sz w:val="28"/>
          <w:szCs w:val="28"/>
          <w:lang w:val="uk-UA"/>
        </w:rPr>
        <w:t xml:space="preserve"> із </w:t>
      </w:r>
      <w:r w:rsidRPr="00A222CE">
        <w:rPr>
          <w:sz w:val="28"/>
          <w:szCs w:val="28"/>
          <w:shd w:val="clear" w:color="auto" w:fill="FFFFFF"/>
          <w:lang w:val="uk-UA"/>
        </w:rPr>
        <w:t>жилих приміщень у будинках державного, громадського житлового фонду та житлового фонду соціального призначення.</w:t>
      </w:r>
    </w:p>
    <w:p w:rsidR="00A32978" w:rsidRPr="00A222CE" w:rsidRDefault="00A32978" w:rsidP="00952E5F">
      <w:pPr>
        <w:pStyle w:val="af1"/>
        <w:spacing w:before="120"/>
        <w:ind w:firstLine="425"/>
        <w:jc w:val="both"/>
        <w:rPr>
          <w:sz w:val="28"/>
          <w:szCs w:val="28"/>
          <w:lang w:val="uk-UA"/>
        </w:rPr>
      </w:pPr>
      <w:r w:rsidRPr="00A222CE">
        <w:rPr>
          <w:sz w:val="28"/>
          <w:szCs w:val="28"/>
          <w:lang w:val="uk-UA"/>
        </w:rPr>
        <w:t>Мораторій на примусове виселення із житла, примусове стягнення</w:t>
      </w:r>
      <w:r w:rsidRPr="00A222CE">
        <w:rPr>
          <w:b/>
          <w:sz w:val="28"/>
          <w:szCs w:val="28"/>
          <w:lang w:val="uk-UA"/>
        </w:rPr>
        <w:t xml:space="preserve"> </w:t>
      </w:r>
      <w:r w:rsidRPr="00A222CE">
        <w:rPr>
          <w:sz w:val="28"/>
          <w:szCs w:val="28"/>
          <w:shd w:val="clear" w:color="auto" w:fill="FFFFFF"/>
          <w:lang w:val="uk-UA"/>
        </w:rPr>
        <w:t xml:space="preserve">житла, </w:t>
      </w:r>
      <w:r w:rsidRPr="00A222CE">
        <w:rPr>
          <w:sz w:val="28"/>
          <w:szCs w:val="28"/>
          <w:lang w:val="uk-UA"/>
        </w:rPr>
        <w:t>припинення/зупинення надання житлово-комунальних послуг не поширюється на боржників, середньомісячний сукупний дохід сім’ї яких у розрахунку на місяць за попередній рік становить не менше п’ятикратного розміру прожиткового мінімуму для сім’ї.</w:t>
      </w:r>
    </w:p>
    <w:p w:rsidR="00A32978" w:rsidRPr="00A222CE" w:rsidRDefault="00A32978" w:rsidP="00952E5F">
      <w:pPr>
        <w:pStyle w:val="af1"/>
        <w:spacing w:before="120"/>
        <w:ind w:firstLine="425"/>
        <w:jc w:val="both"/>
        <w:rPr>
          <w:sz w:val="28"/>
          <w:szCs w:val="28"/>
          <w:lang w:val="uk-UA"/>
        </w:rPr>
      </w:pPr>
      <w:r w:rsidRPr="00A222CE">
        <w:rPr>
          <w:sz w:val="28"/>
          <w:szCs w:val="28"/>
          <w:lang w:val="uk-UA"/>
        </w:rPr>
        <w:t>Порядок обміну інформацією між центральними органами виконавчої влади і виконавцями житлово-комунальних послуг щодо отримання відомостей про доходи боржників та членів їх сімей встановлюється Кабінетом Міністрів України.</w:t>
      </w:r>
    </w:p>
    <w:p w:rsidR="00A32978" w:rsidRPr="00A222CE" w:rsidRDefault="00A32978" w:rsidP="00952E5F">
      <w:pPr>
        <w:pStyle w:val="af1"/>
        <w:spacing w:before="120"/>
        <w:ind w:firstLine="425"/>
        <w:jc w:val="both"/>
        <w:rPr>
          <w:sz w:val="28"/>
          <w:szCs w:val="28"/>
          <w:lang w:val="uk-UA"/>
        </w:rPr>
      </w:pPr>
      <w:r w:rsidRPr="00A222CE">
        <w:rPr>
          <w:sz w:val="28"/>
          <w:szCs w:val="28"/>
          <w:lang w:val="uk-UA"/>
        </w:rPr>
        <w:t>Процедури примусового виселення із житла та примусового стягнення</w:t>
      </w:r>
      <w:r w:rsidRPr="00A222CE">
        <w:rPr>
          <w:b/>
          <w:sz w:val="28"/>
          <w:szCs w:val="28"/>
          <w:lang w:val="uk-UA"/>
        </w:rPr>
        <w:t xml:space="preserve"> </w:t>
      </w:r>
      <w:r w:rsidRPr="00A222CE">
        <w:rPr>
          <w:sz w:val="28"/>
          <w:szCs w:val="28"/>
          <w:shd w:val="clear" w:color="auto" w:fill="FFFFFF"/>
          <w:lang w:val="uk-UA"/>
        </w:rPr>
        <w:t>житла</w:t>
      </w:r>
      <w:r w:rsidRPr="00A222CE">
        <w:rPr>
          <w:sz w:val="28"/>
          <w:szCs w:val="28"/>
          <w:lang w:val="uk-UA"/>
        </w:rPr>
        <w:t>, що були розпочаті до набрання чинності цим Законом, підлягають припиненню.".</w:t>
      </w:r>
    </w:p>
    <w:p w:rsidR="00A32978" w:rsidRPr="00A222CE" w:rsidRDefault="00A32978" w:rsidP="00952E5F">
      <w:pPr>
        <w:spacing w:before="120"/>
        <w:ind w:firstLine="425"/>
        <w:jc w:val="both"/>
        <w:rPr>
          <w:sz w:val="28"/>
          <w:szCs w:val="28"/>
          <w:lang w:val="uk-UA"/>
        </w:rPr>
      </w:pPr>
      <w:r w:rsidRPr="00A222CE">
        <w:rPr>
          <w:sz w:val="28"/>
          <w:szCs w:val="28"/>
          <w:lang w:val="uk-UA"/>
        </w:rPr>
        <w:t>ІІ. Прикінцеві положення</w:t>
      </w:r>
    </w:p>
    <w:p w:rsidR="00A32978" w:rsidRPr="00A222CE" w:rsidRDefault="00A32978" w:rsidP="00952E5F">
      <w:pPr>
        <w:spacing w:before="120"/>
        <w:ind w:firstLine="425"/>
        <w:jc w:val="both"/>
        <w:rPr>
          <w:sz w:val="28"/>
          <w:szCs w:val="28"/>
          <w:lang w:val="uk-UA"/>
        </w:rPr>
      </w:pPr>
      <w:r w:rsidRPr="00A222CE">
        <w:rPr>
          <w:sz w:val="28"/>
          <w:szCs w:val="28"/>
          <w:lang w:val="uk-UA"/>
        </w:rPr>
        <w:t>1. Цей Закон набирає чинності з першого числа місяця, наступного за місяцем його опублікування.</w:t>
      </w:r>
    </w:p>
    <w:p w:rsidR="00A32978" w:rsidRPr="00A222CE" w:rsidRDefault="00A32978" w:rsidP="00952E5F">
      <w:pPr>
        <w:widowControl w:val="0"/>
        <w:autoSpaceDE w:val="0"/>
        <w:autoSpaceDN w:val="0"/>
        <w:adjustRightInd w:val="0"/>
        <w:spacing w:before="120"/>
        <w:ind w:firstLine="425"/>
        <w:jc w:val="both"/>
        <w:rPr>
          <w:sz w:val="28"/>
          <w:szCs w:val="28"/>
          <w:lang w:val="uk-UA"/>
        </w:rPr>
      </w:pPr>
      <w:r w:rsidRPr="00A222CE">
        <w:rPr>
          <w:sz w:val="28"/>
          <w:szCs w:val="28"/>
          <w:lang w:val="uk-UA"/>
        </w:rPr>
        <w:t>2. Кабінету Міністрів України у місячний строк з дня набрання чинності цим Законом:</w:t>
      </w:r>
    </w:p>
    <w:p w:rsidR="00A32978" w:rsidRPr="00A222CE" w:rsidRDefault="00A32978" w:rsidP="00952E5F">
      <w:pPr>
        <w:widowControl w:val="0"/>
        <w:autoSpaceDE w:val="0"/>
        <w:autoSpaceDN w:val="0"/>
        <w:adjustRightInd w:val="0"/>
        <w:spacing w:before="120"/>
        <w:ind w:firstLine="425"/>
        <w:jc w:val="both"/>
        <w:rPr>
          <w:sz w:val="28"/>
          <w:szCs w:val="28"/>
          <w:lang w:val="uk-UA"/>
        </w:rPr>
      </w:pPr>
      <w:bookmarkStart w:id="2" w:name="n328"/>
      <w:bookmarkEnd w:id="2"/>
      <w:r w:rsidRPr="00A222CE">
        <w:rPr>
          <w:sz w:val="28"/>
          <w:szCs w:val="28"/>
          <w:lang w:val="uk-UA"/>
        </w:rPr>
        <w:t>прийняти нормативно-правові акти, передбачені цим Законом;</w:t>
      </w:r>
    </w:p>
    <w:p w:rsidR="00A32978" w:rsidRPr="00A222CE" w:rsidRDefault="00A32978" w:rsidP="00952E5F">
      <w:pPr>
        <w:widowControl w:val="0"/>
        <w:autoSpaceDE w:val="0"/>
        <w:autoSpaceDN w:val="0"/>
        <w:adjustRightInd w:val="0"/>
        <w:spacing w:before="120"/>
        <w:ind w:firstLine="425"/>
        <w:jc w:val="both"/>
        <w:rPr>
          <w:sz w:val="28"/>
          <w:szCs w:val="28"/>
          <w:lang w:val="uk-UA"/>
        </w:rPr>
      </w:pPr>
      <w:r w:rsidRPr="00A222CE">
        <w:rPr>
          <w:sz w:val="28"/>
          <w:szCs w:val="28"/>
          <w:lang w:val="uk-UA"/>
        </w:rPr>
        <w:t>привести свої нормативно-правові акти у відповідність із цим Законом;</w:t>
      </w:r>
    </w:p>
    <w:p w:rsidR="00A32978" w:rsidRPr="00A222CE" w:rsidRDefault="00A32978" w:rsidP="00952E5F">
      <w:pPr>
        <w:widowControl w:val="0"/>
        <w:autoSpaceDE w:val="0"/>
        <w:autoSpaceDN w:val="0"/>
        <w:adjustRightInd w:val="0"/>
        <w:spacing w:before="120"/>
        <w:ind w:firstLine="425"/>
        <w:jc w:val="both"/>
        <w:rPr>
          <w:sz w:val="28"/>
          <w:szCs w:val="28"/>
          <w:lang w:val="uk-UA"/>
        </w:rPr>
      </w:pPr>
      <w:bookmarkStart w:id="3" w:name="n329"/>
      <w:bookmarkEnd w:id="3"/>
      <w:r w:rsidRPr="00A222CE">
        <w:rPr>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32978" w:rsidRPr="00A222CE" w:rsidRDefault="00A32978" w:rsidP="00952E5F">
      <w:pPr>
        <w:spacing w:before="120"/>
        <w:ind w:firstLine="425"/>
        <w:jc w:val="both"/>
        <w:rPr>
          <w:sz w:val="28"/>
          <w:szCs w:val="28"/>
          <w:lang w:val="uk-UA"/>
        </w:rPr>
      </w:pPr>
    </w:p>
    <w:p w:rsidR="00A32978" w:rsidRPr="00A222CE" w:rsidRDefault="00A32978" w:rsidP="00952E5F">
      <w:pPr>
        <w:spacing w:before="120"/>
        <w:ind w:firstLine="425"/>
        <w:jc w:val="both"/>
        <w:rPr>
          <w:sz w:val="28"/>
          <w:szCs w:val="28"/>
          <w:lang w:val="uk-UA"/>
        </w:rPr>
      </w:pPr>
    </w:p>
    <w:p w:rsidR="00A32978" w:rsidRPr="00A222CE" w:rsidRDefault="00A32978" w:rsidP="00952E5F">
      <w:pPr>
        <w:pStyle w:val="HTML"/>
        <w:spacing w:before="120"/>
        <w:ind w:firstLine="425"/>
        <w:rPr>
          <w:rFonts w:ascii="Times New Roman" w:hAnsi="Times New Roman" w:cs="Times New Roman"/>
          <w:b/>
          <w:sz w:val="28"/>
          <w:szCs w:val="28"/>
          <w:lang w:val="uk-UA"/>
        </w:rPr>
      </w:pPr>
      <w:r w:rsidRPr="00A222CE">
        <w:rPr>
          <w:rFonts w:ascii="Times New Roman" w:hAnsi="Times New Roman" w:cs="Times New Roman"/>
          <w:b/>
          <w:sz w:val="28"/>
          <w:szCs w:val="28"/>
          <w:lang w:val="uk-UA"/>
        </w:rPr>
        <w:t>Голова Верховної Ради</w:t>
      </w:r>
    </w:p>
    <w:p w:rsidR="00A32978" w:rsidRPr="00A222CE" w:rsidRDefault="00A32978" w:rsidP="00952E5F">
      <w:pPr>
        <w:spacing w:before="120"/>
        <w:ind w:firstLine="425"/>
        <w:jc w:val="both"/>
        <w:rPr>
          <w:b/>
          <w:sz w:val="28"/>
          <w:szCs w:val="28"/>
          <w:lang w:val="uk-UA"/>
        </w:rPr>
      </w:pPr>
      <w:r w:rsidRPr="00A222CE">
        <w:rPr>
          <w:b/>
          <w:sz w:val="28"/>
          <w:szCs w:val="28"/>
          <w:lang w:val="uk-UA"/>
        </w:rPr>
        <w:t xml:space="preserve">             України</w:t>
      </w:r>
    </w:p>
    <w:p w:rsidR="002618F0" w:rsidRPr="00A222CE" w:rsidRDefault="002618F0" w:rsidP="00952E5F">
      <w:pPr>
        <w:pStyle w:val="a3"/>
        <w:spacing w:before="120" w:beforeAutospacing="0" w:after="0" w:afterAutospacing="0"/>
        <w:ind w:firstLine="425"/>
        <w:jc w:val="both"/>
        <w:rPr>
          <w:b/>
          <w:bCs/>
          <w:sz w:val="28"/>
          <w:szCs w:val="28"/>
          <w:lang w:val="uk-UA"/>
        </w:rPr>
      </w:pPr>
    </w:p>
    <w:sectPr w:rsidR="002618F0" w:rsidRPr="00A222CE" w:rsidSect="007E56D7">
      <w:headerReference w:type="even" r:id="rId9"/>
      <w:headerReference w:type="default" r:id="rId10"/>
      <w:footerReference w:type="even" r:id="rId11"/>
      <w:pgSz w:w="11906" w:h="16838"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A3" w:rsidRDefault="00664FA3">
      <w:r>
        <w:separator/>
      </w:r>
    </w:p>
  </w:endnote>
  <w:endnote w:type="continuationSeparator" w:id="0">
    <w:p w:rsidR="00664FA3" w:rsidRDefault="0066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E7" w:rsidRDefault="002026E7" w:rsidP="00FE5AC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26E7" w:rsidRDefault="002026E7" w:rsidP="00FE5AC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A3" w:rsidRDefault="00664FA3">
      <w:r>
        <w:separator/>
      </w:r>
    </w:p>
  </w:footnote>
  <w:footnote w:type="continuationSeparator" w:id="0">
    <w:p w:rsidR="00664FA3" w:rsidRDefault="0066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E7" w:rsidRDefault="002026E7"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26E7" w:rsidRDefault="002026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E7" w:rsidRDefault="002026E7"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10A">
      <w:rPr>
        <w:rStyle w:val="a5"/>
        <w:noProof/>
      </w:rPr>
      <w:t>3</w:t>
    </w:r>
    <w:r>
      <w:rPr>
        <w:rStyle w:val="a5"/>
      </w:rPr>
      <w:fldChar w:fldCharType="end"/>
    </w:r>
  </w:p>
  <w:p w:rsidR="002026E7" w:rsidRDefault="002026E7">
    <w:pPr>
      <w:pStyle w:val="a6"/>
      <w:rPr>
        <w:lang w:val="uk-UA"/>
      </w:rPr>
    </w:pPr>
  </w:p>
  <w:p w:rsidR="002026E7" w:rsidRPr="005B1AED" w:rsidRDefault="002026E7">
    <w:pPr>
      <w:pStyle w:val="a6"/>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07"/>
    <w:rsid w:val="000049BD"/>
    <w:rsid w:val="000101E6"/>
    <w:rsid w:val="00017626"/>
    <w:rsid w:val="00017BC1"/>
    <w:rsid w:val="00026963"/>
    <w:rsid w:val="000318D8"/>
    <w:rsid w:val="00032686"/>
    <w:rsid w:val="00041B76"/>
    <w:rsid w:val="0005399F"/>
    <w:rsid w:val="00054B28"/>
    <w:rsid w:val="00056F61"/>
    <w:rsid w:val="00065B6C"/>
    <w:rsid w:val="00065EFC"/>
    <w:rsid w:val="00080E57"/>
    <w:rsid w:val="00081F4E"/>
    <w:rsid w:val="00084576"/>
    <w:rsid w:val="00084D81"/>
    <w:rsid w:val="00092A13"/>
    <w:rsid w:val="00094202"/>
    <w:rsid w:val="000C2248"/>
    <w:rsid w:val="000D0365"/>
    <w:rsid w:val="000D25DA"/>
    <w:rsid w:val="000D5997"/>
    <w:rsid w:val="000E2115"/>
    <w:rsid w:val="001018FC"/>
    <w:rsid w:val="001037C3"/>
    <w:rsid w:val="00105338"/>
    <w:rsid w:val="00133B7C"/>
    <w:rsid w:val="00136926"/>
    <w:rsid w:val="00162040"/>
    <w:rsid w:val="00166CE5"/>
    <w:rsid w:val="00171D9B"/>
    <w:rsid w:val="00193A76"/>
    <w:rsid w:val="00197BDE"/>
    <w:rsid w:val="001B43FD"/>
    <w:rsid w:val="001B6935"/>
    <w:rsid w:val="001C5424"/>
    <w:rsid w:val="001C5B7A"/>
    <w:rsid w:val="001C5D5A"/>
    <w:rsid w:val="001C6DB0"/>
    <w:rsid w:val="001D2559"/>
    <w:rsid w:val="001E2D16"/>
    <w:rsid w:val="001F0866"/>
    <w:rsid w:val="001F4E41"/>
    <w:rsid w:val="002026E7"/>
    <w:rsid w:val="002145D3"/>
    <w:rsid w:val="0021519D"/>
    <w:rsid w:val="0021744F"/>
    <w:rsid w:val="00220FD4"/>
    <w:rsid w:val="00236465"/>
    <w:rsid w:val="00244481"/>
    <w:rsid w:val="002618F0"/>
    <w:rsid w:val="002671A9"/>
    <w:rsid w:val="00270C0C"/>
    <w:rsid w:val="002739FA"/>
    <w:rsid w:val="00280AFF"/>
    <w:rsid w:val="00284B66"/>
    <w:rsid w:val="00286544"/>
    <w:rsid w:val="00290563"/>
    <w:rsid w:val="00290A3F"/>
    <w:rsid w:val="002D2654"/>
    <w:rsid w:val="002D5F45"/>
    <w:rsid w:val="002D6520"/>
    <w:rsid w:val="002E7512"/>
    <w:rsid w:val="002F2C19"/>
    <w:rsid w:val="002F4CD4"/>
    <w:rsid w:val="003049FE"/>
    <w:rsid w:val="00323B03"/>
    <w:rsid w:val="00341F3A"/>
    <w:rsid w:val="00343D4F"/>
    <w:rsid w:val="0035602E"/>
    <w:rsid w:val="00356405"/>
    <w:rsid w:val="00366BD1"/>
    <w:rsid w:val="003771AA"/>
    <w:rsid w:val="00394966"/>
    <w:rsid w:val="003A7207"/>
    <w:rsid w:val="003B63E1"/>
    <w:rsid w:val="003D3BA0"/>
    <w:rsid w:val="003D7837"/>
    <w:rsid w:val="003D7CEE"/>
    <w:rsid w:val="003E3BC1"/>
    <w:rsid w:val="003E6099"/>
    <w:rsid w:val="003F3E8D"/>
    <w:rsid w:val="003F52F3"/>
    <w:rsid w:val="00401AB5"/>
    <w:rsid w:val="00404B32"/>
    <w:rsid w:val="004213E5"/>
    <w:rsid w:val="00422CAA"/>
    <w:rsid w:val="00423CC3"/>
    <w:rsid w:val="004319C6"/>
    <w:rsid w:val="004326FE"/>
    <w:rsid w:val="00442361"/>
    <w:rsid w:val="00447933"/>
    <w:rsid w:val="00457484"/>
    <w:rsid w:val="00477BE7"/>
    <w:rsid w:val="0049430A"/>
    <w:rsid w:val="004956DF"/>
    <w:rsid w:val="0049632B"/>
    <w:rsid w:val="004C1FC8"/>
    <w:rsid w:val="004D08B3"/>
    <w:rsid w:val="004D1BF8"/>
    <w:rsid w:val="004D764C"/>
    <w:rsid w:val="004E00C7"/>
    <w:rsid w:val="004E01D1"/>
    <w:rsid w:val="004E31D1"/>
    <w:rsid w:val="004E5A51"/>
    <w:rsid w:val="004F09F6"/>
    <w:rsid w:val="004F4453"/>
    <w:rsid w:val="005015C5"/>
    <w:rsid w:val="005067D9"/>
    <w:rsid w:val="0051100E"/>
    <w:rsid w:val="005307D3"/>
    <w:rsid w:val="00534B70"/>
    <w:rsid w:val="00541210"/>
    <w:rsid w:val="005630BF"/>
    <w:rsid w:val="00563668"/>
    <w:rsid w:val="0057292D"/>
    <w:rsid w:val="00584099"/>
    <w:rsid w:val="00591129"/>
    <w:rsid w:val="00594AC0"/>
    <w:rsid w:val="005A46BD"/>
    <w:rsid w:val="005B1AED"/>
    <w:rsid w:val="005D3457"/>
    <w:rsid w:val="005F65B5"/>
    <w:rsid w:val="00613CB5"/>
    <w:rsid w:val="00621E9F"/>
    <w:rsid w:val="00652F97"/>
    <w:rsid w:val="00655846"/>
    <w:rsid w:val="0066067E"/>
    <w:rsid w:val="00661E72"/>
    <w:rsid w:val="00663486"/>
    <w:rsid w:val="00664FA3"/>
    <w:rsid w:val="00677624"/>
    <w:rsid w:val="00677C66"/>
    <w:rsid w:val="006A1735"/>
    <w:rsid w:val="006B229F"/>
    <w:rsid w:val="006E0457"/>
    <w:rsid w:val="006F070C"/>
    <w:rsid w:val="006F4209"/>
    <w:rsid w:val="00704987"/>
    <w:rsid w:val="00713D9B"/>
    <w:rsid w:val="00717307"/>
    <w:rsid w:val="00724189"/>
    <w:rsid w:val="00726A75"/>
    <w:rsid w:val="007770D9"/>
    <w:rsid w:val="007932F9"/>
    <w:rsid w:val="007A7BD9"/>
    <w:rsid w:val="007D6672"/>
    <w:rsid w:val="007E4736"/>
    <w:rsid w:val="007E56D7"/>
    <w:rsid w:val="007F50E9"/>
    <w:rsid w:val="007F6BB6"/>
    <w:rsid w:val="007F7FAF"/>
    <w:rsid w:val="008128AA"/>
    <w:rsid w:val="008178F6"/>
    <w:rsid w:val="00830A0A"/>
    <w:rsid w:val="0083337F"/>
    <w:rsid w:val="0083355D"/>
    <w:rsid w:val="008424D7"/>
    <w:rsid w:val="008454F4"/>
    <w:rsid w:val="0085471B"/>
    <w:rsid w:val="008567FD"/>
    <w:rsid w:val="0086107B"/>
    <w:rsid w:val="00872133"/>
    <w:rsid w:val="00897F78"/>
    <w:rsid w:val="008A05A4"/>
    <w:rsid w:val="008A3D7A"/>
    <w:rsid w:val="008B27B1"/>
    <w:rsid w:val="008C1CA2"/>
    <w:rsid w:val="008C23E1"/>
    <w:rsid w:val="008E610A"/>
    <w:rsid w:val="008F354A"/>
    <w:rsid w:val="008F682B"/>
    <w:rsid w:val="009159BA"/>
    <w:rsid w:val="00936765"/>
    <w:rsid w:val="0094082D"/>
    <w:rsid w:val="00952E5F"/>
    <w:rsid w:val="0098059C"/>
    <w:rsid w:val="009826B1"/>
    <w:rsid w:val="00985B1A"/>
    <w:rsid w:val="0099526F"/>
    <w:rsid w:val="009B5000"/>
    <w:rsid w:val="009C5C52"/>
    <w:rsid w:val="009D1CD6"/>
    <w:rsid w:val="009D5678"/>
    <w:rsid w:val="009F608F"/>
    <w:rsid w:val="00A07AE1"/>
    <w:rsid w:val="00A11D73"/>
    <w:rsid w:val="00A222CE"/>
    <w:rsid w:val="00A233C0"/>
    <w:rsid w:val="00A31E17"/>
    <w:rsid w:val="00A32978"/>
    <w:rsid w:val="00A35C11"/>
    <w:rsid w:val="00A40060"/>
    <w:rsid w:val="00A413F7"/>
    <w:rsid w:val="00A604C4"/>
    <w:rsid w:val="00A6631E"/>
    <w:rsid w:val="00A76274"/>
    <w:rsid w:val="00A8209A"/>
    <w:rsid w:val="00A85EFA"/>
    <w:rsid w:val="00AA5514"/>
    <w:rsid w:val="00AC4C05"/>
    <w:rsid w:val="00AD7ADC"/>
    <w:rsid w:val="00AE41C6"/>
    <w:rsid w:val="00B33923"/>
    <w:rsid w:val="00B37475"/>
    <w:rsid w:val="00B632A8"/>
    <w:rsid w:val="00B70BD1"/>
    <w:rsid w:val="00B827BD"/>
    <w:rsid w:val="00B87307"/>
    <w:rsid w:val="00BB2FF2"/>
    <w:rsid w:val="00BB3418"/>
    <w:rsid w:val="00BF578B"/>
    <w:rsid w:val="00BF6E63"/>
    <w:rsid w:val="00C00C7B"/>
    <w:rsid w:val="00C0335B"/>
    <w:rsid w:val="00C15966"/>
    <w:rsid w:val="00C50E00"/>
    <w:rsid w:val="00C649F7"/>
    <w:rsid w:val="00C705E7"/>
    <w:rsid w:val="00CA0FFC"/>
    <w:rsid w:val="00CA1683"/>
    <w:rsid w:val="00CB4D03"/>
    <w:rsid w:val="00CC5D2B"/>
    <w:rsid w:val="00CE26B8"/>
    <w:rsid w:val="00CE5CE6"/>
    <w:rsid w:val="00CF3014"/>
    <w:rsid w:val="00D10C91"/>
    <w:rsid w:val="00D2614E"/>
    <w:rsid w:val="00D310DE"/>
    <w:rsid w:val="00D31817"/>
    <w:rsid w:val="00D50B3D"/>
    <w:rsid w:val="00D614DC"/>
    <w:rsid w:val="00D6312F"/>
    <w:rsid w:val="00D64739"/>
    <w:rsid w:val="00D656BC"/>
    <w:rsid w:val="00D84A11"/>
    <w:rsid w:val="00D85902"/>
    <w:rsid w:val="00D971C3"/>
    <w:rsid w:val="00DA0701"/>
    <w:rsid w:val="00DA545E"/>
    <w:rsid w:val="00DA7E24"/>
    <w:rsid w:val="00DC14A6"/>
    <w:rsid w:val="00DC1D8D"/>
    <w:rsid w:val="00DC240D"/>
    <w:rsid w:val="00DE2530"/>
    <w:rsid w:val="00E054D3"/>
    <w:rsid w:val="00E05722"/>
    <w:rsid w:val="00E068DA"/>
    <w:rsid w:val="00E14FB3"/>
    <w:rsid w:val="00E37C65"/>
    <w:rsid w:val="00E47DC8"/>
    <w:rsid w:val="00E67E8A"/>
    <w:rsid w:val="00E76A9A"/>
    <w:rsid w:val="00E76BB2"/>
    <w:rsid w:val="00E86FDB"/>
    <w:rsid w:val="00E956BA"/>
    <w:rsid w:val="00E95715"/>
    <w:rsid w:val="00EA1DCB"/>
    <w:rsid w:val="00EA2996"/>
    <w:rsid w:val="00EA57D8"/>
    <w:rsid w:val="00ED3D1E"/>
    <w:rsid w:val="00ED552E"/>
    <w:rsid w:val="00EF09F9"/>
    <w:rsid w:val="00EF313A"/>
    <w:rsid w:val="00F119FC"/>
    <w:rsid w:val="00F307B7"/>
    <w:rsid w:val="00F311D7"/>
    <w:rsid w:val="00F41FC7"/>
    <w:rsid w:val="00F53C0F"/>
    <w:rsid w:val="00F544A8"/>
    <w:rsid w:val="00F8306D"/>
    <w:rsid w:val="00F83F4E"/>
    <w:rsid w:val="00F8721A"/>
    <w:rsid w:val="00F87FFA"/>
    <w:rsid w:val="00F973DC"/>
    <w:rsid w:val="00FB362D"/>
    <w:rsid w:val="00FE03BE"/>
    <w:rsid w:val="00FE5ACD"/>
    <w:rsid w:val="00FF25E6"/>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AEA79E-446F-4A3A-B230-E38FE3E8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9826B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er"/>
    <w:basedOn w:val="a"/>
    <w:rsid w:val="00FE5ACD"/>
    <w:pPr>
      <w:tabs>
        <w:tab w:val="center" w:pos="4819"/>
        <w:tab w:val="right" w:pos="9639"/>
      </w:tabs>
    </w:pPr>
  </w:style>
  <w:style w:type="character" w:styleId="a5">
    <w:name w:val="page number"/>
    <w:basedOn w:val="a0"/>
    <w:rsid w:val="00FE5ACD"/>
  </w:style>
  <w:style w:type="paragraph" w:styleId="a6">
    <w:name w:val="header"/>
    <w:basedOn w:val="a"/>
    <w:rsid w:val="005B1AED"/>
    <w:pPr>
      <w:tabs>
        <w:tab w:val="center" w:pos="4819"/>
        <w:tab w:val="right" w:pos="9639"/>
      </w:tabs>
    </w:pPr>
  </w:style>
  <w:style w:type="character" w:customStyle="1" w:styleId="apple-converted-space">
    <w:name w:val="apple-converted-space"/>
    <w:basedOn w:val="a0"/>
    <w:rsid w:val="00056F61"/>
  </w:style>
  <w:style w:type="character" w:styleId="a7">
    <w:name w:val="Hyperlink"/>
    <w:basedOn w:val="a0"/>
    <w:rsid w:val="00056F61"/>
    <w:rPr>
      <w:color w:val="0000FF"/>
      <w:u w:val="single"/>
    </w:rPr>
  </w:style>
  <w:style w:type="paragraph" w:customStyle="1" w:styleId="rvps2">
    <w:name w:val="rvps2"/>
    <w:basedOn w:val="a"/>
    <w:rsid w:val="00C705E7"/>
    <w:pPr>
      <w:spacing w:before="100" w:beforeAutospacing="1" w:after="100" w:afterAutospacing="1"/>
    </w:pPr>
    <w:rPr>
      <w:lang w:val="uk-UA" w:eastAsia="uk-UA"/>
    </w:rPr>
  </w:style>
  <w:style w:type="character" w:customStyle="1" w:styleId="rvts9">
    <w:name w:val="rvts9"/>
    <w:basedOn w:val="a0"/>
    <w:rsid w:val="00C705E7"/>
  </w:style>
  <w:style w:type="character" w:customStyle="1" w:styleId="rvts46">
    <w:name w:val="rvts46"/>
    <w:basedOn w:val="a0"/>
    <w:rsid w:val="00C705E7"/>
  </w:style>
  <w:style w:type="paragraph" w:styleId="a8">
    <w:name w:val="Plain Text"/>
    <w:basedOn w:val="a"/>
    <w:link w:val="a9"/>
    <w:rsid w:val="005067D9"/>
    <w:rPr>
      <w:rFonts w:ascii="Courier New" w:hAnsi="Courier New"/>
      <w:sz w:val="20"/>
      <w:szCs w:val="20"/>
      <w:lang w:val="uk-UA"/>
    </w:rPr>
  </w:style>
  <w:style w:type="character" w:customStyle="1" w:styleId="a9">
    <w:name w:val="Текст Знак"/>
    <w:basedOn w:val="a0"/>
    <w:link w:val="a8"/>
    <w:locked/>
    <w:rsid w:val="005067D9"/>
    <w:rPr>
      <w:rFonts w:ascii="Courier New" w:hAnsi="Courier New"/>
      <w:lang w:val="uk-UA" w:eastAsia="ru-RU" w:bidi="ar-SA"/>
    </w:rPr>
  </w:style>
  <w:style w:type="paragraph" w:styleId="aa">
    <w:name w:val="Title"/>
    <w:basedOn w:val="a"/>
    <w:link w:val="ab"/>
    <w:uiPriority w:val="99"/>
    <w:qFormat/>
    <w:rsid w:val="005067D9"/>
    <w:pPr>
      <w:jc w:val="center"/>
    </w:pPr>
    <w:rPr>
      <w:b/>
      <w:sz w:val="28"/>
      <w:szCs w:val="20"/>
      <w:lang w:val="uk-UA"/>
    </w:rPr>
  </w:style>
  <w:style w:type="character" w:customStyle="1" w:styleId="CharStyle5">
    <w:name w:val="Char Style 5"/>
    <w:basedOn w:val="a0"/>
    <w:link w:val="Style4"/>
    <w:locked/>
    <w:rsid w:val="00136926"/>
    <w:rPr>
      <w:sz w:val="27"/>
      <w:szCs w:val="27"/>
      <w:shd w:val="clear" w:color="auto" w:fill="FFFFFF"/>
      <w:lang w:bidi="ar-SA"/>
    </w:rPr>
  </w:style>
  <w:style w:type="paragraph" w:customStyle="1" w:styleId="Style4">
    <w:name w:val="Style 4"/>
    <w:basedOn w:val="a"/>
    <w:link w:val="CharStyle5"/>
    <w:rsid w:val="00136926"/>
    <w:pPr>
      <w:widowControl w:val="0"/>
      <w:shd w:val="clear" w:color="auto" w:fill="FFFFFF"/>
      <w:spacing w:after="300" w:line="240" w:lineRule="atLeast"/>
    </w:pPr>
    <w:rPr>
      <w:sz w:val="27"/>
      <w:szCs w:val="27"/>
      <w:shd w:val="clear" w:color="auto" w:fill="FFFFFF"/>
      <w:lang w:val="en-US" w:eastAsia="en-US"/>
    </w:rPr>
  </w:style>
  <w:style w:type="character" w:customStyle="1" w:styleId="rvts37">
    <w:name w:val="rvts37"/>
    <w:basedOn w:val="a0"/>
    <w:rsid w:val="003D7CEE"/>
  </w:style>
  <w:style w:type="table" w:styleId="ac">
    <w:name w:val="Table Grid"/>
    <w:basedOn w:val="a1"/>
    <w:rsid w:val="00BB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link w:val="ae"/>
    <w:rsid w:val="001037C3"/>
    <w:pPr>
      <w:spacing w:before="120"/>
      <w:ind w:firstLine="567"/>
      <w:jc w:val="both"/>
    </w:pPr>
    <w:rPr>
      <w:rFonts w:ascii="Antiqua" w:eastAsia="Calibri" w:hAnsi="Antiqua"/>
      <w:sz w:val="26"/>
      <w:szCs w:val="20"/>
      <w:lang w:val="uk-UA"/>
    </w:rPr>
  </w:style>
  <w:style w:type="character" w:customStyle="1" w:styleId="ae">
    <w:name w:val="Нормальний текст Знак"/>
    <w:link w:val="ad"/>
    <w:locked/>
    <w:rsid w:val="001037C3"/>
    <w:rPr>
      <w:rFonts w:ascii="Antiqua" w:eastAsia="Calibri" w:hAnsi="Antiqua"/>
      <w:sz w:val="26"/>
      <w:lang w:val="uk-UA" w:eastAsia="ru-RU" w:bidi="ar-SA"/>
    </w:rPr>
  </w:style>
  <w:style w:type="character" w:customStyle="1" w:styleId="10">
    <w:name w:val="Заголовок 1 Знак"/>
    <w:basedOn w:val="a0"/>
    <w:link w:val="1"/>
    <w:rsid w:val="009826B1"/>
    <w:rPr>
      <w:rFonts w:asciiTheme="majorHAnsi" w:eastAsiaTheme="majorEastAsia" w:hAnsiTheme="majorHAnsi" w:cstheme="majorBidi"/>
      <w:b/>
      <w:bCs/>
      <w:kern w:val="32"/>
      <w:sz w:val="32"/>
      <w:szCs w:val="32"/>
      <w:lang w:val="ru-RU" w:eastAsia="ru-RU"/>
    </w:rPr>
  </w:style>
  <w:style w:type="paragraph" w:styleId="af">
    <w:name w:val="Balloon Text"/>
    <w:basedOn w:val="a"/>
    <w:link w:val="af0"/>
    <w:rsid w:val="00DA0701"/>
    <w:rPr>
      <w:rFonts w:ascii="Segoe UI" w:hAnsi="Segoe UI" w:cs="Segoe UI"/>
      <w:sz w:val="18"/>
      <w:szCs w:val="18"/>
    </w:rPr>
  </w:style>
  <w:style w:type="character" w:customStyle="1" w:styleId="af0">
    <w:name w:val="Текст у виносці Знак"/>
    <w:basedOn w:val="a0"/>
    <w:link w:val="af"/>
    <w:rsid w:val="00DA0701"/>
    <w:rPr>
      <w:rFonts w:ascii="Segoe UI" w:hAnsi="Segoe UI" w:cs="Segoe UI"/>
      <w:sz w:val="18"/>
      <w:szCs w:val="18"/>
      <w:lang w:val="ru-RU" w:eastAsia="ru-RU"/>
    </w:rPr>
  </w:style>
  <w:style w:type="paragraph" w:styleId="af1">
    <w:name w:val="No Spacing"/>
    <w:qFormat/>
    <w:rsid w:val="00A32978"/>
    <w:rPr>
      <w:sz w:val="24"/>
      <w:szCs w:val="24"/>
      <w:lang w:val="ru-RU"/>
    </w:rPr>
  </w:style>
  <w:style w:type="character" w:customStyle="1" w:styleId="HTML0">
    <w:name w:val="Стандартний HTML Знак"/>
    <w:link w:val="HTML"/>
    <w:rsid w:val="00A32978"/>
    <w:rPr>
      <w:rFonts w:ascii="Courier New" w:hAnsi="Courier New" w:cs="Courier New"/>
      <w:lang w:val="ru-RU" w:eastAsia="ru-RU"/>
    </w:rPr>
  </w:style>
  <w:style w:type="character" w:customStyle="1" w:styleId="ab">
    <w:name w:val="Назва Знак"/>
    <w:basedOn w:val="a0"/>
    <w:link w:val="aa"/>
    <w:uiPriority w:val="99"/>
    <w:rsid w:val="00AA5514"/>
    <w:rPr>
      <w:b/>
      <w:sz w:val="28"/>
      <w:lang w:val="uk-UA" w:eastAsia="ru-RU"/>
    </w:rPr>
  </w:style>
  <w:style w:type="paragraph" w:customStyle="1" w:styleId="af2">
    <w:name w:val="Установа"/>
    <w:basedOn w:val="a"/>
    <w:uiPriority w:val="99"/>
    <w:rsid w:val="00AA5514"/>
    <w:pPr>
      <w:keepNext/>
      <w:keepLines/>
      <w:spacing w:before="120"/>
      <w:jc w:val="center"/>
    </w:pPr>
    <w:rPr>
      <w:rFonts w:ascii="Antiqua" w:hAnsi="Antiqua" w:cs="Antiqua"/>
      <w:b/>
      <w:bCs/>
      <w:i/>
      <w:iCs/>
      <w:caps/>
      <w:sz w:val="48"/>
      <w:szCs w:val="4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49042">
      <w:marLeft w:val="0"/>
      <w:marRight w:val="0"/>
      <w:marTop w:val="0"/>
      <w:marBottom w:val="0"/>
      <w:divBdr>
        <w:top w:val="none" w:sz="0" w:space="0" w:color="auto"/>
        <w:left w:val="none" w:sz="0" w:space="0" w:color="auto"/>
        <w:bottom w:val="none" w:sz="0" w:space="0" w:color="auto"/>
        <w:right w:val="none" w:sz="0" w:space="0" w:color="auto"/>
      </w:divBdr>
    </w:div>
    <w:div w:id="1216312750">
      <w:marLeft w:val="0"/>
      <w:marRight w:val="0"/>
      <w:marTop w:val="0"/>
      <w:marBottom w:val="0"/>
      <w:divBdr>
        <w:top w:val="none" w:sz="0" w:space="0" w:color="auto"/>
        <w:left w:val="none" w:sz="0" w:space="0" w:color="auto"/>
        <w:bottom w:val="none" w:sz="0" w:space="0" w:color="auto"/>
        <w:right w:val="none" w:sz="0" w:space="0" w:color="auto"/>
      </w:divBdr>
    </w:div>
    <w:div w:id="1266376737">
      <w:marLeft w:val="0"/>
      <w:marRight w:val="0"/>
      <w:marTop w:val="0"/>
      <w:marBottom w:val="0"/>
      <w:divBdr>
        <w:top w:val="none" w:sz="0" w:space="0" w:color="auto"/>
        <w:left w:val="none" w:sz="0" w:space="0" w:color="auto"/>
        <w:bottom w:val="none" w:sz="0" w:space="0" w:color="auto"/>
        <w:right w:val="none" w:sz="0" w:space="0" w:color="auto"/>
      </w:divBdr>
    </w:div>
    <w:div w:id="1776251041">
      <w:marLeft w:val="0"/>
      <w:marRight w:val="0"/>
      <w:marTop w:val="0"/>
      <w:marBottom w:val="0"/>
      <w:divBdr>
        <w:top w:val="none" w:sz="0" w:space="0" w:color="auto"/>
        <w:left w:val="none" w:sz="0" w:space="0" w:color="auto"/>
        <w:bottom w:val="none" w:sz="0" w:space="0" w:color="auto"/>
        <w:right w:val="none" w:sz="0" w:space="0" w:color="auto"/>
      </w:divBdr>
    </w:div>
    <w:div w:id="2111849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65E63-85B0-4BEF-9712-4DB66194C4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701F11-AE82-4B2D-B365-55D6B400E834}">
  <ds:schemaRefs>
    <ds:schemaRef ds:uri="http://schemas.microsoft.com/sharepoint/v3/contenttype/forms"/>
  </ds:schemaRefs>
</ds:datastoreItem>
</file>

<file path=customXml/itemProps3.xml><?xml version="1.0" encoding="utf-8"?>
<ds:datastoreItem xmlns:ds="http://schemas.openxmlformats.org/officeDocument/2006/customXml" ds:itemID="{0617842C-BCFD-405E-82F1-77E71D50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3645</Words>
  <Characters>2078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ЗАКОН УКРАЇНИ</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2021-03-01T15:24:00Z</dcterms:created>
  <dcterms:modified xsi:type="dcterms:W3CDTF">2021-03-01T15:24:00Z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