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73" w:rsidRPr="00810FBB" w:rsidRDefault="00416373" w:rsidP="00D47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bookmarkStart w:id="0" w:name="_GoBack"/>
      <w:bookmarkEnd w:id="0"/>
      <w:r w:rsidRPr="00810FB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Порівняльна таблиця </w:t>
      </w:r>
    </w:p>
    <w:p w:rsidR="0061353D" w:rsidRPr="00810FBB" w:rsidRDefault="00416373" w:rsidP="00D47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0FB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 проекту Закону України «</w:t>
      </w:r>
      <w:r w:rsidR="0061353D" w:rsidRPr="00810FB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 внесення змін</w:t>
      </w:r>
      <w:r w:rsidR="00C4063B" w:rsidRPr="00810F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</w:t>
      </w:r>
      <w:r w:rsidR="0061353D" w:rsidRPr="00810F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A21F3" w:rsidRPr="00810FB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деяких</w:t>
      </w:r>
      <w:r w:rsidR="0061353D" w:rsidRPr="00810F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законодавчих актів України щодо сприяння розвитку сфери вирощування енергетичних рослин»</w:t>
      </w:r>
    </w:p>
    <w:tbl>
      <w:tblPr>
        <w:tblStyle w:val="TableNormal"/>
        <w:tblW w:w="149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7598"/>
      </w:tblGrid>
      <w:tr w:rsidR="00810FBB" w:rsidRPr="00810FBB" w:rsidTr="006D23A1">
        <w:trPr>
          <w:trHeight w:val="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1"/>
              <w:ind w:left="118" w:right="117"/>
              <w:contextualSpacing/>
              <w:outlineLvl w:val="0"/>
              <w:rPr>
                <w:rFonts w:ascii="Times New Roman" w:hAnsi="Times New Roman" w:cs="Times New Roman"/>
                <w:iCs/>
              </w:rPr>
            </w:pPr>
            <w:r w:rsidRPr="00810FBB">
              <w:rPr>
                <w:rFonts w:ascii="Times New Roman" w:hAnsi="Times New Roman" w:cs="Times New Roman"/>
                <w:iCs/>
              </w:rPr>
              <w:t xml:space="preserve">Зміст положення </w:t>
            </w:r>
            <w:r w:rsidRPr="00810FBB">
              <w:rPr>
                <w:rFonts w:ascii="Times New Roman" w:hAnsi="Times New Roman" w:cs="Times New Roman"/>
                <w:iCs/>
                <w:lang w:val="ru-RU"/>
              </w:rPr>
              <w:t>акта</w:t>
            </w:r>
            <w:r w:rsidRPr="00810FBB">
              <w:rPr>
                <w:rFonts w:ascii="Times New Roman" w:hAnsi="Times New Roman" w:cs="Times New Roman"/>
                <w:iCs/>
              </w:rPr>
              <w:t xml:space="preserve"> законодавства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after="0" w:line="240" w:lineRule="auto"/>
              <w:ind w:left="118" w:right="11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10FB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Зміст відповідного положення проекту акта</w:t>
            </w:r>
          </w:p>
        </w:tc>
      </w:tr>
      <w:tr w:rsidR="00810FBB" w:rsidRPr="00810FBB" w:rsidTr="00D47650">
        <w:trPr>
          <w:trHeight w:val="20"/>
        </w:trPr>
        <w:tc>
          <w:tcPr>
            <w:tcW w:w="1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BF8" w:rsidRPr="00810FBB" w:rsidRDefault="00402BF8" w:rsidP="00D47650">
            <w:pPr>
              <w:pStyle w:val="rvps2"/>
              <w:spacing w:before="0" w:beforeAutospacing="0" w:after="0" w:afterAutospacing="0"/>
              <w:contextualSpacing/>
              <w:jc w:val="center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Земельний кодекс України</w:t>
            </w:r>
          </w:p>
        </w:tc>
      </w:tr>
      <w:tr w:rsidR="00810FBB" w:rsidRPr="00810FBB" w:rsidTr="006D23A1">
        <w:trPr>
          <w:trHeight w:val="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Стаття 93. Право оренди земельної ділянки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12. Для ведення товарного сільськогосподарського виробництва, фермерського господарства, особистого селянського господарства строк оренди земельних ділянок сільськогосподарського призначення, які є земельними ділянками меліорованих земель і на яких проводиться гідротехнічна меліорація, не може бути меншим як 10 років.</w:t>
            </w:r>
          </w:p>
          <w:p w:rsidR="006D23A1" w:rsidRPr="00810FBB" w:rsidRDefault="00B67865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>
              <w:rPr>
                <w:rStyle w:val="rvts9"/>
                <w:b/>
                <w:sz w:val="28"/>
                <w:szCs w:val="28"/>
              </w:rPr>
              <w:t>відсутня</w:t>
            </w:r>
            <w:r w:rsidRPr="00810FBB">
              <w:rPr>
                <w:rStyle w:val="rvts9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Стаття 93. Право оренди земельної ділянки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12. Для ведення товарного сільськогосподарського виробництва, фермерського господарства, особистого селянського господарства строк оренди земельних ділянок сільськогосподарського призначення, які є земельними ділянками меліорованих земель і на яких проводиться гідротехнічна меліорація, не може бути меншим як 10 років.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b/>
                <w:kern w:val="1"/>
                <w:sz w:val="28"/>
                <w:szCs w:val="28"/>
              </w:rPr>
              <w:t>13. Строк оренди земельних ділянок сільськогосподарського призначення державної та комунальної власності, що надаються для вирощування енергетичних рослин, не може бути меншим як 20 років.</w:t>
            </w:r>
          </w:p>
        </w:tc>
      </w:tr>
      <w:tr w:rsidR="00810FBB" w:rsidRPr="00810FBB" w:rsidTr="006D23A1">
        <w:trPr>
          <w:trHeight w:val="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Стаття 134. Обов'язковість продажу земельних ділянок державної чи комунальної власності або прав на них на конкурентних засадах (земельних торгах)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 xml:space="preserve">1. 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</w:t>
            </w:r>
            <w:r w:rsidRPr="00810FBB">
              <w:rPr>
                <w:rStyle w:val="rvts9"/>
                <w:sz w:val="28"/>
                <w:szCs w:val="28"/>
              </w:rPr>
              <w:lastRenderedPageBreak/>
              <w:t>окремими лотами на конкурентних засадах (земельних торгах), крім випадків, встановлених частиною другою цієї статті.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2. Не підлягають продажу на конкурентних засадах (земельних торгах) земельні ділянки державної чи комунальної власності або права на них у разі: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розташування на земельних ділянках об'єктів нерухомого майна (будівель, споруд), що перебувають у власності фізичних або юридичних осіб;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надання в оренду земельних ділянок під полезахисними лісовими смугами, що обслуговують масив земель сільськогосподарського призначення.</w:t>
            </w:r>
          </w:p>
          <w:p w:rsidR="006D23A1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</w:p>
          <w:p w:rsidR="00B67865" w:rsidRPr="00810FBB" w:rsidRDefault="00B67865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>
              <w:rPr>
                <w:rStyle w:val="rvts9"/>
                <w:b/>
                <w:sz w:val="28"/>
                <w:szCs w:val="28"/>
              </w:rPr>
              <w:t>відсутня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lastRenderedPageBreak/>
              <w:t>Стаття 134. Обов'язковість продажу земельних ділянок державної чи комунальної власності або прав на них на конкурентних засадах (земельних торгах)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 xml:space="preserve">1. Земельні ділянки державної чи комунальної власності або права на них (оренда, суперфіцій, емфітевзис), у тому числі з розташованими на них об'єктами нерухомого майна державної або комунальної власності, підлягають продажу </w:t>
            </w:r>
            <w:r w:rsidRPr="00810FBB">
              <w:rPr>
                <w:rStyle w:val="rvts9"/>
                <w:sz w:val="28"/>
                <w:szCs w:val="28"/>
              </w:rPr>
              <w:lastRenderedPageBreak/>
              <w:t>окремими лотами на конкурентних засадах (земельних торгах), крім випадків, встановлених частиною другою цієї статті.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2. Не підлягають продажу на конкурентних засадах (земельних торгах) земельні ділянки державної чи комунальної власності або права на них у разі: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розташування на земельних ділянках об'єктів нерухомого майна (будівель, споруд), що перебувають у власності фізичних або юридичних осіб;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надання в оренду земельних ділянок під полезахисними лісовими смугами, що обслуговують масив земель сільськогосподарського призначення;</w:t>
            </w:r>
          </w:p>
          <w:p w:rsidR="006D23A1" w:rsidRPr="00810FBB" w:rsidRDefault="006D23A1" w:rsidP="00D47650">
            <w:pPr>
              <w:pStyle w:val="rvps2"/>
              <w:spacing w:before="0" w:beforeAutospacing="0" w:after="0" w:afterAutospacing="0"/>
              <w:contextualSpacing/>
              <w:jc w:val="both"/>
              <w:rPr>
                <w:rStyle w:val="rvts9"/>
                <w:sz w:val="28"/>
                <w:szCs w:val="28"/>
              </w:rPr>
            </w:pPr>
          </w:p>
          <w:p w:rsidR="006D23A1" w:rsidRPr="00810FBB" w:rsidRDefault="006D23A1" w:rsidP="006D23A1">
            <w:pPr>
              <w:pStyle w:val="a9"/>
              <w:ind w:right="133"/>
              <w:jc w:val="both"/>
              <w:rPr>
                <w:rStyle w:val="rvts9"/>
                <w:b/>
                <w:lang w:val="ru-RU"/>
              </w:rPr>
            </w:pPr>
            <w:r w:rsidRPr="00810FBB">
              <w:rPr>
                <w:rStyle w:val="rvts9"/>
                <w:b/>
                <w:lang w:val="ru-RU"/>
              </w:rPr>
              <w:t xml:space="preserve">надання в оренду малопродуктивних та деградованих земельних ділянок сільськогосподарського призначення для </w:t>
            </w:r>
            <w:r w:rsidR="00D24ED7" w:rsidRPr="00810FBB">
              <w:rPr>
                <w:rStyle w:val="rvts9"/>
                <w:b/>
                <w:lang w:val="ru-RU"/>
              </w:rPr>
              <w:t xml:space="preserve">заліснення, залужнення та </w:t>
            </w:r>
            <w:r w:rsidRPr="00810FBB">
              <w:rPr>
                <w:rStyle w:val="rvts9"/>
                <w:b/>
                <w:lang w:val="ru-RU"/>
              </w:rPr>
              <w:t xml:space="preserve">вирощування енергетичних рослин. </w:t>
            </w:r>
          </w:p>
        </w:tc>
      </w:tr>
      <w:tr w:rsidR="00810FBB" w:rsidRPr="00810FBB" w:rsidTr="00D47650">
        <w:trPr>
          <w:trHeight w:val="20"/>
        </w:trPr>
        <w:tc>
          <w:tcPr>
            <w:tcW w:w="1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1" w:rsidRPr="00810FBB" w:rsidRDefault="00744EC1" w:rsidP="00D47650">
            <w:pPr>
              <w:pStyle w:val="rvps2"/>
              <w:tabs>
                <w:tab w:val="left" w:pos="15300"/>
              </w:tabs>
              <w:spacing w:after="0"/>
              <w:contextualSpacing/>
              <w:jc w:val="center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lastRenderedPageBreak/>
              <w:t>Закон України «Про оренду землі»</w:t>
            </w:r>
          </w:p>
        </w:tc>
      </w:tr>
      <w:tr w:rsidR="00810FBB" w:rsidRPr="00810FBB" w:rsidTr="006D23A1">
        <w:trPr>
          <w:trHeight w:val="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Стаття 19. Строк дії договору оренди землі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Строк дії договору оренди землі визначається за згодою сторін, але не може перевищувати 50 років.</w:t>
            </w:r>
          </w:p>
          <w:p w:rsidR="006D23A1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  <w:p w:rsidR="00F646C2" w:rsidRPr="00810FBB" w:rsidRDefault="00F646C2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 xml:space="preserve">При передачі в оренду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строк дії договору оренди землі визначається </w:t>
            </w:r>
            <w:r w:rsidRPr="00810FBB">
              <w:rPr>
                <w:rStyle w:val="rvts9"/>
                <w:sz w:val="28"/>
                <w:szCs w:val="28"/>
              </w:rPr>
              <w:lastRenderedPageBreak/>
              <w:t>за згодою сторін, але не може бути меншим як 7 років.</w:t>
            </w:r>
          </w:p>
          <w:p w:rsidR="0097481B" w:rsidRDefault="0097481B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</w:p>
          <w:p w:rsidR="006D23A1" w:rsidRPr="00810FBB" w:rsidRDefault="00B67865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>
              <w:rPr>
                <w:rStyle w:val="rvts9"/>
                <w:b/>
                <w:sz w:val="28"/>
                <w:szCs w:val="28"/>
              </w:rPr>
              <w:t>в</w:t>
            </w:r>
            <w:r w:rsidR="006D23A1" w:rsidRPr="00810FBB">
              <w:rPr>
                <w:rStyle w:val="rvts9"/>
                <w:b/>
                <w:sz w:val="28"/>
                <w:szCs w:val="28"/>
              </w:rPr>
              <w:t xml:space="preserve">ідсутня 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A1" w:rsidRPr="00810FBB" w:rsidRDefault="006D23A1" w:rsidP="00D47650">
            <w:pPr>
              <w:pStyle w:val="rvps2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lastRenderedPageBreak/>
              <w:t>Стаття 19. Строк дії договору оренди землі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Строк дії договору оренди землі визначається за згодою сторін, але не може перевищувати 50 років.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 xml:space="preserve">При передачі в оренду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строк дії договору оренди землі визначається за згодою сторін, але не </w:t>
            </w:r>
            <w:r w:rsidRPr="00810FBB">
              <w:rPr>
                <w:rStyle w:val="rvts9"/>
                <w:sz w:val="28"/>
                <w:szCs w:val="28"/>
              </w:rPr>
              <w:lastRenderedPageBreak/>
              <w:t>може бути меншим як 7 років.</w:t>
            </w:r>
          </w:p>
          <w:p w:rsidR="006D23A1" w:rsidRPr="00810FBB" w:rsidRDefault="006D23A1" w:rsidP="00D47650">
            <w:pPr>
              <w:pStyle w:val="rvps2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</w:p>
          <w:p w:rsidR="006D23A1" w:rsidRPr="00810FBB" w:rsidRDefault="006D23A1" w:rsidP="006D23A1">
            <w:pPr>
              <w:pStyle w:val="rvps2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Строк оренди земельних ділянок сільськогосподарського призначення державної та комунальної власності, що надаються для вирощування енергетичних рослин, не може бути меншим як 20 років.</w:t>
            </w:r>
          </w:p>
        </w:tc>
      </w:tr>
      <w:tr w:rsidR="00810FBB" w:rsidRPr="00810FBB" w:rsidTr="00D47650">
        <w:trPr>
          <w:trHeight w:val="20"/>
        </w:trPr>
        <w:tc>
          <w:tcPr>
            <w:tcW w:w="1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EC1" w:rsidRPr="00810FBB" w:rsidRDefault="00744EC1" w:rsidP="00D47650">
            <w:pPr>
              <w:pStyle w:val="rvps2"/>
              <w:spacing w:after="0"/>
              <w:contextualSpacing/>
              <w:jc w:val="center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lastRenderedPageBreak/>
              <w:t>Закон України «Про альтернативні джерела енергії»</w:t>
            </w:r>
          </w:p>
        </w:tc>
      </w:tr>
      <w:tr w:rsidR="00810FBB" w:rsidRPr="00810FBB" w:rsidTr="006D23A1">
        <w:trPr>
          <w:trHeight w:val="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Стаття 1. Визначення термінів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У цьому Законі наведені нижче терміни вживаються у такому значенні:</w:t>
            </w:r>
          </w:p>
          <w:p w:rsidR="006D23A1" w:rsidRPr="00810FBB" w:rsidRDefault="00B67865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>
              <w:rPr>
                <w:rStyle w:val="rvts9"/>
                <w:b/>
                <w:sz w:val="28"/>
                <w:szCs w:val="28"/>
              </w:rPr>
              <w:t>відсутня</w:t>
            </w:r>
            <w:r w:rsidRPr="00810FBB">
              <w:rPr>
                <w:rStyle w:val="rvts9"/>
                <w:b/>
                <w:sz w:val="28"/>
                <w:szCs w:val="28"/>
              </w:rPr>
              <w:t xml:space="preserve"> 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Стаття 1. Визначення термінів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У цьому Законі наведені нижче терміни вживаються у такому значенні:</w:t>
            </w:r>
          </w:p>
          <w:p w:rsidR="006D23A1" w:rsidRPr="00810FBB" w:rsidRDefault="006D23A1" w:rsidP="006D23A1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енергетичні рослини – багаторічні рослини, коренева система яких залишається у ґрунті після збору врожаю</w:t>
            </w:r>
            <w:r w:rsidRPr="00810FBB">
              <w:rPr>
                <w:sz w:val="28"/>
                <w:szCs w:val="28"/>
              </w:rPr>
              <w:t xml:space="preserve"> </w:t>
            </w:r>
            <w:r w:rsidRPr="00810FBB">
              <w:rPr>
                <w:rStyle w:val="rvts9"/>
                <w:b/>
                <w:sz w:val="28"/>
                <w:szCs w:val="28"/>
              </w:rPr>
              <w:t>та продовжує процес вегетації, що вирощуються у плантаційний спосіб з періодичністю збору врожаю від 1 до 5 років з метою отримання біомаси</w:t>
            </w:r>
            <w:r w:rsidR="00D24ED7" w:rsidRPr="00810FBB">
              <w:rPr>
                <w:rStyle w:val="rvts9"/>
                <w:b/>
                <w:sz w:val="28"/>
                <w:szCs w:val="28"/>
              </w:rPr>
              <w:t xml:space="preserve"> (у вигляді продуктів рослинництва)</w:t>
            </w:r>
            <w:r w:rsidRPr="00810FBB">
              <w:rPr>
                <w:rStyle w:val="rvts9"/>
                <w:b/>
                <w:sz w:val="28"/>
                <w:szCs w:val="28"/>
              </w:rPr>
              <w:t xml:space="preserve"> для подальшого виробництва енергії з неї.</w:t>
            </w:r>
          </w:p>
        </w:tc>
      </w:tr>
      <w:tr w:rsidR="00810FBB" w:rsidRPr="00810FBB" w:rsidTr="006D23A1">
        <w:trPr>
          <w:trHeight w:val="20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t>Стаття 9. Стимулювання виробництва та споживання енергії, виробленої з альтернативних джерел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Стимулювання виробництва та споживання енергії, виробленої з альтернативних джерел, здійснюється відповідно до законодавства шляхом: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застосування економічних важелів і стимулів, передбачених законодавством про енергозбереження та охорону довкілля, з метою розширення використання альтернативних джерел енергії;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створення сприятливих економічних умов для спорудження об’єктів альтернативної енергетики.</w:t>
            </w:r>
          </w:p>
          <w:p w:rsidR="00B67865" w:rsidRDefault="00B67865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>
              <w:rPr>
                <w:rStyle w:val="rvts9"/>
                <w:b/>
                <w:sz w:val="28"/>
                <w:szCs w:val="28"/>
              </w:rPr>
              <w:lastRenderedPageBreak/>
              <w:t>відсутня</w:t>
            </w:r>
            <w:r w:rsidRPr="00810FBB">
              <w:rPr>
                <w:rStyle w:val="rvts9"/>
                <w:sz w:val="28"/>
                <w:szCs w:val="28"/>
              </w:rPr>
              <w:t xml:space="preserve"> </w:t>
            </w:r>
          </w:p>
          <w:p w:rsidR="00B67865" w:rsidRDefault="00B67865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lastRenderedPageBreak/>
              <w:t>Стаття 9. Стимулювання виробництва та споживання енергії, виробленої з альтернативних джерел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Стимулювання виробництва та споживання енергії, виробленої з альтернативних джерел, здійснюється відповідно до законодавства шляхом: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застосування економічних важелів і стимулів, передбачених законодавством про енергозбереження та охорону довкілля, з метою розширення використання альтернативних джерел енергії;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створення сприятливих економічних умов для спорудження об’єктів альтернативної енергетики.</w:t>
            </w:r>
          </w:p>
          <w:p w:rsidR="006D23A1" w:rsidRPr="00810FBB" w:rsidRDefault="006D23A1" w:rsidP="00D47650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b/>
                <w:sz w:val="28"/>
                <w:szCs w:val="28"/>
              </w:rPr>
              <w:lastRenderedPageBreak/>
              <w:t>державної підтримки вирощування енергетичних рослин у порядку, визначеному Кабінетом Міністрів України.</w:t>
            </w:r>
          </w:p>
          <w:p w:rsidR="006D23A1" w:rsidRPr="00810FBB" w:rsidRDefault="006D23A1" w:rsidP="006D23A1">
            <w:pPr>
              <w:pStyle w:val="rvps2"/>
              <w:spacing w:after="0"/>
              <w:contextualSpacing/>
              <w:jc w:val="both"/>
              <w:rPr>
                <w:rStyle w:val="rvts9"/>
                <w:b/>
                <w:sz w:val="28"/>
                <w:szCs w:val="28"/>
              </w:rPr>
            </w:pPr>
            <w:r w:rsidRPr="00810FBB">
              <w:rPr>
                <w:rStyle w:val="rvts9"/>
                <w:sz w:val="28"/>
                <w:szCs w:val="28"/>
              </w:rPr>
              <w:t>(…)</w:t>
            </w:r>
          </w:p>
        </w:tc>
      </w:tr>
    </w:tbl>
    <w:p w:rsidR="008A581E" w:rsidRDefault="008A581E" w:rsidP="008A581E">
      <w:pPr>
        <w:pStyle w:val="ad"/>
        <w:ind w:firstLine="708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8A581E" w:rsidRPr="008A581E" w:rsidRDefault="008A581E" w:rsidP="008A581E">
      <w:pPr>
        <w:widowControl w:val="0"/>
        <w:autoSpaceDE w:val="0"/>
        <w:autoSpaceDN w:val="0"/>
        <w:adjustRightInd w:val="0"/>
        <w:rPr>
          <w:rStyle w:val="rvts9"/>
          <w:rFonts w:ascii="Times New Roman" w:hAnsi="Times New Roman"/>
          <w:b/>
          <w:color w:val="auto"/>
          <w:sz w:val="28"/>
          <w:szCs w:val="28"/>
        </w:rPr>
      </w:pP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>Народні депутати України</w:t>
      </w: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ab/>
        <w:t xml:space="preserve">                                                   </w:t>
      </w:r>
      <w:r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</w:t>
      </w: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     Шинкаренко І.А.</w:t>
      </w:r>
    </w:p>
    <w:p w:rsidR="008A581E" w:rsidRPr="008A581E" w:rsidRDefault="008A581E" w:rsidP="008A581E">
      <w:pPr>
        <w:widowControl w:val="0"/>
        <w:autoSpaceDE w:val="0"/>
        <w:autoSpaceDN w:val="0"/>
        <w:adjustRightInd w:val="0"/>
        <w:rPr>
          <w:rStyle w:val="rvts9"/>
          <w:rFonts w:ascii="Times New Roman" w:hAnsi="Times New Roman"/>
          <w:b/>
          <w:color w:val="auto"/>
          <w:sz w:val="28"/>
          <w:szCs w:val="28"/>
        </w:rPr>
      </w:pPr>
    </w:p>
    <w:p w:rsidR="008A581E" w:rsidRPr="008A581E" w:rsidRDefault="008A581E" w:rsidP="008A581E">
      <w:pPr>
        <w:widowControl w:val="0"/>
        <w:autoSpaceDE w:val="0"/>
        <w:autoSpaceDN w:val="0"/>
        <w:adjustRightInd w:val="0"/>
        <w:rPr>
          <w:rStyle w:val="rvts9"/>
          <w:rFonts w:ascii="Times New Roman" w:hAnsi="Times New Roman"/>
          <w:b/>
          <w:color w:val="auto"/>
          <w:sz w:val="28"/>
          <w:szCs w:val="28"/>
        </w:rPr>
      </w:pP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</w:t>
      </w:r>
      <w:r>
        <w:rPr>
          <w:rStyle w:val="rvts9"/>
          <w:rFonts w:ascii="Times New Roman" w:hAnsi="Times New Roman"/>
          <w:b/>
          <w:color w:val="auto"/>
          <w:sz w:val="28"/>
          <w:szCs w:val="28"/>
          <w:lang w:val="en-US"/>
        </w:rPr>
        <w:t xml:space="preserve">                                                    </w:t>
      </w: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Ткаченко О.М.</w:t>
      </w:r>
    </w:p>
    <w:p w:rsidR="008A581E" w:rsidRPr="008A581E" w:rsidRDefault="008A581E" w:rsidP="008A581E">
      <w:pPr>
        <w:widowControl w:val="0"/>
        <w:autoSpaceDE w:val="0"/>
        <w:autoSpaceDN w:val="0"/>
        <w:adjustRightInd w:val="0"/>
        <w:rPr>
          <w:rStyle w:val="rvts9"/>
          <w:rFonts w:ascii="Times New Roman" w:hAnsi="Times New Roman"/>
          <w:b/>
          <w:color w:val="auto"/>
          <w:sz w:val="28"/>
          <w:szCs w:val="28"/>
        </w:rPr>
      </w:pP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</w:t>
      </w:r>
    </w:p>
    <w:p w:rsidR="008A581E" w:rsidRPr="008A581E" w:rsidRDefault="008A581E" w:rsidP="008A581E">
      <w:pPr>
        <w:widowControl w:val="0"/>
        <w:autoSpaceDE w:val="0"/>
        <w:autoSpaceDN w:val="0"/>
        <w:adjustRightInd w:val="0"/>
        <w:rPr>
          <w:rStyle w:val="rvts9"/>
          <w:rFonts w:ascii="Times New Roman" w:hAnsi="Times New Roman"/>
          <w:b/>
          <w:color w:val="auto"/>
          <w:sz w:val="28"/>
          <w:szCs w:val="28"/>
        </w:rPr>
      </w:pP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</w:t>
      </w:r>
      <w:r>
        <w:rPr>
          <w:rStyle w:val="rvts9"/>
          <w:rFonts w:ascii="Times New Roman" w:hAnsi="Times New Roman"/>
          <w:b/>
          <w:color w:val="auto"/>
          <w:sz w:val="28"/>
          <w:szCs w:val="28"/>
          <w:lang w:val="en-US"/>
        </w:rPr>
        <w:t xml:space="preserve">                                                    </w:t>
      </w: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Славицька А.К.</w:t>
      </w:r>
    </w:p>
    <w:p w:rsidR="008A581E" w:rsidRPr="008A581E" w:rsidRDefault="008A581E" w:rsidP="008A581E">
      <w:pPr>
        <w:widowControl w:val="0"/>
        <w:autoSpaceDE w:val="0"/>
        <w:autoSpaceDN w:val="0"/>
        <w:adjustRightInd w:val="0"/>
        <w:rPr>
          <w:rStyle w:val="rvts9"/>
          <w:rFonts w:ascii="Times New Roman" w:hAnsi="Times New Roman"/>
          <w:b/>
          <w:color w:val="auto"/>
          <w:sz w:val="28"/>
          <w:szCs w:val="28"/>
        </w:rPr>
      </w:pPr>
      <w:r w:rsidRPr="008A581E">
        <w:rPr>
          <w:rStyle w:val="rvts9"/>
          <w:rFonts w:ascii="Times New Roman" w:hAnsi="Times New Roman"/>
          <w:b/>
          <w:color w:val="auto"/>
          <w:sz w:val="28"/>
          <w:szCs w:val="28"/>
        </w:rPr>
        <w:t xml:space="preserve">                   </w:t>
      </w:r>
    </w:p>
    <w:p w:rsidR="008A581E" w:rsidRDefault="008A581E" w:rsidP="008A581E">
      <w:pPr>
        <w:pStyle w:val="af"/>
        <w:tabs>
          <w:tab w:val="left" w:pos="6480"/>
        </w:tabs>
        <w:ind w:left="6804"/>
        <w:rPr>
          <w:rFonts w:ascii="Times New Roman" w:hAnsi="Times New Roman" w:cs="Times New Roman"/>
          <w:sz w:val="24"/>
          <w:szCs w:val="24"/>
        </w:rPr>
      </w:pPr>
    </w:p>
    <w:p w:rsidR="00D47650" w:rsidRPr="00810FBB" w:rsidRDefault="00D47650" w:rsidP="008A581E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D47650" w:rsidRPr="00810FBB" w:rsidSect="00D47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/>
      <w:pgMar w:top="117" w:right="851" w:bottom="17" w:left="1418" w:header="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C4" w:rsidRDefault="00B611C4" w:rsidP="00D47650">
      <w:pPr>
        <w:pBdr>
          <w:bottom w:val="none" w:sz="96" w:space="0" w:color="FFFFFF" w:frame="1"/>
        </w:pBdr>
        <w:spacing w:after="0" w:line="240" w:lineRule="auto"/>
      </w:pPr>
      <w:r>
        <w:separator/>
      </w:r>
    </w:p>
  </w:endnote>
  <w:endnote w:type="continuationSeparator" w:id="0">
    <w:p w:rsidR="00B611C4" w:rsidRDefault="00B611C4" w:rsidP="00D47650">
      <w:pPr>
        <w:pBdr>
          <w:bottom w:val="none" w:sz="96" w:space="0" w:color="FFFFFF" w:frame="1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93" w:rsidRDefault="00416373" w:rsidP="002A70BA">
    <w:pPr>
      <w:pStyle w:val="a4"/>
      <w:framePr w:wrap="around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04393" w:rsidRDefault="00B611C4" w:rsidP="003043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72" w:rsidRDefault="00B611C4" w:rsidP="003043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  <w:jc w:val="center"/>
    </w:pPr>
  </w:p>
  <w:p w:rsidR="005C5D51" w:rsidRDefault="005C5D51" w:rsidP="003043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  <w:jc w:val="center"/>
    </w:pPr>
  </w:p>
  <w:p w:rsidR="005C5D51" w:rsidRDefault="005C5D51" w:rsidP="003043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C4" w:rsidRDefault="00B611C4" w:rsidP="00D47650">
      <w:pPr>
        <w:pBdr>
          <w:bottom w:val="none" w:sz="96" w:space="0" w:color="FFFFFF" w:frame="1"/>
        </w:pBdr>
        <w:spacing w:after="0" w:line="240" w:lineRule="auto"/>
      </w:pPr>
      <w:r>
        <w:separator/>
      </w:r>
    </w:p>
  </w:footnote>
  <w:footnote w:type="continuationSeparator" w:id="0">
    <w:p w:rsidR="00B611C4" w:rsidRDefault="00B611C4" w:rsidP="00D47650">
      <w:pPr>
        <w:pBdr>
          <w:bottom w:val="none" w:sz="96" w:space="0" w:color="FFFFFF" w:frame="1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50" w:rsidRDefault="00D47650" w:rsidP="00D47650">
    <w:pPr>
      <w:pStyle w:val="ab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946838"/>
      <w:docPartObj>
        <w:docPartGallery w:val="Page Numbers (Top of Page)"/>
        <w:docPartUnique/>
      </w:docPartObj>
    </w:sdtPr>
    <w:sdtEndPr/>
    <w:sdtContent>
      <w:p w:rsidR="00D47650" w:rsidRDefault="00D47650" w:rsidP="00D47650">
        <w:pPr>
          <w:pStyle w:val="ab"/>
          <w:pBdr>
            <w:bottom w:val="none" w:sz="96" w:space="0" w:color="FFFFFF" w:frame="1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CB" w:rsidRPr="00F27CCB">
          <w:rPr>
            <w:noProof/>
            <w:lang w:val="ru-RU"/>
          </w:rPr>
          <w:t>1</w:t>
        </w:r>
        <w:r>
          <w:fldChar w:fldCharType="end"/>
        </w:r>
      </w:p>
    </w:sdtContent>
  </w:sdt>
  <w:p w:rsidR="00D47650" w:rsidRDefault="00D47650" w:rsidP="00D47650">
    <w:pPr>
      <w:pStyle w:val="ab"/>
      <w:pBdr>
        <w:bottom w:val="none" w:sz="96" w:space="0" w:color="FFFFFF" w:fram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28784"/>
      <w:docPartObj>
        <w:docPartGallery w:val="Page Numbers (Top of Page)"/>
        <w:docPartUnique/>
      </w:docPartObj>
    </w:sdtPr>
    <w:sdtEndPr/>
    <w:sdtContent>
      <w:p w:rsidR="00D47650" w:rsidRDefault="00D476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7650">
          <w:rPr>
            <w:noProof/>
            <w:lang w:val="ru-RU"/>
          </w:rPr>
          <w:t>1</w:t>
        </w:r>
        <w:r>
          <w:fldChar w:fldCharType="end"/>
        </w:r>
      </w:p>
    </w:sdtContent>
  </w:sdt>
  <w:p w:rsidR="00D47650" w:rsidRDefault="00D4765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60"/>
    <w:rsid w:val="000013F6"/>
    <w:rsid w:val="000254A7"/>
    <w:rsid w:val="00052D0B"/>
    <w:rsid w:val="000570AD"/>
    <w:rsid w:val="00147626"/>
    <w:rsid w:val="0014799C"/>
    <w:rsid w:val="001500B5"/>
    <w:rsid w:val="00173AF7"/>
    <w:rsid w:val="001844E7"/>
    <w:rsid w:val="001A21F3"/>
    <w:rsid w:val="001A3193"/>
    <w:rsid w:val="001B1AB0"/>
    <w:rsid w:val="001E1907"/>
    <w:rsid w:val="001F6261"/>
    <w:rsid w:val="001F655A"/>
    <w:rsid w:val="00251136"/>
    <w:rsid w:val="002B3412"/>
    <w:rsid w:val="002F5082"/>
    <w:rsid w:val="003063F5"/>
    <w:rsid w:val="00321051"/>
    <w:rsid w:val="00323FB2"/>
    <w:rsid w:val="003427DF"/>
    <w:rsid w:val="003452D4"/>
    <w:rsid w:val="003B4BD5"/>
    <w:rsid w:val="003C431E"/>
    <w:rsid w:val="003E5C8F"/>
    <w:rsid w:val="003F4E0A"/>
    <w:rsid w:val="003F5750"/>
    <w:rsid w:val="00402A64"/>
    <w:rsid w:val="00402BF8"/>
    <w:rsid w:val="0041523D"/>
    <w:rsid w:val="00416373"/>
    <w:rsid w:val="00434990"/>
    <w:rsid w:val="004352A9"/>
    <w:rsid w:val="00437A54"/>
    <w:rsid w:val="00460FEB"/>
    <w:rsid w:val="004625CB"/>
    <w:rsid w:val="00472430"/>
    <w:rsid w:val="00490102"/>
    <w:rsid w:val="00491B70"/>
    <w:rsid w:val="004D2F48"/>
    <w:rsid w:val="004E300F"/>
    <w:rsid w:val="004F40FC"/>
    <w:rsid w:val="005113AA"/>
    <w:rsid w:val="005148C9"/>
    <w:rsid w:val="0054169F"/>
    <w:rsid w:val="00553CB0"/>
    <w:rsid w:val="00565A60"/>
    <w:rsid w:val="00590BFA"/>
    <w:rsid w:val="005C5B16"/>
    <w:rsid w:val="005C5D51"/>
    <w:rsid w:val="00603F97"/>
    <w:rsid w:val="0061353D"/>
    <w:rsid w:val="00625816"/>
    <w:rsid w:val="0063693C"/>
    <w:rsid w:val="00664A9B"/>
    <w:rsid w:val="006B415F"/>
    <w:rsid w:val="006C14BE"/>
    <w:rsid w:val="006D23A1"/>
    <w:rsid w:val="00705B23"/>
    <w:rsid w:val="00731A19"/>
    <w:rsid w:val="00743D44"/>
    <w:rsid w:val="00744EC1"/>
    <w:rsid w:val="00793C19"/>
    <w:rsid w:val="007B403B"/>
    <w:rsid w:val="007E4300"/>
    <w:rsid w:val="0080283F"/>
    <w:rsid w:val="00810FBB"/>
    <w:rsid w:val="00846018"/>
    <w:rsid w:val="008636A7"/>
    <w:rsid w:val="008722A3"/>
    <w:rsid w:val="00882EEC"/>
    <w:rsid w:val="008A581E"/>
    <w:rsid w:val="008F4861"/>
    <w:rsid w:val="008F5262"/>
    <w:rsid w:val="00912D63"/>
    <w:rsid w:val="009258BD"/>
    <w:rsid w:val="00926089"/>
    <w:rsid w:val="0097481B"/>
    <w:rsid w:val="00981166"/>
    <w:rsid w:val="00994AA9"/>
    <w:rsid w:val="009A3BEE"/>
    <w:rsid w:val="009C7E06"/>
    <w:rsid w:val="009E27CD"/>
    <w:rsid w:val="00A05178"/>
    <w:rsid w:val="00A163C6"/>
    <w:rsid w:val="00A21CDB"/>
    <w:rsid w:val="00AD4AE3"/>
    <w:rsid w:val="00AF4A9C"/>
    <w:rsid w:val="00B16345"/>
    <w:rsid w:val="00B32B73"/>
    <w:rsid w:val="00B4704D"/>
    <w:rsid w:val="00B5408E"/>
    <w:rsid w:val="00B611C4"/>
    <w:rsid w:val="00B67865"/>
    <w:rsid w:val="00B70402"/>
    <w:rsid w:val="00B90CEE"/>
    <w:rsid w:val="00BB0293"/>
    <w:rsid w:val="00BE0845"/>
    <w:rsid w:val="00BF36DC"/>
    <w:rsid w:val="00C059F5"/>
    <w:rsid w:val="00C1674C"/>
    <w:rsid w:val="00C4063B"/>
    <w:rsid w:val="00C541E3"/>
    <w:rsid w:val="00CF28B9"/>
    <w:rsid w:val="00D125F7"/>
    <w:rsid w:val="00D17736"/>
    <w:rsid w:val="00D24ED7"/>
    <w:rsid w:val="00D36819"/>
    <w:rsid w:val="00D42FAD"/>
    <w:rsid w:val="00D47650"/>
    <w:rsid w:val="00D63936"/>
    <w:rsid w:val="00D75489"/>
    <w:rsid w:val="00D75C6B"/>
    <w:rsid w:val="00DB36A1"/>
    <w:rsid w:val="00DE5CE1"/>
    <w:rsid w:val="00DE6CCC"/>
    <w:rsid w:val="00DF2133"/>
    <w:rsid w:val="00E42D33"/>
    <w:rsid w:val="00E6477B"/>
    <w:rsid w:val="00EA1A8A"/>
    <w:rsid w:val="00EB0B5F"/>
    <w:rsid w:val="00EB6544"/>
    <w:rsid w:val="00EE29BE"/>
    <w:rsid w:val="00F17C44"/>
    <w:rsid w:val="00F27CCB"/>
    <w:rsid w:val="00F34B51"/>
    <w:rsid w:val="00F477AA"/>
    <w:rsid w:val="00F52E16"/>
    <w:rsid w:val="00F52F49"/>
    <w:rsid w:val="00F646C2"/>
    <w:rsid w:val="00F70305"/>
    <w:rsid w:val="00F87C56"/>
    <w:rsid w:val="00F87DED"/>
    <w:rsid w:val="00F915A7"/>
    <w:rsid w:val="00F91A25"/>
    <w:rsid w:val="00FE6E6D"/>
    <w:rsid w:val="00FF1B08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4B28A-15C0-4F5E-B757-29BEEF8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41637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spacing w:after="0" w:line="240" w:lineRule="auto"/>
      <w:jc w:val="center"/>
      <w:outlineLvl w:val="0"/>
    </w:pPr>
    <w:rPr>
      <w:rFonts w:ascii="Courier" w:hAnsi="Courier" w:cs="Courier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6373"/>
    <w:rPr>
      <w:rFonts w:ascii="Courier" w:eastAsia="Arial Unicode MS" w:hAnsi="Courier" w:cs="Courier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16373"/>
    <w:rPr>
      <w:rFonts w:cs="Times New Roman"/>
      <w:u w:val="single"/>
    </w:rPr>
  </w:style>
  <w:style w:type="table" w:customStyle="1" w:styleId="TableNormal">
    <w:name w:val="Table Normal"/>
    <w:uiPriority w:val="99"/>
    <w:rsid w:val="004163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rsid w:val="004163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416373"/>
    <w:rPr>
      <w:rFonts w:ascii="Calibri" w:eastAsia="Arial Unicode MS" w:hAnsi="Calibri" w:cs="Calibri"/>
      <w:color w:val="000000"/>
      <w:u w:color="000000"/>
      <w:lang w:eastAsia="uk-UA"/>
    </w:rPr>
  </w:style>
  <w:style w:type="paragraph" w:customStyle="1" w:styleId="rvps2">
    <w:name w:val="rvps2"/>
    <w:basedOn w:val="a"/>
    <w:uiPriority w:val="99"/>
    <w:rsid w:val="004163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vts9">
    <w:name w:val="rvts9"/>
    <w:basedOn w:val="a0"/>
    <w:uiPriority w:val="99"/>
    <w:rsid w:val="00416373"/>
    <w:rPr>
      <w:rFonts w:cs="Times New Roman"/>
    </w:rPr>
  </w:style>
  <w:style w:type="character" w:styleId="a6">
    <w:name w:val="page number"/>
    <w:basedOn w:val="a0"/>
    <w:uiPriority w:val="99"/>
    <w:rsid w:val="0041637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2D63"/>
    <w:rPr>
      <w:rFonts w:ascii="Segoe UI" w:eastAsia="Arial Unicode MS" w:hAnsi="Segoe UI" w:cs="Segoe UI"/>
      <w:color w:val="000000"/>
      <w:sz w:val="18"/>
      <w:szCs w:val="18"/>
      <w:u w:color="000000"/>
      <w:lang w:eastAsia="uk-UA"/>
    </w:rPr>
  </w:style>
  <w:style w:type="paragraph" w:styleId="a9">
    <w:name w:val="Body Text"/>
    <w:basedOn w:val="a"/>
    <w:link w:val="aa"/>
    <w:uiPriority w:val="1"/>
    <w:qFormat/>
    <w:rsid w:val="00F17C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a">
    <w:name w:val="Основний текст Знак"/>
    <w:basedOn w:val="a0"/>
    <w:link w:val="a9"/>
    <w:uiPriority w:val="1"/>
    <w:rsid w:val="00F17C4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D4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D47650"/>
    <w:rPr>
      <w:rFonts w:ascii="Calibri" w:eastAsia="Arial Unicode MS" w:hAnsi="Calibri" w:cs="Calibri"/>
      <w:color w:val="000000"/>
      <w:u w:color="000000"/>
      <w:lang w:eastAsia="uk-UA"/>
    </w:rPr>
  </w:style>
  <w:style w:type="paragraph" w:styleId="ad">
    <w:name w:val="Body Text Indent"/>
    <w:basedOn w:val="a"/>
    <w:link w:val="ae"/>
    <w:uiPriority w:val="99"/>
    <w:semiHidden/>
    <w:unhideWhenUsed/>
    <w:rsid w:val="008A581E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8A581E"/>
    <w:rPr>
      <w:rFonts w:ascii="Calibri" w:eastAsia="Arial Unicode MS" w:hAnsi="Calibri" w:cs="Calibri"/>
      <w:color w:val="000000"/>
      <w:u w:color="000000"/>
      <w:lang w:eastAsia="uk-UA"/>
    </w:rPr>
  </w:style>
  <w:style w:type="paragraph" w:styleId="af">
    <w:name w:val="Plain Text"/>
    <w:basedOn w:val="a"/>
    <w:link w:val="af0"/>
    <w:uiPriority w:val="99"/>
    <w:semiHidden/>
    <w:unhideWhenUsed/>
    <w:rsid w:val="008A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ascii="Courier New" w:eastAsia="MS Mincho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8A581E"/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3215-DD37-41C5-9E2F-C1773A666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2BE3B-2376-40B1-A655-96AC9F0B2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6EA59-06F3-4548-9952-C00F608D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0DE4D-A392-4C68-AD5D-6DC32412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4218</Words>
  <Characters>2405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2021-03-15T12:28:00Z</dcterms:created>
  <dcterms:modified xsi:type="dcterms:W3CDTF">2021-03-15T12:28:00Z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