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5E" w:rsidRPr="00055B42" w:rsidRDefault="00982C23" w:rsidP="00982C23">
      <w:pPr>
        <w:spacing w:after="0" w:line="240" w:lineRule="auto"/>
        <w:ind w:left="5664" w:firstLine="708"/>
        <w:jc w:val="center"/>
        <w:rPr>
          <w:rFonts w:ascii="Times New Roman" w:eastAsia="Times" w:hAnsi="Times New Roman"/>
          <w:b/>
          <w:bCs/>
          <w:sz w:val="24"/>
          <w:szCs w:val="24"/>
          <w:lang w:val="en-US" w:eastAsia="uk-UA"/>
        </w:rPr>
      </w:pPr>
      <w:bookmarkStart w:id="0" w:name="_GoBack"/>
      <w:bookmarkEnd w:id="0"/>
      <w:r>
        <w:rPr>
          <w:rFonts w:ascii="Times New Roman" w:eastAsia="Times" w:hAnsi="Times New Roman"/>
          <w:b/>
          <w:bCs/>
          <w:sz w:val="24"/>
          <w:szCs w:val="24"/>
          <w:lang w:val="en-US" w:eastAsia="uk-UA"/>
        </w:rPr>
        <w:t xml:space="preserve">     </w:t>
      </w:r>
      <w:r w:rsidR="005B745E" w:rsidRPr="00F817D5">
        <w:rPr>
          <w:rFonts w:ascii="Times New Roman" w:eastAsia="Times" w:hAnsi="Times New Roman"/>
          <w:b/>
          <w:bCs/>
          <w:sz w:val="24"/>
          <w:szCs w:val="24"/>
          <w:lang w:eastAsia="uk-UA"/>
        </w:rPr>
        <w:t xml:space="preserve">До реєстр. № </w:t>
      </w:r>
      <w:r w:rsidR="00055B42">
        <w:rPr>
          <w:rFonts w:ascii="Times New Roman" w:eastAsia="Times" w:hAnsi="Times New Roman"/>
          <w:b/>
          <w:bCs/>
          <w:sz w:val="24"/>
          <w:szCs w:val="24"/>
          <w:lang w:val="en-US" w:eastAsia="uk-UA"/>
        </w:rPr>
        <w:t>5248</w:t>
      </w:r>
    </w:p>
    <w:p w:rsidR="00982C23" w:rsidRPr="00982C23" w:rsidRDefault="00982C23" w:rsidP="00982C23">
      <w:pPr>
        <w:spacing w:after="0" w:line="240" w:lineRule="auto"/>
        <w:jc w:val="center"/>
        <w:rPr>
          <w:rFonts w:ascii="Times New Roman" w:eastAsia="Times" w:hAnsi="Times New Roman"/>
          <w:b/>
          <w:bCs/>
          <w:vanish/>
          <w:sz w:val="24"/>
          <w:szCs w:val="24"/>
          <w:lang w:val="en-US" w:eastAsia="uk-UA"/>
          <w:specVanish/>
        </w:rPr>
      </w:pP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" w:hAnsi="Times New Roman"/>
          <w:b/>
          <w:bCs/>
          <w:sz w:val="24"/>
          <w:szCs w:val="24"/>
          <w:lang w:val="en-US" w:eastAsia="uk-UA"/>
        </w:rPr>
        <w:t xml:space="preserve">    </w:t>
      </w:r>
    </w:p>
    <w:p w:rsidR="006267DA" w:rsidRPr="00101DF6" w:rsidRDefault="006267DA" w:rsidP="00982C23">
      <w:pPr>
        <w:spacing w:after="0" w:line="240" w:lineRule="auto"/>
        <w:jc w:val="center"/>
        <w:rPr>
          <w:rFonts w:ascii="Times New Roman" w:eastAsia="Times" w:hAnsi="Times New Roman"/>
          <w:bCs/>
          <w:sz w:val="24"/>
          <w:szCs w:val="24"/>
          <w:lang w:eastAsia="uk-UA"/>
        </w:rPr>
      </w:pPr>
      <w:r w:rsidRPr="00101DF6">
        <w:rPr>
          <w:rFonts w:ascii="Times New Roman" w:eastAsia="Times" w:hAnsi="Times New Roman"/>
          <w:bCs/>
          <w:sz w:val="24"/>
          <w:szCs w:val="24"/>
          <w:lang w:eastAsia="uk-UA"/>
        </w:rPr>
        <w:t>(друге читання)</w:t>
      </w:r>
    </w:p>
    <w:p w:rsidR="0003435E" w:rsidRPr="00A96D16" w:rsidRDefault="0003435E" w:rsidP="002C3936">
      <w:pPr>
        <w:spacing w:after="0" w:line="240" w:lineRule="auto"/>
        <w:ind w:left="7080"/>
        <w:jc w:val="both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</w:p>
    <w:p w:rsidR="00B553A4" w:rsidRDefault="00B553A4" w:rsidP="00884DF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84DF9" w:rsidRPr="00982C23" w:rsidRDefault="00884DF9" w:rsidP="00884DF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82C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З а у в а ж е н н я </w:t>
      </w:r>
    </w:p>
    <w:p w:rsidR="00055B42" w:rsidRPr="00055B42" w:rsidRDefault="00884DF9" w:rsidP="00055B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2C23">
        <w:rPr>
          <w:rFonts w:ascii="Times New Roman" w:eastAsia="Times New Roman" w:hAnsi="Times New Roman"/>
          <w:b/>
          <w:sz w:val="28"/>
          <w:szCs w:val="28"/>
          <w:lang w:eastAsia="ru-RU"/>
        </w:rPr>
        <w:t>до проекту Закону України</w:t>
      </w:r>
      <w:r w:rsidR="00A96D16" w:rsidRPr="00982C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5B42" w:rsidRPr="00055B42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деяких законодавчих актів України щодо переходу прав на земельну ділянку у зв`язку з переходом прав на об'єкт нерухомого майна, який на ній розміщено</w:t>
      </w:r>
    </w:p>
    <w:p w:rsidR="00884DF9" w:rsidRDefault="00884DF9" w:rsidP="00884DF9">
      <w:pPr>
        <w:rPr>
          <w:rFonts w:ascii="Times New Roman" w:hAnsi="Times New Roman"/>
          <w:sz w:val="28"/>
          <w:szCs w:val="28"/>
        </w:rPr>
      </w:pPr>
    </w:p>
    <w:p w:rsidR="00AF6FC4" w:rsidRDefault="00884DF9" w:rsidP="00AF6F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101DF6">
        <w:rPr>
          <w:sz w:val="28"/>
          <w:szCs w:val="28"/>
        </w:rPr>
        <w:t>У Головному юридичному управлінні здійснено юридичну експертизу підготовленого до другого читання Комітетом Верховної Ради України з питань аграрної та земельної політики однойменного законопроекту</w:t>
      </w:r>
      <w:r>
        <w:rPr>
          <w:sz w:val="28"/>
          <w:szCs w:val="28"/>
        </w:rPr>
        <w:t>.</w:t>
      </w:r>
      <w:r w:rsidR="00982C23" w:rsidRPr="00982C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нашу думку,  запропонована редакція законопроекту мі</w:t>
      </w:r>
      <w:r w:rsidR="00AF6FC4">
        <w:rPr>
          <w:sz w:val="28"/>
          <w:szCs w:val="28"/>
        </w:rPr>
        <w:t>стить суттєві концептуальні та правові недоліки,</w:t>
      </w:r>
      <w:r w:rsidR="00AF6FC4" w:rsidRPr="00AF6FC4">
        <w:rPr>
          <w:sz w:val="28"/>
          <w:szCs w:val="28"/>
        </w:rPr>
        <w:t xml:space="preserve"> </w:t>
      </w:r>
      <w:r w:rsidR="00AF6FC4">
        <w:rPr>
          <w:sz w:val="28"/>
          <w:szCs w:val="28"/>
        </w:rPr>
        <w:t xml:space="preserve">що може призвести до зловживань у сфері земельних відносин та порушень прав власників та користувачів земельних ділянок. </w:t>
      </w:r>
      <w:r w:rsidR="00AF6FC4" w:rsidRPr="009135BB">
        <w:rPr>
          <w:sz w:val="28"/>
          <w:szCs w:val="28"/>
        </w:rPr>
        <w:t>На</w:t>
      </w:r>
      <w:r w:rsidR="00AF6FC4">
        <w:rPr>
          <w:sz w:val="28"/>
          <w:szCs w:val="28"/>
        </w:rPr>
        <w:t>голошуємо, що</w:t>
      </w:r>
      <w:r w:rsidR="00AF6FC4" w:rsidRPr="009135BB">
        <w:rPr>
          <w:sz w:val="28"/>
          <w:szCs w:val="28"/>
        </w:rPr>
        <w:t xml:space="preserve"> частинами першою і другою статті 14 Конституції України встановлено, що право власності на землю гарантується; це право набувається і реалізується громадянами, юридичними особами та державою виключно відповідно до закону. </w:t>
      </w:r>
      <w:r w:rsidR="00AF6FC4">
        <w:rPr>
          <w:sz w:val="28"/>
          <w:szCs w:val="28"/>
        </w:rPr>
        <w:t>Статтею 41 Конституції України встан</w:t>
      </w:r>
      <w:r w:rsidR="000D286A">
        <w:rPr>
          <w:sz w:val="28"/>
          <w:szCs w:val="28"/>
        </w:rPr>
        <w:t>овлено гарантії права власності, відповідно до цієї статті п</w:t>
      </w:r>
      <w:r w:rsidR="00AF6FC4" w:rsidRPr="00AF6FC4">
        <w:rPr>
          <w:sz w:val="28"/>
          <w:szCs w:val="28"/>
        </w:rPr>
        <w:t>раво приватної власності є непорушним.</w:t>
      </w:r>
      <w:r w:rsidR="000D286A">
        <w:rPr>
          <w:sz w:val="28"/>
          <w:szCs w:val="28"/>
        </w:rPr>
        <w:t xml:space="preserve"> </w:t>
      </w:r>
      <w:r w:rsidR="00F1759C">
        <w:rPr>
          <w:sz w:val="28"/>
          <w:szCs w:val="28"/>
        </w:rPr>
        <w:t>Враховуючи зазначене та зважаючи на важливість належного державного регулювання у сфері земельних відносин вважаємо  за необхідне висловити наступні зауваження до законопроекту.</w:t>
      </w:r>
    </w:p>
    <w:p w:rsidR="00EC3859" w:rsidRPr="000D286A" w:rsidRDefault="000D286A" w:rsidP="000D286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5B42">
        <w:rPr>
          <w:rFonts w:ascii="Times New Roman" w:hAnsi="Times New Roman"/>
          <w:sz w:val="28"/>
          <w:szCs w:val="28"/>
        </w:rPr>
        <w:t>Законопроект спрямований на</w:t>
      </w:r>
      <w:r w:rsidR="00884DF9">
        <w:rPr>
          <w:rFonts w:ascii="Times New Roman" w:hAnsi="Times New Roman"/>
          <w:sz w:val="28"/>
          <w:szCs w:val="28"/>
        </w:rPr>
        <w:t xml:space="preserve"> </w:t>
      </w:r>
      <w:r w:rsidR="00E44F5F">
        <w:rPr>
          <w:rFonts w:ascii="Times New Roman" w:hAnsi="Times New Roman"/>
          <w:sz w:val="28"/>
          <w:szCs w:val="28"/>
        </w:rPr>
        <w:t>змін</w:t>
      </w:r>
      <w:r w:rsidR="00055B42">
        <w:rPr>
          <w:rFonts w:ascii="Times New Roman" w:hAnsi="Times New Roman"/>
          <w:sz w:val="28"/>
          <w:szCs w:val="28"/>
        </w:rPr>
        <w:t>у</w:t>
      </w:r>
      <w:r w:rsidR="00E44F5F">
        <w:rPr>
          <w:rFonts w:ascii="Times New Roman" w:hAnsi="Times New Roman"/>
          <w:sz w:val="28"/>
          <w:szCs w:val="28"/>
        </w:rPr>
        <w:t xml:space="preserve"> законодавства,</w:t>
      </w:r>
      <w:r w:rsidR="00884DF9">
        <w:rPr>
          <w:rFonts w:ascii="Times New Roman" w:hAnsi="Times New Roman"/>
          <w:sz w:val="28"/>
          <w:szCs w:val="28"/>
        </w:rPr>
        <w:t xml:space="preserve"> за яки</w:t>
      </w:r>
      <w:r w:rsidR="00A96D16">
        <w:rPr>
          <w:rFonts w:ascii="Times New Roman" w:hAnsi="Times New Roman"/>
          <w:sz w:val="28"/>
          <w:szCs w:val="28"/>
        </w:rPr>
        <w:t xml:space="preserve">м набуття права власності </w:t>
      </w:r>
      <w:r w:rsidR="00AB1ECB">
        <w:rPr>
          <w:rFonts w:ascii="Times New Roman" w:hAnsi="Times New Roman"/>
          <w:sz w:val="28"/>
          <w:szCs w:val="28"/>
        </w:rPr>
        <w:t xml:space="preserve">(господарського відання, оперативного управління) </w:t>
      </w:r>
      <w:r w:rsidR="00A96D16">
        <w:rPr>
          <w:rFonts w:ascii="Times New Roman" w:hAnsi="Times New Roman"/>
          <w:sz w:val="28"/>
          <w:szCs w:val="28"/>
        </w:rPr>
        <w:t>на об'</w:t>
      </w:r>
      <w:r w:rsidR="00055B42">
        <w:rPr>
          <w:rFonts w:ascii="Times New Roman" w:hAnsi="Times New Roman"/>
          <w:sz w:val="28"/>
          <w:szCs w:val="28"/>
        </w:rPr>
        <w:t xml:space="preserve">єкт нерухомого </w:t>
      </w:r>
      <w:r w:rsidR="00055B42" w:rsidRPr="00055B42">
        <w:rPr>
          <w:rFonts w:ascii="Times New Roman" w:eastAsia="Times New Roman" w:hAnsi="Times New Roman"/>
          <w:sz w:val="28"/>
          <w:szCs w:val="28"/>
          <w:lang w:eastAsia="uk-UA"/>
        </w:rPr>
        <w:t>майна (жилий будинок (крім багатоквартирного), іншу будівлю або споруду), об’єкт незавершеного будівництва  або частки у праві спільної власності на такий об’єкт (далі у сукупності – об’єкт</w:t>
      </w:r>
      <w:r w:rsidR="00055B42">
        <w:rPr>
          <w:rFonts w:ascii="Times New Roman" w:hAnsi="Times New Roman"/>
          <w:sz w:val="28"/>
          <w:szCs w:val="28"/>
        </w:rPr>
        <w:t xml:space="preserve"> нерухомості) </w:t>
      </w:r>
      <w:r>
        <w:rPr>
          <w:rFonts w:ascii="Times New Roman" w:hAnsi="Times New Roman"/>
          <w:sz w:val="28"/>
          <w:szCs w:val="28"/>
        </w:rPr>
        <w:t>забезпечує</w:t>
      </w:r>
      <w:r w:rsidR="00884DF9">
        <w:rPr>
          <w:rFonts w:ascii="Times New Roman" w:hAnsi="Times New Roman"/>
          <w:sz w:val="28"/>
          <w:szCs w:val="28"/>
        </w:rPr>
        <w:t xml:space="preserve"> новому власнику також права на земельну ділянку, на якій розміщений відповідний об</w:t>
      </w:r>
      <w:r w:rsidR="00A96D16">
        <w:rPr>
          <w:rFonts w:ascii="Times New Roman" w:hAnsi="Times New Roman"/>
          <w:sz w:val="28"/>
          <w:szCs w:val="28"/>
        </w:rPr>
        <w:t>'</w:t>
      </w:r>
      <w:r w:rsidR="00884DF9">
        <w:rPr>
          <w:rFonts w:ascii="Times New Roman" w:hAnsi="Times New Roman"/>
          <w:sz w:val="28"/>
          <w:szCs w:val="28"/>
        </w:rPr>
        <w:t>єкт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977821" w:rsidRPr="000D286A">
        <w:rPr>
          <w:rFonts w:ascii="Times New Roman" w:eastAsia="Times New Roman" w:hAnsi="Times New Roman"/>
          <w:sz w:val="28"/>
          <w:szCs w:val="28"/>
          <w:lang w:eastAsia="uk-UA"/>
        </w:rPr>
        <w:t>Проте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>законопроект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 не 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>передбачає встановлення будь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>-як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 кореляці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 між роз</w:t>
      </w:r>
      <w:r w:rsidR="009C0E16" w:rsidRPr="000D286A">
        <w:rPr>
          <w:rFonts w:ascii="Times New Roman" w:eastAsia="Times New Roman" w:hAnsi="Times New Roman"/>
          <w:sz w:val="28"/>
          <w:szCs w:val="28"/>
          <w:lang w:eastAsia="uk-UA"/>
        </w:rPr>
        <w:t>мірами і вартістю придбаного об'</w:t>
      </w:r>
      <w:r w:rsidR="00884DF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єкта нерухомості  та розмірами і вартістю земельної ділянки, на якій він розміщений. 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>На практиці це означатиме, зокрема, можливість заволодіння земельними ділянками, розмір та вартість яких є неадекватно великими порівняно з розміщен</w:t>
      </w:r>
      <w:r w:rsidR="00767B9C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ими 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на них </w:t>
      </w:r>
      <w:r w:rsidR="00767B9C" w:rsidRPr="000D286A">
        <w:rPr>
          <w:rFonts w:ascii="Times New Roman" w:eastAsia="Times New Roman" w:hAnsi="Times New Roman"/>
          <w:sz w:val="28"/>
          <w:szCs w:val="28"/>
          <w:lang w:eastAsia="uk-UA"/>
        </w:rPr>
        <w:t>об'єктами нерухомо</w:t>
      </w:r>
      <w:r w:rsidR="00AB1ECB">
        <w:rPr>
          <w:rFonts w:ascii="Times New Roman" w:eastAsia="Times New Roman" w:hAnsi="Times New Roman"/>
          <w:sz w:val="28"/>
          <w:szCs w:val="28"/>
          <w:lang w:eastAsia="uk-UA"/>
        </w:rPr>
        <w:t>сті</w:t>
      </w:r>
      <w:r w:rsidR="00673FD1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EC385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На нашу думку, встановлення таких умов придбання земельних </w:t>
      </w:r>
      <w:r w:rsidR="00EC3859" w:rsidRPr="000D286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ділянок не відповідає </w:t>
      </w:r>
      <w:r w:rsidR="008737E4" w:rsidRPr="000D286A">
        <w:rPr>
          <w:rFonts w:ascii="Times New Roman" w:eastAsia="Times New Roman" w:hAnsi="Times New Roman"/>
          <w:sz w:val="28"/>
          <w:szCs w:val="28"/>
          <w:lang w:eastAsia="uk-UA"/>
        </w:rPr>
        <w:t>частині першій</w:t>
      </w:r>
      <w:r w:rsidR="00195E1F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C385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373 Цивільного кодексу України, яка визначає </w:t>
      </w:r>
      <w:bookmarkStart w:id="1" w:name="n2023"/>
      <w:bookmarkEnd w:id="1"/>
      <w:r w:rsidR="00EC3859" w:rsidRPr="000D286A">
        <w:rPr>
          <w:rFonts w:ascii="Times New Roman" w:eastAsia="Times New Roman" w:hAnsi="Times New Roman"/>
          <w:sz w:val="28"/>
          <w:szCs w:val="28"/>
          <w:lang w:eastAsia="uk-UA"/>
        </w:rPr>
        <w:t>земл</w:t>
      </w:r>
      <w:r w:rsidR="008737E4" w:rsidRPr="000D286A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="00EC3859" w:rsidRPr="000D286A">
        <w:rPr>
          <w:rFonts w:ascii="Times New Roman" w:eastAsia="Times New Roman" w:hAnsi="Times New Roman"/>
          <w:sz w:val="28"/>
          <w:szCs w:val="28"/>
          <w:lang w:eastAsia="uk-UA"/>
        </w:rPr>
        <w:t xml:space="preserve"> основним національним багатством, що перебуває під особливою охороною держави.</w:t>
      </w:r>
    </w:p>
    <w:p w:rsidR="00C14321" w:rsidRDefault="00977821" w:rsidP="00664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82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E19E9" w:rsidRPr="00977821">
        <w:rPr>
          <w:rFonts w:ascii="Times New Roman" w:hAnsi="Times New Roman"/>
          <w:sz w:val="28"/>
          <w:szCs w:val="28"/>
        </w:rPr>
        <w:t xml:space="preserve">У пропонованих положеннях </w:t>
      </w:r>
      <w:r w:rsidR="007B652A">
        <w:rPr>
          <w:rFonts w:ascii="Times New Roman" w:hAnsi="Times New Roman"/>
          <w:sz w:val="28"/>
          <w:szCs w:val="28"/>
        </w:rPr>
        <w:t xml:space="preserve">законопроекту </w:t>
      </w:r>
      <w:r w:rsidR="00CE19E9" w:rsidRPr="00977821">
        <w:rPr>
          <w:rFonts w:ascii="Times New Roman" w:hAnsi="Times New Roman"/>
          <w:sz w:val="28"/>
          <w:szCs w:val="28"/>
        </w:rPr>
        <w:t>н</w:t>
      </w:r>
      <w:r w:rsidR="00884DF9" w:rsidRPr="00977821">
        <w:rPr>
          <w:rFonts w:ascii="Times New Roman" w:hAnsi="Times New Roman"/>
          <w:sz w:val="28"/>
          <w:szCs w:val="28"/>
        </w:rPr>
        <w:t>е враховано, що земельна ділянка</w:t>
      </w:r>
      <w:r w:rsidR="007B652A" w:rsidRPr="0018063D">
        <w:rPr>
          <w:rFonts w:ascii="Times New Roman" w:hAnsi="Times New Roman"/>
          <w:color w:val="365F91"/>
          <w:sz w:val="28"/>
          <w:szCs w:val="28"/>
        </w:rPr>
        <w:t xml:space="preserve">, </w:t>
      </w:r>
      <w:r w:rsidR="007B652A" w:rsidRPr="00230AA3">
        <w:rPr>
          <w:rFonts w:ascii="Times New Roman" w:hAnsi="Times New Roman"/>
          <w:sz w:val="28"/>
          <w:szCs w:val="28"/>
        </w:rPr>
        <w:t>як випливає зі статей 79, 79</w:t>
      </w:r>
      <w:r w:rsidR="007B652A" w:rsidRPr="003171A9">
        <w:rPr>
          <w:rFonts w:ascii="Times New Roman" w:hAnsi="Times New Roman"/>
          <w:sz w:val="28"/>
          <w:szCs w:val="28"/>
          <w:vertAlign w:val="superscript"/>
        </w:rPr>
        <w:t>1</w:t>
      </w:r>
      <w:r w:rsidR="007B652A" w:rsidRPr="00230AA3">
        <w:rPr>
          <w:rFonts w:ascii="Times New Roman" w:hAnsi="Times New Roman"/>
          <w:sz w:val="28"/>
          <w:szCs w:val="28"/>
        </w:rPr>
        <w:t xml:space="preserve"> Земельного кодексу України</w:t>
      </w:r>
      <w:r w:rsidR="007B652A">
        <w:rPr>
          <w:rFonts w:ascii="Times New Roman" w:hAnsi="Times New Roman"/>
          <w:sz w:val="28"/>
          <w:szCs w:val="28"/>
        </w:rPr>
        <w:t>,</w:t>
      </w:r>
      <w:r w:rsidR="00195E1F" w:rsidRPr="00195E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859">
        <w:rPr>
          <w:rFonts w:ascii="Times New Roman" w:hAnsi="Times New Roman"/>
          <w:sz w:val="28"/>
          <w:szCs w:val="28"/>
        </w:rPr>
        <w:t xml:space="preserve">статті 181 Цивільного кодексу України, </w:t>
      </w:r>
      <w:r w:rsidR="0095098B">
        <w:rPr>
          <w:rFonts w:ascii="Times New Roman" w:hAnsi="Times New Roman"/>
          <w:sz w:val="28"/>
          <w:szCs w:val="28"/>
        </w:rPr>
        <w:t>є самостійним об'</w:t>
      </w:r>
      <w:r w:rsidR="00884DF9" w:rsidRPr="00977821">
        <w:rPr>
          <w:rFonts w:ascii="Times New Roman" w:hAnsi="Times New Roman"/>
          <w:sz w:val="28"/>
          <w:szCs w:val="28"/>
        </w:rPr>
        <w:t>єктом</w:t>
      </w:r>
      <w:r w:rsidR="00C14321">
        <w:rPr>
          <w:rFonts w:ascii="Times New Roman" w:hAnsi="Times New Roman"/>
          <w:sz w:val="28"/>
          <w:szCs w:val="28"/>
        </w:rPr>
        <w:t xml:space="preserve"> права власності</w:t>
      </w:r>
      <w:r w:rsidR="00EC3859">
        <w:rPr>
          <w:rFonts w:ascii="Times New Roman" w:hAnsi="Times New Roman"/>
          <w:sz w:val="28"/>
          <w:szCs w:val="28"/>
        </w:rPr>
        <w:t>. Всупереч цьому, законопроект передбачає виникнення прав власності/користування відносно земельної ділянки без вчинення щодо неї окремого правочину</w:t>
      </w:r>
      <w:r w:rsidR="00C14321">
        <w:rPr>
          <w:rFonts w:ascii="Times New Roman" w:hAnsi="Times New Roman"/>
          <w:sz w:val="28"/>
          <w:szCs w:val="28"/>
        </w:rPr>
        <w:t>.</w:t>
      </w:r>
    </w:p>
    <w:p w:rsidR="000511A3" w:rsidRDefault="000511A3" w:rsidP="00664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DF9" w:rsidRDefault="00C14321" w:rsidP="00664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77821" w:rsidRPr="0097782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У законопроекті</w:t>
      </w:r>
      <w:r w:rsidR="00CE19E9" w:rsidRPr="00977821">
        <w:rPr>
          <w:rFonts w:ascii="Times New Roman" w:hAnsi="Times New Roman"/>
          <w:sz w:val="28"/>
          <w:szCs w:val="28"/>
        </w:rPr>
        <w:t xml:space="preserve"> н</w:t>
      </w:r>
      <w:r w:rsidR="00884DF9" w:rsidRPr="00977821">
        <w:rPr>
          <w:rFonts w:ascii="Times New Roman" w:hAnsi="Times New Roman"/>
          <w:sz w:val="28"/>
          <w:szCs w:val="28"/>
        </w:rPr>
        <w:t xml:space="preserve">е врегульовано питання щодо переходу </w:t>
      </w:r>
      <w:r w:rsidR="0018063D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 власності/користування відносно земельної ділянки у разі</w:t>
      </w:r>
      <w:r w:rsidR="00884DF9" w:rsidRPr="009778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якщо</w:t>
      </w:r>
      <w:r w:rsidR="00884DF9" w:rsidRPr="0097782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ній</w:t>
      </w:r>
      <w:r w:rsidR="00884DF9" w:rsidRPr="00977821">
        <w:rPr>
          <w:rFonts w:ascii="Times New Roman" w:hAnsi="Times New Roman"/>
          <w:sz w:val="28"/>
          <w:szCs w:val="28"/>
        </w:rPr>
        <w:t xml:space="preserve"> розміщено </w:t>
      </w:r>
      <w:r w:rsidR="00884DF9" w:rsidRPr="0018063D">
        <w:rPr>
          <w:rFonts w:ascii="Times New Roman" w:hAnsi="Times New Roman"/>
          <w:sz w:val="28"/>
          <w:szCs w:val="28"/>
        </w:rPr>
        <w:t>кілька</w:t>
      </w:r>
      <w:r w:rsidR="00884DF9" w:rsidRPr="00977821">
        <w:rPr>
          <w:rFonts w:ascii="Times New Roman" w:hAnsi="Times New Roman"/>
          <w:sz w:val="28"/>
          <w:szCs w:val="28"/>
        </w:rPr>
        <w:t xml:space="preserve"> </w:t>
      </w:r>
      <w:r w:rsidR="00AB1ECB">
        <w:rPr>
          <w:rFonts w:ascii="Times New Roman" w:hAnsi="Times New Roman"/>
          <w:sz w:val="28"/>
          <w:szCs w:val="28"/>
        </w:rPr>
        <w:t>об’єктів нерухомості</w:t>
      </w:r>
      <w:r w:rsidR="00055B42">
        <w:rPr>
          <w:rFonts w:ascii="Times New Roman" w:hAnsi="Times New Roman"/>
          <w:sz w:val="28"/>
          <w:szCs w:val="28"/>
        </w:rPr>
        <w:t xml:space="preserve"> (крім </w:t>
      </w:r>
      <w:r w:rsidR="00AB1ECB">
        <w:rPr>
          <w:rFonts w:ascii="Times New Roman" w:hAnsi="Times New Roman"/>
          <w:sz w:val="28"/>
          <w:szCs w:val="28"/>
        </w:rPr>
        <w:t xml:space="preserve">врегульованого у частині п’ятій запропонованої редакції статті 120 Земельного кодексу України </w:t>
      </w:r>
      <w:r w:rsidR="00055B42">
        <w:rPr>
          <w:rFonts w:ascii="Times New Roman" w:hAnsi="Times New Roman"/>
          <w:sz w:val="28"/>
          <w:szCs w:val="28"/>
        </w:rPr>
        <w:t xml:space="preserve">випадку </w:t>
      </w:r>
      <w:r w:rsidR="00055B42" w:rsidRPr="00AB1ECB">
        <w:rPr>
          <w:rFonts w:ascii="Times New Roman" w:hAnsi="Times New Roman"/>
          <w:sz w:val="28"/>
          <w:szCs w:val="28"/>
        </w:rPr>
        <w:t>переходу права оперативного управління, господарського відання на об’єкт нерухомого майна (будівлю, споруду) державної власності, що розміщений на земельній ділянці державної власності, яка перебуває у постійному користуванні попереднього суб’єкта права оперативного управління, господарського відання на такий об’єкт</w:t>
      </w:r>
      <w:r w:rsidR="00AB1ECB">
        <w:rPr>
          <w:rFonts w:ascii="Times New Roman" w:hAnsi="Times New Roman"/>
          <w:sz w:val="28"/>
          <w:szCs w:val="28"/>
        </w:rPr>
        <w:t>).</w:t>
      </w:r>
      <w:r w:rsidR="00AB1ECB" w:rsidRPr="009A7C8C">
        <w:rPr>
          <w:rFonts w:ascii="Times New Roman" w:hAnsi="Times New Roman"/>
          <w:sz w:val="28"/>
          <w:szCs w:val="28"/>
        </w:rPr>
        <w:t xml:space="preserve"> </w:t>
      </w:r>
    </w:p>
    <w:p w:rsidR="000511A3" w:rsidRDefault="000511A3" w:rsidP="0005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окремі положення </w:t>
      </w:r>
      <w:r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законопроекту не відповідають принципу правової визначеності, який є невід’ємним елементом верховенства права (стаття 8 Конституції України) та визначення України правовою державою (стаття 1 Конституції України): </w:t>
      </w:r>
    </w:p>
    <w:p w:rsidR="000511A3" w:rsidRPr="003352D2" w:rsidRDefault="000511A3" w:rsidP="0005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частинах першій та третій статті 120</w:t>
      </w:r>
      <w:r w:rsidRPr="001A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кодексу (в редакції законопроекту) вказано, що при набутті права власності на земельну ділянку не допускається зміна її цільового призначення у випадку 1) набуття права власності на об’єкт нерухомості, розміщеній на </w:t>
      </w:r>
      <w:r w:rsidRPr="00BB17B4">
        <w:rPr>
          <w:rFonts w:ascii="Times New Roman" w:hAnsi="Times New Roman"/>
          <w:sz w:val="28"/>
          <w:szCs w:val="28"/>
        </w:rPr>
        <w:t>земельній ділянці (крім земель де</w:t>
      </w:r>
      <w:r w:rsidR="00725376">
        <w:rPr>
          <w:rFonts w:ascii="Times New Roman" w:hAnsi="Times New Roman"/>
          <w:sz w:val="28"/>
          <w:szCs w:val="28"/>
        </w:rPr>
        <w:t>ржавної, комунальної власності)</w:t>
      </w:r>
      <w:r w:rsidRPr="00BB17B4">
        <w:rPr>
          <w:rFonts w:ascii="Times New Roman" w:hAnsi="Times New Roman"/>
          <w:sz w:val="28"/>
          <w:szCs w:val="28"/>
        </w:rPr>
        <w:t xml:space="preserve">, 2) набуття державою або територіальною громадою  права власності на об'єкт нерухомості, розміщений на земельній ділянці комунальної власності. В усіх інших випадках питання </w:t>
      </w:r>
      <w:r>
        <w:rPr>
          <w:rFonts w:ascii="Times New Roman" w:hAnsi="Times New Roman"/>
          <w:sz w:val="28"/>
          <w:szCs w:val="28"/>
        </w:rPr>
        <w:t xml:space="preserve">щодо збереження цільового призначення </w:t>
      </w:r>
      <w:r w:rsidRPr="00BB17B4">
        <w:rPr>
          <w:rFonts w:ascii="Times New Roman" w:hAnsi="Times New Roman"/>
          <w:sz w:val="28"/>
          <w:szCs w:val="28"/>
        </w:rPr>
        <w:t>залишається неврегульованим;</w:t>
      </w:r>
      <w:r>
        <w:t xml:space="preserve"> </w:t>
      </w:r>
    </w:p>
    <w:p w:rsidR="000511A3" w:rsidRDefault="000511A3" w:rsidP="00051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потребує уточнення зміст частини десятої статті 120 </w:t>
      </w:r>
      <w:r w:rsidRPr="002D72BF">
        <w:rPr>
          <w:rFonts w:ascii="Times New Roman" w:hAnsi="Times New Roman"/>
          <w:sz w:val="28"/>
          <w:szCs w:val="28"/>
        </w:rPr>
        <w:t xml:space="preserve">Земельного кодексу України </w:t>
      </w:r>
      <w:r>
        <w:rPr>
          <w:rFonts w:ascii="Times New Roman" w:hAnsi="Times New Roman"/>
          <w:sz w:val="28"/>
          <w:szCs w:val="28"/>
        </w:rPr>
        <w:t>(</w:t>
      </w:r>
      <w:r w:rsidRPr="002D72BF">
        <w:rPr>
          <w:rFonts w:ascii="Times New Roman" w:hAnsi="Times New Roman"/>
          <w:sz w:val="28"/>
          <w:szCs w:val="28"/>
        </w:rPr>
        <w:t>в редакції законопроекту</w:t>
      </w:r>
      <w:r>
        <w:rPr>
          <w:rFonts w:ascii="Times New Roman" w:hAnsi="Times New Roman"/>
          <w:sz w:val="28"/>
          <w:szCs w:val="28"/>
        </w:rPr>
        <w:t>),</w:t>
      </w:r>
      <w:r w:rsidRPr="00616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якій</w:t>
      </w:r>
      <w:r w:rsidRPr="006160A1">
        <w:rPr>
          <w:rFonts w:ascii="Times New Roman" w:hAnsi="Times New Roman"/>
          <w:sz w:val="28"/>
          <w:szCs w:val="28"/>
        </w:rPr>
        <w:t xml:space="preserve"> міститься застереження, що площа земельної ділянки, яка формується «не може бути меншою, ніж максимальний розмір земельних ділянок відповідного цільового призначення, визначених статтею 121 цього Кодексу (</w:t>
      </w:r>
      <w:r w:rsidRPr="005C7471">
        <w:rPr>
          <w:rFonts w:ascii="Times New Roman" w:hAnsi="Times New Roman"/>
          <w:sz w:val="28"/>
          <w:szCs w:val="28"/>
          <w:u w:val="single"/>
        </w:rPr>
        <w:t>крім випадків, якщо формування земельної ділянки в такому розмірі є неможливим або не відповідає нормам законодавства</w:t>
      </w:r>
      <w:r w:rsidRPr="006160A1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</w:p>
    <w:p w:rsidR="00725376" w:rsidRDefault="00725376" w:rsidP="00051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5376" w:rsidRDefault="00725376" w:rsidP="007253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Конституційний Суд України неодноразово зазначав, що </w:t>
      </w:r>
      <w:r w:rsidRPr="00101DF6">
        <w:rPr>
          <w:rFonts w:ascii="Times New Roman" w:hAnsi="Times New Roman"/>
          <w:sz w:val="28"/>
          <w:szCs w:val="28"/>
        </w:rPr>
        <w:t xml:space="preserve">юридична визначеність вимагає від законодавця </w:t>
      </w:r>
      <w:r w:rsidRPr="00725376">
        <w:rPr>
          <w:rFonts w:ascii="Times New Roman" w:hAnsi="Times New Roman"/>
          <w:sz w:val="28"/>
          <w:szCs w:val="28"/>
        </w:rPr>
        <w:t>чіткості, зрозумілості, однозначності правових норм, їх передбачуваності (прогнозованості)</w:t>
      </w:r>
      <w:r w:rsidRPr="00101DF6">
        <w:rPr>
          <w:rFonts w:ascii="Times New Roman" w:hAnsi="Times New Roman"/>
          <w:sz w:val="28"/>
          <w:szCs w:val="28"/>
        </w:rPr>
        <w:t xml:space="preserve"> для забезпечення стабільного правового становища людини,</w:t>
      </w:r>
      <w:r w:rsidRPr="00101DF6">
        <w:t xml:space="preserve"> </w:t>
      </w:r>
      <w:r w:rsidRPr="00101DF6">
        <w:rPr>
          <w:rFonts w:ascii="Times New Roman" w:hAnsi="Times New Roman"/>
          <w:sz w:val="28"/>
          <w:szCs w:val="28"/>
        </w:rPr>
        <w:t>оскільки інше не може забезпечити їх однакове застосування, не виключає необмеженості трактування у правозастосовній практиці і неминуче призводить до сваволі (абзац друг</w:t>
      </w:r>
      <w:r>
        <w:rPr>
          <w:rFonts w:ascii="Times New Roman" w:hAnsi="Times New Roman"/>
          <w:sz w:val="28"/>
          <w:szCs w:val="28"/>
        </w:rPr>
        <w:t>ий підпункту 5.4 пункту </w:t>
      </w:r>
      <w:r w:rsidRPr="00101DF6">
        <w:rPr>
          <w:rFonts w:ascii="Times New Roman" w:hAnsi="Times New Roman"/>
          <w:sz w:val="28"/>
          <w:szCs w:val="28"/>
        </w:rPr>
        <w:t xml:space="preserve">5 мотивувальної частини Рішення Конституційного Суду </w:t>
      </w:r>
      <w:r w:rsidRPr="00101DF6">
        <w:rPr>
          <w:rFonts w:ascii="Times New Roman" w:hAnsi="Times New Roman"/>
          <w:sz w:val="28"/>
          <w:szCs w:val="28"/>
        </w:rPr>
        <w:lastRenderedPageBreak/>
        <w:t>України від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вересня 2005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F6">
        <w:rPr>
          <w:rFonts w:ascii="Times New Roman" w:hAnsi="Times New Roman"/>
          <w:sz w:val="28"/>
          <w:szCs w:val="28"/>
        </w:rPr>
        <w:t>5-рп/2005, абзац дев</w:t>
      </w:r>
      <w:r>
        <w:rPr>
          <w:rFonts w:ascii="Times New Roman" w:hAnsi="Times New Roman"/>
          <w:sz w:val="28"/>
          <w:szCs w:val="28"/>
        </w:rPr>
        <w:t>'</w:t>
      </w:r>
      <w:r w:rsidRPr="00101DF6">
        <w:rPr>
          <w:rFonts w:ascii="Times New Roman" w:hAnsi="Times New Roman"/>
          <w:sz w:val="28"/>
          <w:szCs w:val="28"/>
        </w:rPr>
        <w:t>ятий підпункту 4.3 пункту 4 мотивувальної частини Рішення від 27 лютого 2018 року № 1-р/2018); юридичною визначеністю обумовлюється втілення легітимних очікувань, тобто досягнення бажаного результату шляхом вчинення правомірних дій з огляду на заздалегідь передбачені ймовірні наслідки (абзац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F6">
        <w:rPr>
          <w:rFonts w:ascii="Times New Roman" w:hAnsi="Times New Roman"/>
          <w:sz w:val="28"/>
          <w:szCs w:val="28"/>
        </w:rPr>
        <w:t>третій підпункту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2.2 пункту 2 мотивувальної частини Рішення Першого сенату від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червн</w:t>
      </w:r>
      <w:r>
        <w:rPr>
          <w:rFonts w:ascii="Times New Roman" w:hAnsi="Times New Roman"/>
          <w:sz w:val="28"/>
          <w:szCs w:val="28"/>
        </w:rPr>
        <w:t>я 2019 року № 3-</w:t>
      </w:r>
      <w:r w:rsidRPr="00101DF6">
        <w:rPr>
          <w:rFonts w:ascii="Times New Roman" w:hAnsi="Times New Roman"/>
          <w:sz w:val="28"/>
          <w:szCs w:val="28"/>
        </w:rPr>
        <w:t xml:space="preserve">р(I)/2019). </w:t>
      </w:r>
    </w:p>
    <w:p w:rsidR="00EE5753" w:rsidRPr="00EE5753" w:rsidRDefault="00EE5753" w:rsidP="00EE5753">
      <w:pPr>
        <w:spacing w:after="0" w:line="240" w:lineRule="auto"/>
        <w:ind w:firstLine="709"/>
        <w:jc w:val="both"/>
        <w:rPr>
          <w:rFonts w:ascii="Times New Roman" w:eastAsia="Times" w:hAnsi="Times New Roman"/>
          <w:bCs/>
          <w:sz w:val="28"/>
          <w:szCs w:val="28"/>
          <w:lang w:eastAsia="uk-UA"/>
        </w:rPr>
      </w:pPr>
      <w:r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4. Стосовно передбаченого 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>перех</w:t>
      </w:r>
      <w:r>
        <w:rPr>
          <w:rFonts w:ascii="Times New Roman" w:eastAsia="Times" w:hAnsi="Times New Roman"/>
          <w:bCs/>
          <w:sz w:val="28"/>
          <w:szCs w:val="28"/>
          <w:lang w:eastAsia="uk-UA"/>
        </w:rPr>
        <w:t>оду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 права оперативного управління, господарського відання на об'єкт нерухомого майна, об'єкт незавершеного будівництва (частина п'ята статті 120 Кодексу (в редакції законопроекту) зазначаємо таке. </w:t>
      </w:r>
    </w:p>
    <w:p w:rsidR="00EE5753" w:rsidRPr="00EE5753" w:rsidRDefault="00EE5753" w:rsidP="00EE5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" w:hAnsi="Times New Roman"/>
          <w:bCs/>
          <w:sz w:val="28"/>
          <w:szCs w:val="28"/>
          <w:lang w:eastAsia="uk-UA"/>
        </w:rPr>
      </w:pP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>Відповідно до </w:t>
      </w:r>
      <w:hyperlink r:id="rId8" w:anchor="n1024" w:tgtFrame="_blank" w:history="1">
        <w:r w:rsidRPr="00EE5753">
          <w:rPr>
            <w:rFonts w:ascii="Times New Roman" w:eastAsia="Times" w:hAnsi="Times New Roman"/>
            <w:bCs/>
            <w:sz w:val="28"/>
            <w:szCs w:val="28"/>
            <w:lang w:eastAsia="uk-UA"/>
          </w:rPr>
          <w:t>частини першої</w:t>
        </w:r>
      </w:hyperlink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> статті 133 Господарського кодексу України (далі – ГК України) основу правового режиму майна суб'єктів господарювання, на якій базується їх господарська діяльність, становлять право власності та інші речові права – право господарського відання, право оперативного управління.</w:t>
      </w:r>
    </w:p>
    <w:p w:rsidR="00EE5753" w:rsidRPr="00EE5753" w:rsidRDefault="00EE5753" w:rsidP="00EE5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" w:hAnsi="Times New Roman"/>
          <w:bCs/>
          <w:sz w:val="28"/>
          <w:szCs w:val="28"/>
          <w:lang w:eastAsia="uk-UA"/>
        </w:rPr>
      </w:pP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Відповідно до ГК України право господарського відання є речовим правом суб'єкта підприємництва, який володіє, користується і розпоряджається майном, закріпленим за ним власником (уповноваженим ним органом), </w:t>
      </w:r>
      <w:r w:rsidRPr="00EE5753">
        <w:rPr>
          <w:rFonts w:ascii="Times New Roman" w:eastAsia="Times" w:hAnsi="Times New Roman"/>
          <w:bCs/>
          <w:sz w:val="28"/>
          <w:szCs w:val="28"/>
          <w:u w:val="single"/>
          <w:lang w:eastAsia="uk-UA"/>
        </w:rPr>
        <w:t>з обмеженням правомочності розпорядження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 </w:t>
      </w:r>
      <w:r w:rsidRPr="00EE5753">
        <w:rPr>
          <w:rFonts w:ascii="Times New Roman" w:eastAsia="Times" w:hAnsi="Times New Roman"/>
          <w:bCs/>
          <w:sz w:val="28"/>
          <w:szCs w:val="28"/>
          <w:u w:val="single"/>
          <w:lang w:eastAsia="uk-UA"/>
        </w:rPr>
        <w:t>щодо окремих видів майна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 за згодою власника у випадках, передбачених цим Кодексом та іншими законами (</w:t>
      </w:r>
      <w:hyperlink r:id="rId9" w:anchor="n1040" w:tgtFrame="_blank" w:history="1">
        <w:r w:rsidRPr="00EE5753">
          <w:rPr>
            <w:rFonts w:ascii="Times New Roman" w:eastAsia="Times" w:hAnsi="Times New Roman"/>
            <w:bCs/>
            <w:sz w:val="28"/>
            <w:szCs w:val="28"/>
            <w:lang w:eastAsia="uk-UA"/>
          </w:rPr>
          <w:t>частина перш</w:t>
        </w:r>
      </w:hyperlink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а статті 136); правом оперативного управління у ГК України визнається речове право суб'єкта господарювання, який володіє, користується і розпоряджається майном, закріпленим за ним власником (уповноваженим ним органом) для здійснення некомерційної господарської діяльності, </w:t>
      </w:r>
      <w:r w:rsidRPr="00EE5753">
        <w:rPr>
          <w:rFonts w:ascii="Times New Roman" w:eastAsia="Times" w:hAnsi="Times New Roman"/>
          <w:bCs/>
          <w:sz w:val="28"/>
          <w:szCs w:val="28"/>
          <w:u w:val="single"/>
          <w:lang w:eastAsia="uk-UA"/>
        </w:rPr>
        <w:t>у межах, встановлених цим Кодексом та іншими законами, а також власником майна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 (уповноваженим ним органом) (</w:t>
      </w:r>
      <w:hyperlink r:id="rId10" w:anchor="n1044" w:tgtFrame="_blank" w:history="1">
        <w:r w:rsidRPr="00EE5753">
          <w:rPr>
            <w:rFonts w:ascii="Times New Roman" w:eastAsia="Times" w:hAnsi="Times New Roman"/>
            <w:bCs/>
            <w:sz w:val="28"/>
            <w:szCs w:val="28"/>
            <w:lang w:eastAsia="uk-UA"/>
          </w:rPr>
          <w:t>частина перш</w:t>
        </w:r>
      </w:hyperlink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>а статті 137).</w:t>
      </w:r>
    </w:p>
    <w:p w:rsidR="00EE5753" w:rsidRPr="00EE5753" w:rsidRDefault="00EE5753" w:rsidP="00EE5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753">
        <w:rPr>
          <w:rFonts w:ascii="Times New Roman" w:hAnsi="Times New Roman"/>
          <w:sz w:val="28"/>
          <w:szCs w:val="28"/>
        </w:rPr>
        <w:t xml:space="preserve">У зв'язку з викладеним, пропонований законопроектом підхід щодо 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переходу </w:t>
      </w:r>
      <w:r w:rsidRPr="00EE5753">
        <w:rPr>
          <w:rFonts w:ascii="Times New Roman" w:hAnsi="Times New Roman"/>
          <w:sz w:val="28"/>
          <w:szCs w:val="28"/>
          <w:lang w:eastAsia="uk-UA"/>
        </w:rPr>
        <w:t>(</w:t>
      </w:r>
      <w:r w:rsidRPr="00EE5753">
        <w:rPr>
          <w:rFonts w:ascii="Times New Roman" w:hAnsi="Times New Roman"/>
          <w:b/>
          <w:bCs/>
          <w:sz w:val="28"/>
          <w:szCs w:val="28"/>
          <w:lang w:eastAsia="uk-UA"/>
        </w:rPr>
        <w:t>яким чином?</w:t>
      </w:r>
      <w:r w:rsidRPr="00EE5753">
        <w:rPr>
          <w:rFonts w:ascii="Times New Roman" w:hAnsi="Times New Roman"/>
          <w:sz w:val="28"/>
          <w:szCs w:val="28"/>
          <w:lang w:eastAsia="uk-UA"/>
        </w:rPr>
        <w:t xml:space="preserve">) </w:t>
      </w:r>
      <w:r w:rsidRPr="00EE5753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права господарського відання, права оперативного управління на об'єкт нерухомого майна, об'єкт незавершеного будівництва, ураховуючи, що </w:t>
      </w:r>
      <w:r w:rsidRPr="00EE5753">
        <w:rPr>
          <w:rFonts w:ascii="Times New Roman" w:hAnsi="Times New Roman"/>
          <w:sz w:val="28"/>
          <w:szCs w:val="28"/>
        </w:rPr>
        <w:t>право господарського відання, право оперативного управління, є невідчужуваним правом, яке не має грошової оцінки, не відповідає</w:t>
      </w:r>
      <w:r w:rsidRPr="00EE5753">
        <w:rPr>
          <w:rFonts w:ascii="Times New Roman" w:hAnsi="Times New Roman"/>
          <w:sz w:val="28"/>
          <w:szCs w:val="28"/>
          <w:lang w:val="ru-RU"/>
        </w:rPr>
        <w:t> </w:t>
      </w:r>
      <w:r w:rsidRPr="00EE5753">
        <w:rPr>
          <w:rFonts w:ascii="Times New Roman" w:hAnsi="Times New Roman"/>
          <w:sz w:val="28"/>
          <w:szCs w:val="28"/>
        </w:rPr>
        <w:t>статтям 136 та 137 ГК України.</w:t>
      </w:r>
    </w:p>
    <w:p w:rsidR="00EE5753" w:rsidRPr="00977821" w:rsidRDefault="00EE5753" w:rsidP="00664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F90" w:rsidRDefault="00EE5753" w:rsidP="000A1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7821" w:rsidRPr="00977821">
        <w:rPr>
          <w:rFonts w:ascii="Times New Roman" w:hAnsi="Times New Roman"/>
          <w:sz w:val="28"/>
          <w:szCs w:val="28"/>
        </w:rPr>
        <w:t xml:space="preserve">. </w:t>
      </w:r>
      <w:r w:rsidR="00CE19E9" w:rsidRPr="00977821">
        <w:rPr>
          <w:rFonts w:ascii="Times New Roman" w:hAnsi="Times New Roman"/>
          <w:sz w:val="28"/>
          <w:szCs w:val="28"/>
        </w:rPr>
        <w:t>Передбачений п</w:t>
      </w:r>
      <w:r w:rsidR="00AB1ECB">
        <w:rPr>
          <w:rFonts w:ascii="Times New Roman" w:hAnsi="Times New Roman"/>
          <w:sz w:val="28"/>
          <w:szCs w:val="28"/>
        </w:rPr>
        <w:t>ропонованими положеннями частин</w:t>
      </w:r>
      <w:r w:rsidR="00CE19E9" w:rsidRPr="00977821">
        <w:rPr>
          <w:rFonts w:ascii="Times New Roman" w:hAnsi="Times New Roman"/>
          <w:sz w:val="28"/>
          <w:szCs w:val="28"/>
        </w:rPr>
        <w:t xml:space="preserve"> </w:t>
      </w:r>
      <w:r w:rsidR="00AB1ECB">
        <w:rPr>
          <w:rFonts w:ascii="Times New Roman" w:hAnsi="Times New Roman"/>
          <w:sz w:val="28"/>
          <w:szCs w:val="28"/>
        </w:rPr>
        <w:t>четвертої, шостої, восьмої та ін.</w:t>
      </w:r>
      <w:r w:rsidR="00CE19E9" w:rsidRPr="00977821">
        <w:rPr>
          <w:rFonts w:ascii="Times New Roman" w:hAnsi="Times New Roman"/>
          <w:sz w:val="28"/>
          <w:szCs w:val="28"/>
        </w:rPr>
        <w:t xml:space="preserve"> статті 120 Земельного кодексу України </w:t>
      </w:r>
      <w:r w:rsidR="00884DF9" w:rsidRPr="00977821">
        <w:rPr>
          <w:rFonts w:ascii="Times New Roman" w:hAnsi="Times New Roman"/>
          <w:sz w:val="28"/>
          <w:szCs w:val="28"/>
        </w:rPr>
        <w:t>перехід права оренди (</w:t>
      </w:r>
      <w:r w:rsidR="00A86037">
        <w:rPr>
          <w:rFonts w:ascii="Times New Roman" w:hAnsi="Times New Roman"/>
          <w:sz w:val="28"/>
          <w:szCs w:val="28"/>
        </w:rPr>
        <w:t>користуванн</w:t>
      </w:r>
      <w:r w:rsidR="000F4FC7">
        <w:rPr>
          <w:rFonts w:ascii="Times New Roman" w:hAnsi="Times New Roman"/>
          <w:sz w:val="28"/>
          <w:szCs w:val="28"/>
        </w:rPr>
        <w:t>я</w:t>
      </w:r>
      <w:r w:rsidR="00A86037">
        <w:rPr>
          <w:rFonts w:ascii="Times New Roman" w:hAnsi="Times New Roman"/>
          <w:sz w:val="28"/>
          <w:szCs w:val="28"/>
        </w:rPr>
        <w:t xml:space="preserve"> на праві </w:t>
      </w:r>
      <w:r w:rsidR="000F4FC7" w:rsidRPr="00977821">
        <w:rPr>
          <w:rFonts w:ascii="Times New Roman" w:hAnsi="Times New Roman"/>
          <w:sz w:val="28"/>
          <w:szCs w:val="28"/>
        </w:rPr>
        <w:t>емфітевзису</w:t>
      </w:r>
      <w:r w:rsidR="00884DF9" w:rsidRPr="00977821">
        <w:rPr>
          <w:rFonts w:ascii="Times New Roman" w:hAnsi="Times New Roman"/>
          <w:sz w:val="28"/>
          <w:szCs w:val="28"/>
        </w:rPr>
        <w:t>, суперфіцію) земельної ділянки</w:t>
      </w:r>
      <w:r w:rsidR="00CE19E9" w:rsidRPr="00977821">
        <w:rPr>
          <w:rFonts w:ascii="Times New Roman" w:hAnsi="Times New Roman"/>
          <w:sz w:val="28"/>
          <w:szCs w:val="28"/>
        </w:rPr>
        <w:t xml:space="preserve"> до власника придбаної будівлі</w:t>
      </w:r>
      <w:r w:rsidR="00884DF9" w:rsidRPr="00977821">
        <w:rPr>
          <w:rFonts w:ascii="Times New Roman" w:hAnsi="Times New Roman"/>
          <w:sz w:val="28"/>
          <w:szCs w:val="28"/>
        </w:rPr>
        <w:t xml:space="preserve"> порушу</w:t>
      </w:r>
      <w:r w:rsidR="00CE19E9" w:rsidRPr="00977821">
        <w:rPr>
          <w:rFonts w:ascii="Times New Roman" w:hAnsi="Times New Roman"/>
          <w:sz w:val="28"/>
          <w:szCs w:val="28"/>
        </w:rPr>
        <w:t xml:space="preserve">є </w:t>
      </w:r>
      <w:r w:rsidR="00884DF9" w:rsidRPr="00977821">
        <w:rPr>
          <w:rFonts w:ascii="Times New Roman" w:hAnsi="Times New Roman"/>
          <w:sz w:val="28"/>
          <w:szCs w:val="28"/>
        </w:rPr>
        <w:t xml:space="preserve">права </w:t>
      </w:r>
      <w:r w:rsidR="00FF671C">
        <w:rPr>
          <w:rFonts w:ascii="Times New Roman" w:hAnsi="Times New Roman"/>
          <w:sz w:val="28"/>
          <w:szCs w:val="28"/>
        </w:rPr>
        <w:t>попереднього орендаря</w:t>
      </w:r>
      <w:r w:rsidR="00460B25">
        <w:rPr>
          <w:rFonts w:ascii="Times New Roman" w:hAnsi="Times New Roman"/>
          <w:sz w:val="28"/>
          <w:szCs w:val="28"/>
        </w:rPr>
        <w:t xml:space="preserve">, </w:t>
      </w:r>
      <w:r w:rsidR="00460B25" w:rsidRPr="00C14321">
        <w:rPr>
          <w:rFonts w:ascii="Times New Roman" w:hAnsi="Times New Roman"/>
          <w:sz w:val="28"/>
          <w:szCs w:val="28"/>
        </w:rPr>
        <w:t>а також комплекс встановлених законом гарантій його статусу</w:t>
      </w:r>
      <w:r w:rsidR="00FF671C" w:rsidRPr="00C14321">
        <w:rPr>
          <w:rFonts w:ascii="Times New Roman" w:hAnsi="Times New Roman"/>
          <w:sz w:val="28"/>
          <w:szCs w:val="28"/>
        </w:rPr>
        <w:t xml:space="preserve"> (статт</w:t>
      </w:r>
      <w:r w:rsidR="00460B25" w:rsidRPr="00C14321">
        <w:rPr>
          <w:rFonts w:ascii="Times New Roman" w:hAnsi="Times New Roman"/>
          <w:sz w:val="28"/>
          <w:szCs w:val="28"/>
        </w:rPr>
        <w:t>і</w:t>
      </w:r>
      <w:r w:rsidR="00226A46">
        <w:rPr>
          <w:rFonts w:ascii="Times New Roman" w:hAnsi="Times New Roman"/>
          <w:sz w:val="28"/>
          <w:szCs w:val="28"/>
        </w:rPr>
        <w:t> </w:t>
      </w:r>
      <w:r w:rsidR="00FF671C" w:rsidRPr="00C14321">
        <w:rPr>
          <w:rFonts w:ascii="Times New Roman" w:hAnsi="Times New Roman"/>
          <w:sz w:val="28"/>
          <w:szCs w:val="28"/>
        </w:rPr>
        <w:t>9</w:t>
      </w:r>
      <w:r w:rsidR="00460B25" w:rsidRPr="00C14321">
        <w:rPr>
          <w:rFonts w:ascii="Times New Roman" w:hAnsi="Times New Roman"/>
          <w:sz w:val="28"/>
          <w:szCs w:val="28"/>
        </w:rPr>
        <w:t>, 24, 27, 28</w:t>
      </w:r>
      <w:r w:rsidR="00226A46">
        <w:rPr>
          <w:rFonts w:ascii="Times New Roman" w:hAnsi="Times New Roman"/>
          <w:sz w:val="28"/>
          <w:szCs w:val="28"/>
        </w:rPr>
        <w:t xml:space="preserve"> Закону України </w:t>
      </w:r>
      <w:r w:rsidR="00954A20">
        <w:rPr>
          <w:rFonts w:ascii="Times New Roman" w:hAnsi="Times New Roman"/>
          <w:sz w:val="28"/>
          <w:szCs w:val="28"/>
        </w:rPr>
        <w:t>«</w:t>
      </w:r>
      <w:r w:rsidR="00FF671C" w:rsidRPr="00C14321">
        <w:rPr>
          <w:rFonts w:ascii="Times New Roman" w:hAnsi="Times New Roman"/>
          <w:sz w:val="28"/>
          <w:szCs w:val="28"/>
        </w:rPr>
        <w:t>Про оренду землі</w:t>
      </w:r>
      <w:r w:rsidR="00954A20">
        <w:rPr>
          <w:rFonts w:ascii="Times New Roman" w:hAnsi="Times New Roman"/>
          <w:sz w:val="28"/>
          <w:szCs w:val="28"/>
        </w:rPr>
        <w:t>»</w:t>
      </w:r>
      <w:r w:rsidR="00460B25" w:rsidRPr="00C14321">
        <w:rPr>
          <w:rFonts w:ascii="Times New Roman" w:hAnsi="Times New Roman"/>
          <w:sz w:val="28"/>
          <w:szCs w:val="28"/>
        </w:rPr>
        <w:t xml:space="preserve">, </w:t>
      </w:r>
      <w:r w:rsidR="00FF671C" w:rsidRPr="00C14321">
        <w:rPr>
          <w:rFonts w:ascii="Times New Roman" w:hAnsi="Times New Roman"/>
          <w:sz w:val="28"/>
          <w:szCs w:val="28"/>
        </w:rPr>
        <w:t xml:space="preserve">стаття </w:t>
      </w:r>
      <w:r w:rsidR="00275FD4">
        <w:rPr>
          <w:rFonts w:ascii="Times New Roman" w:hAnsi="Times New Roman"/>
          <w:sz w:val="28"/>
          <w:szCs w:val="28"/>
        </w:rPr>
        <w:t xml:space="preserve">777 </w:t>
      </w:r>
      <w:r w:rsidR="00275FD4" w:rsidRPr="00B444C3">
        <w:rPr>
          <w:rFonts w:ascii="Times New Roman" w:hAnsi="Times New Roman"/>
          <w:sz w:val="28"/>
          <w:szCs w:val="28"/>
        </w:rPr>
        <w:t xml:space="preserve">Цивільного кодексу України). </w:t>
      </w:r>
    </w:p>
    <w:p w:rsidR="00F1759C" w:rsidRDefault="005340F6" w:rsidP="00DC2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</w:t>
      </w:r>
      <w:r w:rsidR="00352214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статті 777 Ц</w:t>
      </w:r>
      <w:r w:rsidR="00FC5373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ивільного кодексу</w:t>
      </w:r>
      <w:r w:rsidR="00352214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України визначено два п</w:t>
      </w:r>
      <w:r w:rsidR="000A1F90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ереважних права  наймача</w:t>
      </w:r>
      <w:r w:rsidR="00352214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перед іншими особами, а саме: на укладення договору найму </w:t>
      </w:r>
      <w:r w:rsidR="00352214" w:rsidRPr="001F26B3">
        <w:rPr>
          <w:rFonts w:ascii="Times New Roman" w:hAnsi="Times New Roman"/>
          <w:color w:val="212529"/>
          <w:sz w:val="28"/>
          <w:szCs w:val="28"/>
        </w:rPr>
        <w:br/>
      </w:r>
      <w:r w:rsidR="00352214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 новий строк та на придбання майна у разі його продажу.</w:t>
      </w:r>
      <w:r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275FD4" w:rsidRPr="001F26B3">
        <w:rPr>
          <w:rFonts w:ascii="Times New Roman" w:hAnsi="Times New Roman"/>
          <w:sz w:val="28"/>
          <w:szCs w:val="28"/>
        </w:rPr>
        <w:t xml:space="preserve">Так, </w:t>
      </w:r>
      <w:r w:rsidR="00B444C3" w:rsidRPr="001F26B3">
        <w:rPr>
          <w:rFonts w:ascii="Times New Roman" w:hAnsi="Times New Roman"/>
          <w:sz w:val="28"/>
          <w:szCs w:val="28"/>
        </w:rPr>
        <w:t>відповідно</w:t>
      </w:r>
      <w:r w:rsidR="00FC5373" w:rsidRPr="001F26B3">
        <w:rPr>
          <w:rFonts w:ascii="Times New Roman" w:hAnsi="Times New Roman"/>
          <w:sz w:val="28"/>
          <w:szCs w:val="28"/>
        </w:rPr>
        <w:t xml:space="preserve"> до частини другої статті 777 Цивільного кодексу </w:t>
      </w:r>
      <w:r w:rsidR="00B444C3" w:rsidRPr="001F26B3">
        <w:rPr>
          <w:rFonts w:ascii="Times New Roman" w:hAnsi="Times New Roman"/>
          <w:sz w:val="28"/>
          <w:szCs w:val="28"/>
        </w:rPr>
        <w:t xml:space="preserve">України наймач, який належно </w:t>
      </w:r>
      <w:r w:rsidR="00B444C3" w:rsidRPr="001F26B3">
        <w:rPr>
          <w:rFonts w:ascii="Times New Roman" w:hAnsi="Times New Roman"/>
          <w:sz w:val="28"/>
          <w:szCs w:val="28"/>
        </w:rPr>
        <w:lastRenderedPageBreak/>
        <w:t xml:space="preserve">виконує свої обов'язки за договором найму, у разі продажу речі, переданої у найм, має переважне право перед </w:t>
      </w:r>
      <w:r w:rsidR="00B444C3" w:rsidRPr="001F26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іншими</w:t>
      </w:r>
      <w:r w:rsidR="00B444C3" w:rsidRPr="001F26B3">
        <w:rPr>
          <w:rFonts w:ascii="Times New Roman" w:hAnsi="Times New Roman"/>
          <w:sz w:val="28"/>
          <w:szCs w:val="28"/>
        </w:rPr>
        <w:t xml:space="preserve"> особами на її придбання.</w:t>
      </w:r>
      <w:r w:rsidRPr="001F26B3">
        <w:rPr>
          <w:rFonts w:ascii="Times New Roman" w:hAnsi="Times New Roman"/>
          <w:sz w:val="28"/>
          <w:szCs w:val="28"/>
        </w:rPr>
        <w:t xml:space="preserve"> </w:t>
      </w:r>
      <w:r w:rsidR="00FC5373" w:rsidRPr="001F26B3">
        <w:rPr>
          <w:rFonts w:ascii="Times New Roman" w:hAnsi="Times New Roman"/>
          <w:sz w:val="28"/>
          <w:szCs w:val="28"/>
        </w:rPr>
        <w:t>П</w:t>
      </w:r>
      <w:r w:rsidR="00CE380F" w:rsidRPr="001F26B3">
        <w:rPr>
          <w:rFonts w:ascii="Times New Roman" w:hAnsi="Times New Roman"/>
          <w:sz w:val="28"/>
          <w:szCs w:val="28"/>
        </w:rPr>
        <w:t xml:space="preserve">ропонована </w:t>
      </w:r>
      <w:r w:rsidR="00FC5373" w:rsidRPr="001F26B3">
        <w:rPr>
          <w:rFonts w:ascii="Times New Roman" w:hAnsi="Times New Roman"/>
          <w:sz w:val="28"/>
          <w:szCs w:val="28"/>
        </w:rPr>
        <w:t xml:space="preserve">ж </w:t>
      </w:r>
      <w:r w:rsidR="00CE380F" w:rsidRPr="001F26B3">
        <w:rPr>
          <w:rFonts w:ascii="Times New Roman" w:hAnsi="Times New Roman"/>
          <w:sz w:val="28"/>
          <w:szCs w:val="28"/>
        </w:rPr>
        <w:t>закон</w:t>
      </w:r>
      <w:r w:rsidR="00FC5373" w:rsidRPr="001F26B3">
        <w:rPr>
          <w:rFonts w:ascii="Times New Roman" w:hAnsi="Times New Roman"/>
          <w:sz w:val="28"/>
          <w:szCs w:val="28"/>
        </w:rPr>
        <w:t>опроектом редакція статті 120 Земельного кодексу</w:t>
      </w:r>
      <w:r w:rsidR="00CE380F" w:rsidRPr="001F26B3">
        <w:rPr>
          <w:rFonts w:ascii="Times New Roman" w:hAnsi="Times New Roman"/>
          <w:sz w:val="28"/>
          <w:szCs w:val="28"/>
        </w:rPr>
        <w:t xml:space="preserve"> не </w:t>
      </w:r>
      <w:r w:rsidR="00FC5373" w:rsidRPr="001F26B3">
        <w:rPr>
          <w:rFonts w:ascii="Times New Roman" w:hAnsi="Times New Roman"/>
          <w:sz w:val="28"/>
          <w:szCs w:val="28"/>
        </w:rPr>
        <w:t xml:space="preserve">враховує цього переважного права орендаря. </w:t>
      </w:r>
    </w:p>
    <w:p w:rsidR="00F1759C" w:rsidRPr="009135BB" w:rsidRDefault="00F1759C" w:rsidP="00F17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5BB">
        <w:rPr>
          <w:rFonts w:ascii="Times New Roman" w:hAnsi="Times New Roman"/>
          <w:sz w:val="28"/>
          <w:szCs w:val="28"/>
        </w:rPr>
        <w:t>При тлумаченні переважного права попереднього орендаря на викуп земельної ділянки Конституційний суд України вказав (абзац 2 пункту 3.5 Рішення Конституційного суду України від 10 грудня 2009 року №31-рп</w:t>
      </w:r>
      <w:r>
        <w:rPr>
          <w:rFonts w:ascii="Times New Roman" w:hAnsi="Times New Roman"/>
          <w:sz w:val="28"/>
          <w:szCs w:val="28"/>
        </w:rPr>
        <w:t>/2009</w:t>
      </w:r>
      <w:r w:rsidRPr="009135BB">
        <w:rPr>
          <w:rFonts w:ascii="Times New Roman" w:hAnsi="Times New Roman"/>
          <w:sz w:val="28"/>
          <w:szCs w:val="28"/>
        </w:rPr>
        <w:t xml:space="preserve">), що обмеження законодавцем права власника майна, переданого у найм (оренду), щодо розпорядження цим майном ґрунтується на розумних та справедливих критеріях. Це відповідає і позиції Європейського суду з прав людини,  викладеній в рішенні  у справі </w:t>
      </w:r>
      <w:r w:rsidR="00954A20">
        <w:rPr>
          <w:rFonts w:ascii="Times New Roman" w:hAnsi="Times New Roman"/>
          <w:sz w:val="28"/>
          <w:szCs w:val="28"/>
        </w:rPr>
        <w:t>«</w:t>
      </w:r>
      <w:r w:rsidRPr="009135BB">
        <w:rPr>
          <w:rFonts w:ascii="Times New Roman" w:hAnsi="Times New Roman"/>
          <w:sz w:val="28"/>
          <w:szCs w:val="28"/>
        </w:rPr>
        <w:t>Джеймс та інші проти Сполученого Королівства, заява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BB">
        <w:rPr>
          <w:rFonts w:ascii="Times New Roman" w:hAnsi="Times New Roman"/>
          <w:sz w:val="28"/>
          <w:szCs w:val="28"/>
        </w:rPr>
        <w:t>8793/79</w:t>
      </w:r>
      <w:r w:rsidR="00954A20">
        <w:rPr>
          <w:rFonts w:ascii="Times New Roman" w:hAnsi="Times New Roman"/>
          <w:sz w:val="28"/>
          <w:szCs w:val="28"/>
        </w:rPr>
        <w:t>»</w:t>
      </w:r>
      <w:r w:rsidRPr="009135BB">
        <w:rPr>
          <w:rFonts w:ascii="Times New Roman" w:hAnsi="Times New Roman"/>
          <w:sz w:val="28"/>
          <w:szCs w:val="28"/>
        </w:rPr>
        <w:t xml:space="preserve"> від 21 лютого 1986 року. За його змістом національний законодавець з метою підтримання соціальної справедливості у суспільстві як складової публічного інтересу може допустити захист інтересів орендарів майна, встановивши обмеження права його власників щодо визначення ними умов продажу орендованого майна.</w:t>
      </w:r>
    </w:p>
    <w:p w:rsidR="008652EB" w:rsidRPr="001F26B3" w:rsidRDefault="00FC5373" w:rsidP="00114E1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1F26B3">
        <w:rPr>
          <w:sz w:val="28"/>
          <w:szCs w:val="28"/>
        </w:rPr>
        <w:t>Необґрунтоване з</w:t>
      </w:r>
      <w:r w:rsidR="008652EB" w:rsidRPr="001F26B3">
        <w:rPr>
          <w:sz w:val="28"/>
          <w:szCs w:val="28"/>
        </w:rPr>
        <w:t>вуж</w:t>
      </w:r>
      <w:r w:rsidRPr="001F26B3">
        <w:rPr>
          <w:sz w:val="28"/>
          <w:szCs w:val="28"/>
        </w:rPr>
        <w:t>ення</w:t>
      </w:r>
      <w:r w:rsidR="008652EB" w:rsidRPr="001F26B3">
        <w:rPr>
          <w:sz w:val="28"/>
          <w:szCs w:val="28"/>
        </w:rPr>
        <w:t xml:space="preserve"> обсяг</w:t>
      </w:r>
      <w:r w:rsidRPr="001F26B3">
        <w:rPr>
          <w:sz w:val="28"/>
          <w:szCs w:val="28"/>
        </w:rPr>
        <w:t>у</w:t>
      </w:r>
      <w:r w:rsidR="008652EB" w:rsidRPr="001F26B3">
        <w:rPr>
          <w:sz w:val="28"/>
          <w:szCs w:val="28"/>
        </w:rPr>
        <w:t xml:space="preserve"> існуючих прав</w:t>
      </w:r>
      <w:r w:rsidR="00287420" w:rsidRPr="001F26B3">
        <w:rPr>
          <w:sz w:val="28"/>
          <w:szCs w:val="28"/>
        </w:rPr>
        <w:t xml:space="preserve"> орендарів, якими зокрема, можуть бути і фізичні особи</w:t>
      </w:r>
      <w:r w:rsidR="008652EB" w:rsidRPr="001F26B3">
        <w:rPr>
          <w:sz w:val="28"/>
          <w:szCs w:val="28"/>
        </w:rPr>
        <w:t>, порушує</w:t>
      </w:r>
      <w:r w:rsidRPr="001F26B3">
        <w:rPr>
          <w:sz w:val="28"/>
          <w:szCs w:val="28"/>
        </w:rPr>
        <w:t xml:space="preserve"> також</w:t>
      </w:r>
      <w:r w:rsidR="008652EB" w:rsidRPr="001F26B3">
        <w:rPr>
          <w:sz w:val="28"/>
          <w:szCs w:val="28"/>
        </w:rPr>
        <w:t xml:space="preserve"> закріплений в Основному Законі України принцип поваги і непорушності прав і свобод людини, утвердження і забезпечення яки</w:t>
      </w:r>
      <w:r w:rsidR="00114E1A">
        <w:rPr>
          <w:sz w:val="28"/>
          <w:szCs w:val="28"/>
        </w:rPr>
        <w:t xml:space="preserve">х є головним обов'язком держави. Відповідно до частини третьої статті 22 Конституції України </w:t>
      </w:r>
      <w:bookmarkStart w:id="2" w:name="n4237"/>
      <w:bookmarkEnd w:id="2"/>
      <w:r w:rsidR="00114E1A">
        <w:rPr>
          <w:sz w:val="28"/>
          <w:szCs w:val="28"/>
        </w:rPr>
        <w:t>п</w:t>
      </w:r>
      <w:r w:rsidR="00114E1A" w:rsidRPr="00114E1A">
        <w:rPr>
          <w:sz w:val="28"/>
          <w:szCs w:val="28"/>
        </w:rPr>
        <w:t>ри прийнятті нових законів або внесенні змін до чинних законів не допускається звуження змісту та обсягу існуючих прав і свобод.</w:t>
      </w:r>
    </w:p>
    <w:p w:rsidR="008652EB" w:rsidRDefault="00317828" w:rsidP="00865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тому, що </w:t>
      </w:r>
      <w:r w:rsidRPr="001F26B3">
        <w:rPr>
          <w:rFonts w:ascii="Times New Roman" w:hAnsi="Times New Roman"/>
          <w:sz w:val="28"/>
          <w:szCs w:val="28"/>
        </w:rPr>
        <w:t>при ухваленні нових законів або внесенні змін до чинних законів не допускається звуження змісту та обсягу існуючих конституційних прав і свобод людини, якщо таке звуження призводить до порушення їх сутності</w:t>
      </w:r>
      <w:r>
        <w:rPr>
          <w:rFonts w:ascii="Times New Roman" w:hAnsi="Times New Roman"/>
          <w:sz w:val="28"/>
          <w:szCs w:val="28"/>
        </w:rPr>
        <w:t xml:space="preserve">, наголошував і  </w:t>
      </w:r>
      <w:r w:rsidRPr="001F26B3">
        <w:rPr>
          <w:rFonts w:ascii="Times New Roman" w:hAnsi="Times New Roman"/>
          <w:sz w:val="28"/>
          <w:szCs w:val="28"/>
        </w:rPr>
        <w:t>Конституційний Суд України (абзац десятий підпункту 2.2 пункту 2 мотивувальної частини Рішення від 22 травня 2018 року № 5-р/2018).</w:t>
      </w:r>
      <w:r w:rsidR="00F1759C" w:rsidRPr="001F26B3">
        <w:rPr>
          <w:rFonts w:ascii="Times New Roman" w:hAnsi="Times New Roman"/>
          <w:sz w:val="28"/>
          <w:szCs w:val="28"/>
        </w:rPr>
        <w:t xml:space="preserve"> </w:t>
      </w:r>
    </w:p>
    <w:p w:rsidR="00E44F5F" w:rsidRPr="005D168E" w:rsidRDefault="00E44F5F" w:rsidP="00E44F5F">
      <w:pPr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</w:t>
      </w:r>
      <w:r>
        <w:rPr>
          <w:rFonts w:ascii="Times New Roman" w:hAnsi="Times New Roman"/>
          <w:sz w:val="28"/>
          <w:szCs w:val="28"/>
          <w:lang w:eastAsia="uk-UA"/>
        </w:rPr>
        <w:t xml:space="preserve">запровадження порядку, за яким попередній орендар земельної ділянки позбавляється наданих раніше законом гарантій та переваг, </w:t>
      </w:r>
      <w:r w:rsidRPr="005D168E">
        <w:rPr>
          <w:rFonts w:ascii="Times New Roman" w:hAnsi="Times New Roman"/>
          <w:sz w:val="28"/>
          <w:szCs w:val="28"/>
          <w:lang w:eastAsia="uk-UA"/>
        </w:rPr>
        <w:t xml:space="preserve">не відповідає вимогам </w:t>
      </w:r>
      <w:r w:rsidRPr="005D168E">
        <w:rPr>
          <w:rFonts w:ascii="Times New Roman" w:hAnsi="Times New Roman"/>
          <w:sz w:val="28"/>
          <w:szCs w:val="28"/>
        </w:rPr>
        <w:t xml:space="preserve">частини першої статті 8 Конституції України, відповідно до якої в Україні визнається і діє принцип верховенства права. Складовою верховенства права є принцип правової визначеності, основу якого утворює ідея передбачуваності очікування суб'єктом відносин визначених правових наслідків (правового результату) своєї поведінки, яка відповідає наявним у суспільстві нормативним приписам. </w:t>
      </w:r>
    </w:p>
    <w:p w:rsidR="00E814BE" w:rsidRPr="00E814BE" w:rsidRDefault="001C4F02" w:rsidP="00F1759C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C4F02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Частина </w:t>
      </w:r>
      <w:r w:rsidR="00E814BE">
        <w:rPr>
          <w:rFonts w:ascii="Times New Roman" w:eastAsia="Times" w:hAnsi="Times New Roman"/>
          <w:bCs/>
          <w:sz w:val="28"/>
          <w:szCs w:val="20"/>
          <w:lang w:eastAsia="uk-UA"/>
        </w:rPr>
        <w:t>дванадцята</w:t>
      </w:r>
      <w:r w:rsidRPr="001C4F02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статті 120 Земельного кодексу України (в редакції законопроекту</w:t>
      </w:r>
      <w:r w:rsidRPr="001C4F02">
        <w:rPr>
          <w:rFonts w:ascii="Times New Roman" w:eastAsia="Times" w:hAnsi="Times New Roman"/>
          <w:bCs/>
          <w:sz w:val="28"/>
          <w:szCs w:val="28"/>
          <w:lang w:eastAsia="uk-UA"/>
        </w:rPr>
        <w:t xml:space="preserve">) містить </w:t>
      </w:r>
      <w:r w:rsidRPr="00E814BE">
        <w:rPr>
          <w:rFonts w:ascii="Times New Roman" w:hAnsi="Times New Roman"/>
          <w:sz w:val="28"/>
          <w:szCs w:val="28"/>
        </w:rPr>
        <w:t xml:space="preserve">положення, відповідно до яких </w:t>
      </w:r>
      <w:r w:rsidR="00E814BE" w:rsidRPr="00E814BE">
        <w:rPr>
          <w:rFonts w:ascii="Times New Roman" w:hAnsi="Times New Roman"/>
          <w:sz w:val="28"/>
          <w:szCs w:val="28"/>
        </w:rPr>
        <w:t xml:space="preserve">«у разі набуття права власності на об'єкт нерухомого майна (жилий будинок (крім багатоквартирного), іншу будівлю або споруду), об’єкт незавершеного будівництва, розміщений на земельній ділянці (крім земель державної, комунальної власності), що перебуває у власності відчужувача (попереднього </w:t>
      </w:r>
      <w:r w:rsidR="00E814BE" w:rsidRPr="00E814BE">
        <w:rPr>
          <w:rFonts w:ascii="Times New Roman" w:hAnsi="Times New Roman"/>
          <w:sz w:val="28"/>
          <w:szCs w:val="28"/>
        </w:rPr>
        <w:lastRenderedPageBreak/>
        <w:t xml:space="preserve">власника) такого об'єкта, </w:t>
      </w:r>
      <w:r w:rsidR="00E814BE" w:rsidRPr="00E814BE">
        <w:rPr>
          <w:rFonts w:ascii="Times New Roman" w:hAnsi="Times New Roman"/>
          <w:sz w:val="28"/>
          <w:szCs w:val="28"/>
          <w:u w:val="single"/>
        </w:rPr>
        <w:t>особою, яка не може мати таку земельну ділянку у власності</w:t>
      </w:r>
      <w:r w:rsidR="00E814BE" w:rsidRPr="00E814BE">
        <w:rPr>
          <w:rFonts w:ascii="Times New Roman" w:hAnsi="Times New Roman"/>
          <w:sz w:val="28"/>
          <w:szCs w:val="28"/>
        </w:rPr>
        <w:t xml:space="preserve">, така особа має право вимагати передання їй власником земельної ділянки відповідної земельної ділянки на праві оренди або суперфіцію </w:t>
      </w:r>
      <w:r w:rsidR="00E814BE" w:rsidRPr="00E814BE">
        <w:rPr>
          <w:rFonts w:ascii="Times New Roman" w:hAnsi="Times New Roman"/>
          <w:sz w:val="28"/>
          <w:szCs w:val="28"/>
          <w:u w:val="single"/>
        </w:rPr>
        <w:t>на умовах, визначених набувачем права власності на такий об’єкт</w:t>
      </w:r>
      <w:r w:rsidR="00E814BE">
        <w:rPr>
          <w:rFonts w:ascii="Times New Roman" w:hAnsi="Times New Roman"/>
          <w:sz w:val="28"/>
          <w:szCs w:val="28"/>
          <w:u w:val="single"/>
        </w:rPr>
        <w:t>»</w:t>
      </w:r>
    </w:p>
    <w:p w:rsidR="001C4F02" w:rsidRDefault="001C4F02" w:rsidP="00F17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F02">
        <w:rPr>
          <w:rFonts w:ascii="Times New Roman" w:hAnsi="Times New Roman"/>
          <w:sz w:val="28"/>
          <w:szCs w:val="28"/>
        </w:rPr>
        <w:t xml:space="preserve">Зазначене </w:t>
      </w:r>
      <w:r>
        <w:rPr>
          <w:rFonts w:ascii="Times New Roman" w:hAnsi="Times New Roman"/>
          <w:sz w:val="28"/>
          <w:szCs w:val="28"/>
        </w:rPr>
        <w:t>не відповідає загальним засадам укладення цивільних договорів</w:t>
      </w:r>
      <w:r w:rsidR="00EC29D9">
        <w:rPr>
          <w:rFonts w:ascii="Times New Roman" w:hAnsi="Times New Roman"/>
          <w:sz w:val="28"/>
          <w:szCs w:val="28"/>
        </w:rPr>
        <w:t>, за якими договір є результатом досягнення згоди на основі вільного волевиявлення сторін</w:t>
      </w:r>
      <w:r>
        <w:rPr>
          <w:rFonts w:ascii="Times New Roman" w:hAnsi="Times New Roman"/>
          <w:sz w:val="28"/>
          <w:szCs w:val="28"/>
        </w:rPr>
        <w:t>. Відповідно до стат</w:t>
      </w:r>
      <w:r w:rsidR="00EC29D9">
        <w:rPr>
          <w:rFonts w:ascii="Times New Roman" w:hAnsi="Times New Roman"/>
          <w:sz w:val="28"/>
          <w:szCs w:val="28"/>
        </w:rPr>
        <w:t>ті 638</w:t>
      </w:r>
      <w:r>
        <w:rPr>
          <w:rFonts w:ascii="Times New Roman" w:hAnsi="Times New Roman"/>
          <w:sz w:val="28"/>
          <w:szCs w:val="28"/>
        </w:rPr>
        <w:t xml:space="preserve"> Цивільного кодексу України</w:t>
      </w:r>
      <w:r w:rsidRPr="00EC29D9">
        <w:rPr>
          <w:rFonts w:ascii="Times New Roman" w:hAnsi="Times New Roman"/>
          <w:sz w:val="28"/>
          <w:szCs w:val="28"/>
        </w:rPr>
        <w:t xml:space="preserve"> </w:t>
      </w:r>
      <w:r w:rsidR="00EC29D9" w:rsidRPr="00EC29D9">
        <w:rPr>
          <w:rFonts w:ascii="Times New Roman" w:hAnsi="Times New Roman"/>
          <w:sz w:val="28"/>
          <w:szCs w:val="28"/>
        </w:rPr>
        <w:t>д</w:t>
      </w:r>
      <w:r w:rsidRPr="00EC29D9">
        <w:rPr>
          <w:rFonts w:ascii="Times New Roman" w:hAnsi="Times New Roman"/>
          <w:sz w:val="28"/>
          <w:szCs w:val="28"/>
        </w:rPr>
        <w:t>оговір є </w:t>
      </w:r>
      <w:bookmarkStart w:id="3" w:name="w1_2"/>
      <w:r w:rsidRPr="00EC29D9">
        <w:rPr>
          <w:rFonts w:ascii="Times New Roman" w:hAnsi="Times New Roman"/>
          <w:sz w:val="28"/>
          <w:szCs w:val="28"/>
        </w:rPr>
        <w:fldChar w:fldCharType="begin"/>
      </w:r>
      <w:r w:rsidRPr="00EC29D9">
        <w:rPr>
          <w:rFonts w:ascii="Times New Roman" w:hAnsi="Times New Roman"/>
          <w:sz w:val="28"/>
          <w:szCs w:val="28"/>
        </w:rPr>
        <w:instrText xml:space="preserve"> HYPERLINK "https://zakon.rada.gov.ua/laws/show/435-15?find=1&amp;text=%D1%83%D0%BA%D0%BB%D0%B0%D0%B4%D0%B5%D0%BD%D0%B8%D0%BC" \l "w1_3" </w:instrText>
      </w:r>
      <w:r w:rsidRPr="00EC29D9">
        <w:rPr>
          <w:rFonts w:ascii="Times New Roman" w:hAnsi="Times New Roman"/>
          <w:sz w:val="28"/>
          <w:szCs w:val="28"/>
        </w:rPr>
        <w:fldChar w:fldCharType="separate"/>
      </w:r>
      <w:r w:rsidRPr="00EC29D9">
        <w:rPr>
          <w:rFonts w:ascii="Times New Roman" w:hAnsi="Times New Roman"/>
          <w:sz w:val="28"/>
          <w:szCs w:val="28"/>
        </w:rPr>
        <w:t>укладеним</w:t>
      </w:r>
      <w:r w:rsidRPr="00EC29D9">
        <w:rPr>
          <w:rFonts w:ascii="Times New Roman" w:hAnsi="Times New Roman"/>
          <w:sz w:val="28"/>
          <w:szCs w:val="28"/>
        </w:rPr>
        <w:fldChar w:fldCharType="end"/>
      </w:r>
      <w:bookmarkEnd w:id="3"/>
      <w:r w:rsidRPr="00EC29D9">
        <w:rPr>
          <w:rFonts w:ascii="Times New Roman" w:hAnsi="Times New Roman"/>
          <w:sz w:val="28"/>
          <w:szCs w:val="28"/>
        </w:rPr>
        <w:t xml:space="preserve">, </w:t>
      </w:r>
      <w:r w:rsidRPr="00EC29D9">
        <w:rPr>
          <w:rFonts w:ascii="Times New Roman" w:hAnsi="Times New Roman"/>
          <w:sz w:val="28"/>
          <w:szCs w:val="28"/>
          <w:u w:val="single"/>
        </w:rPr>
        <w:t>якщо сторони в належній формі досягли згоди</w:t>
      </w:r>
      <w:r w:rsidRPr="00EC29D9">
        <w:rPr>
          <w:rFonts w:ascii="Times New Roman" w:hAnsi="Times New Roman"/>
          <w:sz w:val="28"/>
          <w:szCs w:val="28"/>
        </w:rPr>
        <w:t xml:space="preserve"> з усіх істотних умов договору.</w:t>
      </w:r>
      <w:r w:rsidR="00E814BE">
        <w:rPr>
          <w:rFonts w:ascii="Times New Roman" w:hAnsi="Times New Roman"/>
          <w:sz w:val="28"/>
          <w:szCs w:val="28"/>
        </w:rPr>
        <w:t xml:space="preserve"> Більш того, особа, яка за законом взагалі не може мати у власності відповідну земельну ділянку, опиняється у привілейованому становищі порівняно з іншими, що, на наш погляд, порушує логіку встановлених земельним законодавством обмежень</w:t>
      </w:r>
      <w:r w:rsidR="00063696">
        <w:rPr>
          <w:rFonts w:ascii="Times New Roman" w:hAnsi="Times New Roman"/>
          <w:sz w:val="28"/>
          <w:szCs w:val="28"/>
        </w:rPr>
        <w:t>.</w:t>
      </w:r>
    </w:p>
    <w:p w:rsidR="00EA6444" w:rsidRDefault="00EA6444" w:rsidP="00F17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7C8C" w:rsidRDefault="00EA6444" w:rsidP="009A7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 У частині шостій</w:t>
      </w:r>
      <w:r w:rsidRPr="00EA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статті 120</w:t>
      </w:r>
      <w:r w:rsidRPr="001A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кодексу (в редакції законопроекту) вказано, що «я</w:t>
      </w:r>
      <w:r w:rsidRPr="00EA6444">
        <w:rPr>
          <w:rFonts w:ascii="Times New Roman" w:hAnsi="Times New Roman"/>
          <w:sz w:val="28"/>
          <w:szCs w:val="28"/>
        </w:rPr>
        <w:t xml:space="preserve">кщо сторони не досягли згоди щодо внесення зазначених змін до договору оренди землі, емфітевзису, суперфіцію, договір про внесення таких змін </w:t>
      </w:r>
      <w:r w:rsidRPr="00EA6444">
        <w:rPr>
          <w:rFonts w:ascii="Times New Roman" w:hAnsi="Times New Roman"/>
          <w:sz w:val="28"/>
          <w:szCs w:val="28"/>
          <w:u w:val="single"/>
        </w:rPr>
        <w:t xml:space="preserve">визнається укладеним за </w:t>
      </w:r>
      <w:r w:rsidRPr="009A7C8C">
        <w:rPr>
          <w:rFonts w:ascii="Times New Roman" w:hAnsi="Times New Roman"/>
          <w:sz w:val="28"/>
          <w:szCs w:val="28"/>
          <w:u w:val="single"/>
        </w:rPr>
        <w:t>рішенням суду</w:t>
      </w:r>
      <w:r w:rsidRPr="00EA6444">
        <w:rPr>
          <w:rFonts w:ascii="Times New Roman" w:hAnsi="Times New Roman"/>
          <w:sz w:val="28"/>
          <w:szCs w:val="28"/>
        </w:rPr>
        <w:t xml:space="preserve"> за позовом набувача</w:t>
      </w:r>
      <w:r>
        <w:rPr>
          <w:rFonts w:ascii="Times New Roman" w:hAnsi="Times New Roman"/>
          <w:sz w:val="28"/>
          <w:szCs w:val="28"/>
        </w:rPr>
        <w:t>»</w:t>
      </w:r>
      <w:r w:rsidRPr="00EA64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7C8C">
        <w:rPr>
          <w:rFonts w:ascii="Times New Roman" w:hAnsi="Times New Roman"/>
          <w:sz w:val="28"/>
          <w:szCs w:val="28"/>
        </w:rPr>
        <w:t>Вбачається, що</w:t>
      </w:r>
      <w:r w:rsidR="009A7C8C">
        <w:rPr>
          <w:rFonts w:ascii="Times New Roman" w:hAnsi="Times New Roman"/>
          <w:color w:val="000000"/>
          <w:sz w:val="28"/>
          <w:szCs w:val="28"/>
        </w:rPr>
        <w:t xml:space="preserve"> такі положення </w:t>
      </w:r>
      <w:r w:rsidR="009A7C8C" w:rsidRPr="009A7C8C">
        <w:rPr>
          <w:rFonts w:ascii="Times New Roman" w:hAnsi="Times New Roman"/>
          <w:bCs/>
          <w:color w:val="000000"/>
          <w:sz w:val="28"/>
          <w:szCs w:val="28"/>
        </w:rPr>
        <w:t>обмежують повноваження суду при здійсненні правосуддя</w:t>
      </w:r>
      <w:r w:rsidR="009A7C8C" w:rsidRPr="009A7C8C">
        <w:rPr>
          <w:rFonts w:ascii="Times New Roman" w:hAnsi="Times New Roman"/>
          <w:color w:val="000000"/>
          <w:sz w:val="28"/>
          <w:szCs w:val="28"/>
        </w:rPr>
        <w:t>,</w:t>
      </w:r>
      <w:r w:rsidR="009A7C8C">
        <w:rPr>
          <w:rFonts w:ascii="Times New Roman" w:hAnsi="Times New Roman"/>
          <w:color w:val="000000"/>
          <w:sz w:val="28"/>
          <w:szCs w:val="28"/>
        </w:rPr>
        <w:t xml:space="preserve"> що становитиме загрозу утвердження в державі принципу верховенства права, здійснення правосуддя на засадах, визначених Конституцією України та законами України. Крім того, зазначені положення суперечать статтям 126 і 129 Конституції України та не узгоджуються з відповідними статтями Закону України «Про судоустрій і статус суддів», згідно з якими </w:t>
      </w:r>
      <w:r w:rsidR="009A7C8C">
        <w:rPr>
          <w:rFonts w:ascii="Times New Roman" w:hAnsi="Times New Roman"/>
          <w:color w:val="000000"/>
          <w:sz w:val="28"/>
          <w:szCs w:val="28"/>
          <w:u w:val="single"/>
        </w:rPr>
        <w:t>суддя</w:t>
      </w:r>
      <w:r w:rsidR="009A7C8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 здійснюючи правосуддя, є незалежним та керується верховенством права, а вплив на нього у будь-який спосіб забороняється.</w:t>
      </w:r>
      <w:r w:rsidR="009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Незалежність і недоторканність судді гарантується Конституцією та законами України. </w:t>
      </w:r>
    </w:p>
    <w:p w:rsidR="00EA6444" w:rsidRPr="00EA6444" w:rsidRDefault="00EA6444" w:rsidP="00EA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3A2E" w:rsidRDefault="000511A3" w:rsidP="00173F45">
      <w:pPr>
        <w:spacing w:after="0" w:line="240" w:lineRule="auto"/>
        <w:ind w:firstLine="708"/>
        <w:jc w:val="both"/>
      </w:pPr>
      <w:r>
        <w:rPr>
          <w:rFonts w:ascii="Times New Roman" w:eastAsia="Times" w:hAnsi="Times New Roman"/>
          <w:bCs/>
          <w:sz w:val="28"/>
          <w:szCs w:val="20"/>
          <w:lang w:eastAsia="uk-UA"/>
        </w:rPr>
        <w:t>8</w:t>
      </w:r>
      <w:r w:rsidR="00DC01F0">
        <w:rPr>
          <w:rFonts w:ascii="Times New Roman" w:eastAsia="Times" w:hAnsi="Times New Roman"/>
          <w:bCs/>
          <w:sz w:val="28"/>
          <w:szCs w:val="20"/>
          <w:lang w:eastAsia="uk-UA"/>
        </w:rPr>
        <w:t>. П</w:t>
      </w:r>
      <w:r w:rsidR="00063A2E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ідпункт </w:t>
      </w:r>
      <w:r w:rsidR="00DC01F0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2 </w:t>
      </w:r>
      <w:r w:rsidR="00063A2E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пункту 2 </w:t>
      </w:r>
      <w:r w:rsidR="00DC01F0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розділу ІІ «Прикінцеві положення» </w:t>
      </w:r>
      <w:r w:rsidR="006D4EDA">
        <w:rPr>
          <w:rFonts w:ascii="Times New Roman" w:eastAsia="Times" w:hAnsi="Times New Roman"/>
          <w:bCs/>
          <w:sz w:val="28"/>
          <w:szCs w:val="20"/>
          <w:lang w:eastAsia="uk-UA"/>
        </w:rPr>
        <w:t>законо</w:t>
      </w:r>
      <w:r w:rsidR="00DC01F0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проекту </w:t>
      </w:r>
      <w:r w:rsidR="00063A2E">
        <w:rPr>
          <w:rFonts w:ascii="Times New Roman" w:eastAsia="Times" w:hAnsi="Times New Roman"/>
          <w:bCs/>
          <w:sz w:val="28"/>
          <w:szCs w:val="20"/>
          <w:lang w:eastAsia="uk-UA"/>
        </w:rPr>
        <w:t>містить дорученн</w:t>
      </w:r>
      <w:r w:rsidR="00411EC4">
        <w:rPr>
          <w:rFonts w:ascii="Times New Roman" w:eastAsia="Times" w:hAnsi="Times New Roman"/>
          <w:bCs/>
          <w:sz w:val="28"/>
          <w:szCs w:val="20"/>
          <w:lang w:eastAsia="uk-UA"/>
        </w:rPr>
        <w:t>я</w:t>
      </w:r>
      <w:r w:rsidR="00063A2E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Кабінету </w:t>
      </w:r>
      <w:r w:rsidR="00063A2E" w:rsidRPr="00063A2E">
        <w:rPr>
          <w:rFonts w:ascii="Times New Roman" w:eastAsia="Times" w:hAnsi="Times New Roman"/>
          <w:bCs/>
          <w:sz w:val="28"/>
          <w:szCs w:val="28"/>
          <w:lang w:eastAsia="uk-UA"/>
        </w:rPr>
        <w:t>Міністрів України «у 2022 році поінформувати Верховну Раду України про стан виконання цього Закону».</w:t>
      </w:r>
      <w:r w:rsidR="00063A2E">
        <w:t xml:space="preserve"> </w:t>
      </w:r>
    </w:p>
    <w:p w:rsidR="00227F1A" w:rsidRPr="0067768C" w:rsidRDefault="00227F1A" w:rsidP="00227F1A">
      <w:pPr>
        <w:pStyle w:val="afa"/>
        <w:spacing w:after="0" w:line="240" w:lineRule="auto"/>
        <w:ind w:left="0" w:firstLine="709"/>
        <w:contextualSpacing w:val="0"/>
        <w:jc w:val="both"/>
        <w:rPr>
          <w:rStyle w:val="st42"/>
          <w:sz w:val="28"/>
          <w:szCs w:val="28"/>
        </w:rPr>
      </w:pPr>
      <w:r w:rsidRPr="0067768C">
        <w:rPr>
          <w:rFonts w:ascii="Times New Roman" w:hAnsi="Times New Roman"/>
          <w:sz w:val="28"/>
          <w:szCs w:val="28"/>
        </w:rPr>
        <w:t>Підтримуючи необхідність запровадження повноцінного парламентського контролю щодо ефективності впровадження прийнятих законів, звертаємо увагу, що Верховна Рада України і Кабінет Міністрів України як органи державної влади мають діяти відповідно до частини другої статті 19 Конституції України (</w:t>
      </w:r>
      <w:r w:rsidRPr="0067768C">
        <w:rPr>
          <w:rStyle w:val="st42"/>
          <w:sz w:val="28"/>
          <w:szCs w:val="28"/>
        </w:rPr>
        <w:t xml:space="preserve">лише на підставі, в межах повноважень та у спосіб, що передбачені Конституцією та законами України). </w:t>
      </w:r>
    </w:p>
    <w:p w:rsidR="00227F1A" w:rsidRPr="0067768C" w:rsidRDefault="00227F1A" w:rsidP="00227F1A">
      <w:pPr>
        <w:pStyle w:val="a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68C">
        <w:rPr>
          <w:rFonts w:ascii="Times New Roman" w:hAnsi="Times New Roman"/>
          <w:sz w:val="28"/>
          <w:szCs w:val="28"/>
        </w:rPr>
        <w:t xml:space="preserve">Наразі статтею 15 Закону України </w:t>
      </w:r>
      <w:r w:rsidR="00C60DD4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="00C60DD4">
        <w:rPr>
          <w:rFonts w:ascii="Times New Roman" w:hAnsi="Times New Roman"/>
          <w:sz w:val="28"/>
          <w:szCs w:val="28"/>
        </w:rPr>
        <w:t>»</w:t>
      </w:r>
      <w:r w:rsidRPr="0067768C">
        <w:rPr>
          <w:rFonts w:ascii="Times New Roman" w:hAnsi="Times New Roman"/>
          <w:sz w:val="28"/>
          <w:szCs w:val="28"/>
        </w:rPr>
        <w:t xml:space="preserve"> передбачено, що </w:t>
      </w:r>
      <w:r w:rsidR="00AB326A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>порядок … відстеження результативності та перегляду законів, що регулюють господарські відносини та адміністративні відносини між регуляторними органами або іншими органами державної влади та суб'єктами господарювання, визначаються законом про Регламент Верховної Ради України з урахуванням вимог цього Закону</w:t>
      </w:r>
      <w:r w:rsidR="00C60DD4">
        <w:rPr>
          <w:rFonts w:ascii="Times New Roman" w:hAnsi="Times New Roman"/>
          <w:sz w:val="28"/>
          <w:szCs w:val="28"/>
        </w:rPr>
        <w:t>»</w:t>
      </w:r>
      <w:r w:rsidRPr="0067768C">
        <w:rPr>
          <w:rFonts w:ascii="Times New Roman" w:hAnsi="Times New Roman"/>
          <w:sz w:val="28"/>
          <w:szCs w:val="28"/>
        </w:rPr>
        <w:t xml:space="preserve">. А згідно зі статтею 16 цього ж Закону </w:t>
      </w:r>
      <w:r w:rsidR="00C60DD4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 xml:space="preserve">Кабінет Міністрів </w:t>
      </w:r>
      <w:r w:rsidRPr="0067768C">
        <w:rPr>
          <w:rFonts w:ascii="Times New Roman" w:hAnsi="Times New Roman"/>
          <w:sz w:val="28"/>
          <w:szCs w:val="28"/>
        </w:rPr>
        <w:lastRenderedPageBreak/>
        <w:t xml:space="preserve">України подає Верховній Раді України інформацію про здійснення державної регуляторної політики в системі органів виконавчої влади. Щорічні звіти Кабінету Міністрів України оприлюднюються шляхом їх опублікування в газетах </w:t>
      </w:r>
      <w:r w:rsidR="00C60DD4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>Голос України</w:t>
      </w:r>
      <w:r w:rsidR="00C60DD4">
        <w:rPr>
          <w:rFonts w:ascii="Times New Roman" w:hAnsi="Times New Roman"/>
          <w:sz w:val="28"/>
          <w:szCs w:val="28"/>
        </w:rPr>
        <w:t>»</w:t>
      </w:r>
      <w:r w:rsidRPr="0067768C">
        <w:rPr>
          <w:rFonts w:ascii="Times New Roman" w:hAnsi="Times New Roman"/>
          <w:sz w:val="28"/>
          <w:szCs w:val="28"/>
        </w:rPr>
        <w:t xml:space="preserve"> та </w:t>
      </w:r>
      <w:r w:rsidR="00C60DD4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>Урядовий кур'єр</w:t>
      </w:r>
      <w:r w:rsidR="00C60DD4">
        <w:rPr>
          <w:rFonts w:ascii="Times New Roman" w:hAnsi="Times New Roman"/>
          <w:sz w:val="28"/>
          <w:szCs w:val="28"/>
        </w:rPr>
        <w:t>»</w:t>
      </w:r>
      <w:r w:rsidRPr="0067768C">
        <w:rPr>
          <w:rFonts w:ascii="Times New Roman" w:hAnsi="Times New Roman"/>
          <w:sz w:val="28"/>
          <w:szCs w:val="28"/>
        </w:rPr>
        <w:t>.</w:t>
      </w:r>
    </w:p>
    <w:p w:rsidR="00227F1A" w:rsidRDefault="00227F1A" w:rsidP="00227F1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7768C">
        <w:rPr>
          <w:rFonts w:ascii="Times New Roman" w:hAnsi="Times New Roman"/>
          <w:sz w:val="28"/>
          <w:szCs w:val="28"/>
        </w:rPr>
        <w:t xml:space="preserve">Однак натепер ні Регламентом Верховної Ради України, ні Законом України </w:t>
      </w:r>
      <w:r w:rsidR="00C60DD4">
        <w:rPr>
          <w:rFonts w:ascii="Times New Roman" w:hAnsi="Times New Roman"/>
          <w:sz w:val="28"/>
          <w:szCs w:val="28"/>
        </w:rPr>
        <w:t>«</w:t>
      </w:r>
      <w:r w:rsidRPr="0067768C">
        <w:rPr>
          <w:rFonts w:ascii="Times New Roman" w:hAnsi="Times New Roman"/>
          <w:sz w:val="28"/>
          <w:szCs w:val="28"/>
        </w:rPr>
        <w:t>Про Кабінет Міністрів України</w:t>
      </w:r>
      <w:r w:rsidR="00C60DD4">
        <w:rPr>
          <w:rFonts w:ascii="Times New Roman" w:hAnsi="Times New Roman"/>
          <w:sz w:val="28"/>
          <w:szCs w:val="28"/>
        </w:rPr>
        <w:t>»</w:t>
      </w:r>
      <w:r w:rsidRPr="0067768C">
        <w:rPr>
          <w:rFonts w:ascii="Times New Roman" w:hAnsi="Times New Roman"/>
          <w:sz w:val="28"/>
          <w:szCs w:val="28"/>
        </w:rPr>
        <w:t xml:space="preserve"> не визначено строки, порядок, критерії та наслідки здійснення Верховною Радою України та Кабінетом Міністрів України оцінки стану виконання закону, а також процедуру подання та розгляду відповідних звітів. </w:t>
      </w:r>
    </w:p>
    <w:p w:rsidR="00DC01F0" w:rsidRDefault="00063A2E" w:rsidP="00173F45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8"/>
          <w:lang w:eastAsia="uk-UA"/>
        </w:rPr>
      </w:pPr>
      <w:r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</w:t>
      </w:r>
    </w:p>
    <w:p w:rsidR="00C60DD4" w:rsidRPr="00C3300D" w:rsidRDefault="00C60DD4" w:rsidP="00C60DD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C3300D">
        <w:rPr>
          <w:rFonts w:ascii="Times New Roman" w:eastAsia="Times New Roman" w:hAnsi="Times New Roman"/>
          <w:sz w:val="28"/>
          <w:szCs w:val="28"/>
          <w:lang w:eastAsia="ru-RU"/>
        </w:rPr>
        <w:t>Зважаючи на висловлені зауваження, пропонуємо законопроект доопрацювати з урахуванням можливостей, передбачених частиною шостою статті 118 Регламенту Верховної Ради України.</w:t>
      </w:r>
    </w:p>
    <w:p w:rsidR="00AB4F63" w:rsidRPr="00101DF6" w:rsidRDefault="00AB4F63" w:rsidP="001C4F02">
      <w:pPr>
        <w:spacing w:before="120" w:after="0" w:line="240" w:lineRule="auto"/>
        <w:jc w:val="both"/>
        <w:textAlignment w:val="top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FF55D0" w:rsidRDefault="00FF55D0" w:rsidP="003C1729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4C4D07" w:rsidRPr="001C4F02" w:rsidRDefault="004C4D07" w:rsidP="001C4F02">
      <w:pPr>
        <w:spacing w:after="0" w:line="240" w:lineRule="auto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  <w:r w:rsidRPr="001C4F02">
        <w:rPr>
          <w:rFonts w:ascii="Times New Roman" w:eastAsia="Times" w:hAnsi="Times New Roman"/>
          <w:b/>
          <w:bCs/>
          <w:sz w:val="28"/>
          <w:szCs w:val="20"/>
          <w:lang w:eastAsia="uk-UA"/>
        </w:rPr>
        <w:t>Заступник керівника</w:t>
      </w:r>
    </w:p>
    <w:p w:rsidR="00B82F5E" w:rsidRPr="00101DF6" w:rsidRDefault="004C4D07" w:rsidP="009135BB">
      <w:pPr>
        <w:spacing w:after="0" w:line="240" w:lineRule="auto"/>
        <w:rPr>
          <w:rFonts w:ascii="Times New Roman" w:hAnsi="Times New Roman"/>
          <w:sz w:val="28"/>
        </w:rPr>
      </w:pPr>
      <w:r w:rsidRPr="001C4F02">
        <w:rPr>
          <w:rFonts w:ascii="Times New Roman" w:eastAsia="Times" w:hAnsi="Times New Roman"/>
          <w:b/>
          <w:bCs/>
          <w:sz w:val="28"/>
          <w:szCs w:val="20"/>
          <w:lang w:eastAsia="uk-UA"/>
        </w:rPr>
        <w:t xml:space="preserve">Головного </w:t>
      </w:r>
      <w:r w:rsidR="005657CB" w:rsidRPr="001C4F02">
        <w:rPr>
          <w:rFonts w:ascii="Times New Roman" w:eastAsia="Times" w:hAnsi="Times New Roman"/>
          <w:b/>
          <w:bCs/>
          <w:sz w:val="28"/>
          <w:szCs w:val="20"/>
          <w:lang w:eastAsia="uk-UA"/>
        </w:rPr>
        <w:t>юридичного управління</w:t>
      </w:r>
      <w:r w:rsidRPr="00101DF6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="001768B6" w:rsidRPr="00101DF6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="001768B6" w:rsidRPr="00101DF6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="0066438A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3325A8">
        <w:rPr>
          <w:rFonts w:ascii="Times New Roman" w:eastAsia="Times" w:hAnsi="Times New Roman"/>
          <w:b/>
          <w:bCs/>
          <w:sz w:val="28"/>
          <w:szCs w:val="20"/>
          <w:lang w:eastAsia="uk-UA"/>
        </w:rPr>
        <w:t>В.</w:t>
      </w:r>
      <w:r w:rsidR="005D2995">
        <w:rPr>
          <w:rFonts w:ascii="Times New Roman" w:eastAsia="Times" w:hAnsi="Times New Roman"/>
          <w:b/>
          <w:bCs/>
          <w:sz w:val="28"/>
          <w:szCs w:val="20"/>
          <w:lang w:eastAsia="uk-UA"/>
        </w:rPr>
        <w:t xml:space="preserve"> </w:t>
      </w:r>
      <w:r w:rsidRPr="003325A8">
        <w:rPr>
          <w:rFonts w:ascii="Times New Roman" w:eastAsia="Times" w:hAnsi="Times New Roman"/>
          <w:b/>
          <w:bCs/>
          <w:sz w:val="28"/>
          <w:szCs w:val="20"/>
          <w:lang w:eastAsia="uk-UA"/>
        </w:rPr>
        <w:t>М</w:t>
      </w:r>
      <w:r w:rsidR="003325A8">
        <w:rPr>
          <w:rFonts w:ascii="Times New Roman" w:eastAsia="Times" w:hAnsi="Times New Roman"/>
          <w:b/>
          <w:bCs/>
          <w:sz w:val="28"/>
          <w:szCs w:val="20"/>
          <w:lang w:eastAsia="uk-UA"/>
        </w:rPr>
        <w:t>ІЛОВАНОВ</w:t>
      </w:r>
    </w:p>
    <w:sectPr w:rsidR="00B82F5E" w:rsidRPr="00101DF6" w:rsidSect="001B6BDF">
      <w:headerReference w:type="default" r:id="rId11"/>
      <w:footerReference w:type="default" r:id="rId12"/>
      <w:headerReference w:type="first" r:id="rId13"/>
      <w:pgSz w:w="11906" w:h="16838"/>
      <w:pgMar w:top="1134" w:right="851" w:bottom="1134" w:left="1418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B3" w:rsidRDefault="006A4BB3" w:rsidP="005E306B">
      <w:pPr>
        <w:spacing w:after="0" w:line="240" w:lineRule="auto"/>
      </w:pPr>
      <w:r>
        <w:separator/>
      </w:r>
    </w:p>
  </w:endnote>
  <w:endnote w:type="continuationSeparator" w:id="0">
    <w:p w:rsidR="006A4BB3" w:rsidRDefault="006A4BB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0C" w:rsidRDefault="00E97D0C">
    <w:pPr>
      <w:pStyle w:val="a5"/>
      <w:jc w:val="right"/>
    </w:pPr>
  </w:p>
  <w:p w:rsidR="00E97D0C" w:rsidRDefault="00E97D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B3" w:rsidRDefault="006A4BB3" w:rsidP="005E306B">
      <w:pPr>
        <w:spacing w:after="0" w:line="240" w:lineRule="auto"/>
      </w:pPr>
      <w:r>
        <w:separator/>
      </w:r>
    </w:p>
  </w:footnote>
  <w:footnote w:type="continuationSeparator" w:id="0">
    <w:p w:rsidR="006A4BB3" w:rsidRDefault="006A4BB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ED" w:rsidRPr="006025ED" w:rsidRDefault="0081629E">
    <w:pPr>
      <w:pStyle w:val="a3"/>
      <w:jc w:val="center"/>
      <w:rPr>
        <w:rFonts w:ascii="Times New Roman" w:hAnsi="Times New Roman"/>
        <w:sz w:val="28"/>
        <w:szCs w:val="28"/>
      </w:rPr>
    </w:pPr>
    <w:r w:rsidRPr="006025ED">
      <w:rPr>
        <w:rFonts w:ascii="Times New Roman" w:hAnsi="Times New Roman"/>
        <w:sz w:val="28"/>
        <w:szCs w:val="28"/>
      </w:rPr>
      <w:fldChar w:fldCharType="begin"/>
    </w:r>
    <w:r w:rsidR="006025ED" w:rsidRPr="006025ED">
      <w:rPr>
        <w:rFonts w:ascii="Times New Roman" w:hAnsi="Times New Roman"/>
        <w:sz w:val="28"/>
        <w:szCs w:val="28"/>
      </w:rPr>
      <w:instrText>PAGE   \* MERGEFORMAT</w:instrText>
    </w:r>
    <w:r w:rsidRPr="006025ED">
      <w:rPr>
        <w:rFonts w:ascii="Times New Roman" w:hAnsi="Times New Roman"/>
        <w:sz w:val="28"/>
        <w:szCs w:val="28"/>
      </w:rPr>
      <w:fldChar w:fldCharType="separate"/>
    </w:r>
    <w:r w:rsidR="00DF261F">
      <w:rPr>
        <w:rFonts w:ascii="Times New Roman" w:hAnsi="Times New Roman"/>
        <w:noProof/>
        <w:sz w:val="28"/>
        <w:szCs w:val="28"/>
      </w:rPr>
      <w:t>2</w:t>
    </w:r>
    <w:r w:rsidRPr="006025E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87"/>
      <w:gridCol w:w="9714"/>
      <w:gridCol w:w="1086"/>
      <w:gridCol w:w="70"/>
    </w:tblGrid>
    <w:tr w:rsidR="00E97D0C" w:rsidRPr="00AD7F82" w:rsidTr="00634A7D">
      <w:tc>
        <w:tcPr>
          <w:tcW w:w="1195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97D0C" w:rsidRPr="00AD7F82" w:rsidRDefault="00E97D0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97D0C" w:rsidRPr="00AD7F82" w:rsidRDefault="00E97D0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97D0C" w:rsidRPr="00AD7F82" w:rsidRDefault="00E97D0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97D0C" w:rsidRPr="002E0A18" w:rsidRDefault="00DF261F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D0C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E97D0C" w:rsidRPr="00A833C8" w:rsidRDefault="00E97D0C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E97D0C" w:rsidRPr="00A833C8" w:rsidRDefault="00E97D0C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5, тел.:255-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  <w:tr w:rsidR="007D771C" w:rsidRPr="00053776" w:rsidTr="00DA03F9">
      <w:tblPrEx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49" w:type="dxa"/>
      </w:trPr>
      <w:tc>
        <w:tcPr>
          <w:tcW w:w="1087" w:type="dxa"/>
          <w:tcBorders>
            <w:top w:val="nil"/>
          </w:tcBorders>
        </w:tcPr>
        <w:p w:rsidR="00E97D0C" w:rsidRPr="00DA03F9" w:rsidRDefault="00E97D0C" w:rsidP="00DA03F9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20"/>
              <w:szCs w:val="20"/>
            </w:rPr>
          </w:pPr>
        </w:p>
      </w:tc>
      <w:tc>
        <w:tcPr>
          <w:tcW w:w="9714" w:type="dxa"/>
        </w:tcPr>
        <w:p w:rsidR="00E97D0C" w:rsidRPr="00DA03F9" w:rsidRDefault="00E97D0C" w:rsidP="00DA03F9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20"/>
              <w:szCs w:val="20"/>
            </w:rPr>
          </w:pPr>
        </w:p>
      </w:tc>
      <w:tc>
        <w:tcPr>
          <w:tcW w:w="1086" w:type="dxa"/>
          <w:tcBorders>
            <w:top w:val="nil"/>
          </w:tcBorders>
        </w:tcPr>
        <w:p w:rsidR="00E97D0C" w:rsidRPr="00DA03F9" w:rsidRDefault="00E97D0C" w:rsidP="00DA03F9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20"/>
              <w:szCs w:val="20"/>
            </w:rPr>
          </w:pPr>
        </w:p>
      </w:tc>
    </w:tr>
  </w:tbl>
  <w:p w:rsidR="00E97D0C" w:rsidRPr="004F7B8A" w:rsidRDefault="00E97D0C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A2E"/>
    <w:multiLevelType w:val="hybridMultilevel"/>
    <w:tmpl w:val="A06C0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926"/>
    <w:multiLevelType w:val="hybridMultilevel"/>
    <w:tmpl w:val="B782A262"/>
    <w:lvl w:ilvl="0" w:tplc="FA24F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571CE"/>
    <w:multiLevelType w:val="hybridMultilevel"/>
    <w:tmpl w:val="8D54579E"/>
    <w:lvl w:ilvl="0" w:tplc="5B56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120A9A"/>
    <w:multiLevelType w:val="hybridMultilevel"/>
    <w:tmpl w:val="F5427C32"/>
    <w:lvl w:ilvl="0" w:tplc="42BC9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31DE7"/>
    <w:multiLevelType w:val="hybridMultilevel"/>
    <w:tmpl w:val="0C36E016"/>
    <w:lvl w:ilvl="0" w:tplc="FCDE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80AA3"/>
    <w:multiLevelType w:val="hybridMultilevel"/>
    <w:tmpl w:val="32BCC4AE"/>
    <w:lvl w:ilvl="0" w:tplc="F828C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525"/>
    <w:multiLevelType w:val="hybridMultilevel"/>
    <w:tmpl w:val="F35E0420"/>
    <w:lvl w:ilvl="0" w:tplc="FE1E5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5D4"/>
    <w:multiLevelType w:val="hybridMultilevel"/>
    <w:tmpl w:val="248C6AEA"/>
    <w:lvl w:ilvl="0" w:tplc="8D66F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E04679"/>
    <w:multiLevelType w:val="hybridMultilevel"/>
    <w:tmpl w:val="97C4AFCA"/>
    <w:lvl w:ilvl="0" w:tplc="E9FC07A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B25FEA"/>
    <w:multiLevelType w:val="hybridMultilevel"/>
    <w:tmpl w:val="04161764"/>
    <w:lvl w:ilvl="0" w:tplc="E194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710699"/>
    <w:multiLevelType w:val="hybridMultilevel"/>
    <w:tmpl w:val="8C1C7C00"/>
    <w:lvl w:ilvl="0" w:tplc="857ED7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22E3"/>
    <w:rsid w:val="00002514"/>
    <w:rsid w:val="00005215"/>
    <w:rsid w:val="00006331"/>
    <w:rsid w:val="000070AD"/>
    <w:rsid w:val="0001018B"/>
    <w:rsid w:val="000163C3"/>
    <w:rsid w:val="00020599"/>
    <w:rsid w:val="00022D29"/>
    <w:rsid w:val="000259B5"/>
    <w:rsid w:val="00030C4B"/>
    <w:rsid w:val="0003416D"/>
    <w:rsid w:val="0003435E"/>
    <w:rsid w:val="00034F0B"/>
    <w:rsid w:val="00037B42"/>
    <w:rsid w:val="0004280C"/>
    <w:rsid w:val="000510D6"/>
    <w:rsid w:val="000511A3"/>
    <w:rsid w:val="00055B42"/>
    <w:rsid w:val="00063696"/>
    <w:rsid w:val="00063A2E"/>
    <w:rsid w:val="0007002F"/>
    <w:rsid w:val="000707A3"/>
    <w:rsid w:val="00076F88"/>
    <w:rsid w:val="00077B1C"/>
    <w:rsid w:val="000807EC"/>
    <w:rsid w:val="00082379"/>
    <w:rsid w:val="00084D7C"/>
    <w:rsid w:val="00086027"/>
    <w:rsid w:val="00090DEF"/>
    <w:rsid w:val="00096DF9"/>
    <w:rsid w:val="000A1F90"/>
    <w:rsid w:val="000A7D90"/>
    <w:rsid w:val="000B0AE4"/>
    <w:rsid w:val="000B6CE8"/>
    <w:rsid w:val="000C3D53"/>
    <w:rsid w:val="000C5E21"/>
    <w:rsid w:val="000D2058"/>
    <w:rsid w:val="000D23EF"/>
    <w:rsid w:val="000D2434"/>
    <w:rsid w:val="000D286A"/>
    <w:rsid w:val="000D7944"/>
    <w:rsid w:val="000F1155"/>
    <w:rsid w:val="000F1586"/>
    <w:rsid w:val="000F4FC7"/>
    <w:rsid w:val="000F6144"/>
    <w:rsid w:val="0010062F"/>
    <w:rsid w:val="00101DF6"/>
    <w:rsid w:val="00107A43"/>
    <w:rsid w:val="00114E1A"/>
    <w:rsid w:val="00116E3E"/>
    <w:rsid w:val="00117711"/>
    <w:rsid w:val="00130563"/>
    <w:rsid w:val="00134C08"/>
    <w:rsid w:val="0014105A"/>
    <w:rsid w:val="00141617"/>
    <w:rsid w:val="00147DE3"/>
    <w:rsid w:val="00152EE6"/>
    <w:rsid w:val="00160961"/>
    <w:rsid w:val="001630F3"/>
    <w:rsid w:val="00171868"/>
    <w:rsid w:val="00173F45"/>
    <w:rsid w:val="001750EC"/>
    <w:rsid w:val="001768B6"/>
    <w:rsid w:val="0018063D"/>
    <w:rsid w:val="0019108F"/>
    <w:rsid w:val="001916A5"/>
    <w:rsid w:val="00193072"/>
    <w:rsid w:val="00195E1F"/>
    <w:rsid w:val="001966F0"/>
    <w:rsid w:val="00197602"/>
    <w:rsid w:val="001A05B3"/>
    <w:rsid w:val="001A56BB"/>
    <w:rsid w:val="001B09DD"/>
    <w:rsid w:val="001B5188"/>
    <w:rsid w:val="001B60F0"/>
    <w:rsid w:val="001B6BDF"/>
    <w:rsid w:val="001B6D3A"/>
    <w:rsid w:val="001C4F02"/>
    <w:rsid w:val="001C7899"/>
    <w:rsid w:val="001D0D78"/>
    <w:rsid w:val="001D1645"/>
    <w:rsid w:val="001D2700"/>
    <w:rsid w:val="001D3C24"/>
    <w:rsid w:val="001E03B0"/>
    <w:rsid w:val="001F148D"/>
    <w:rsid w:val="001F26B3"/>
    <w:rsid w:val="001F2D9D"/>
    <w:rsid w:val="001F3D1B"/>
    <w:rsid w:val="001F6F0E"/>
    <w:rsid w:val="001F7CD2"/>
    <w:rsid w:val="002065D6"/>
    <w:rsid w:val="0021114D"/>
    <w:rsid w:val="00215EF9"/>
    <w:rsid w:val="00217608"/>
    <w:rsid w:val="0022380A"/>
    <w:rsid w:val="00226A46"/>
    <w:rsid w:val="00227F1A"/>
    <w:rsid w:val="00230AA3"/>
    <w:rsid w:val="0023109C"/>
    <w:rsid w:val="00235CD7"/>
    <w:rsid w:val="002410A1"/>
    <w:rsid w:val="00246946"/>
    <w:rsid w:val="00260B8E"/>
    <w:rsid w:val="00271FD2"/>
    <w:rsid w:val="00275FD4"/>
    <w:rsid w:val="00276193"/>
    <w:rsid w:val="00285288"/>
    <w:rsid w:val="00287420"/>
    <w:rsid w:val="00287557"/>
    <w:rsid w:val="0029438D"/>
    <w:rsid w:val="002966D6"/>
    <w:rsid w:val="00297AF6"/>
    <w:rsid w:val="002A0091"/>
    <w:rsid w:val="002A267E"/>
    <w:rsid w:val="002A27B0"/>
    <w:rsid w:val="002A310D"/>
    <w:rsid w:val="002A5D4C"/>
    <w:rsid w:val="002B49F6"/>
    <w:rsid w:val="002B5FC1"/>
    <w:rsid w:val="002B6E46"/>
    <w:rsid w:val="002C3936"/>
    <w:rsid w:val="002C56E0"/>
    <w:rsid w:val="002C7434"/>
    <w:rsid w:val="002D0561"/>
    <w:rsid w:val="002D162B"/>
    <w:rsid w:val="002D283F"/>
    <w:rsid w:val="002D28AE"/>
    <w:rsid w:val="002D3861"/>
    <w:rsid w:val="002D3DDA"/>
    <w:rsid w:val="002D72BF"/>
    <w:rsid w:val="002E0A18"/>
    <w:rsid w:val="002E31BF"/>
    <w:rsid w:val="002E44DA"/>
    <w:rsid w:val="002E50FF"/>
    <w:rsid w:val="002E70D9"/>
    <w:rsid w:val="002E731B"/>
    <w:rsid w:val="002F69A3"/>
    <w:rsid w:val="002F78D5"/>
    <w:rsid w:val="003171A9"/>
    <w:rsid w:val="00317828"/>
    <w:rsid w:val="00322BDA"/>
    <w:rsid w:val="003269C4"/>
    <w:rsid w:val="003325A8"/>
    <w:rsid w:val="003340B2"/>
    <w:rsid w:val="003352D2"/>
    <w:rsid w:val="003371A7"/>
    <w:rsid w:val="003413A1"/>
    <w:rsid w:val="00342590"/>
    <w:rsid w:val="00346CB2"/>
    <w:rsid w:val="00352214"/>
    <w:rsid w:val="003624F4"/>
    <w:rsid w:val="0037235A"/>
    <w:rsid w:val="00373D01"/>
    <w:rsid w:val="00374E07"/>
    <w:rsid w:val="00381518"/>
    <w:rsid w:val="00381E54"/>
    <w:rsid w:val="00391F82"/>
    <w:rsid w:val="00393258"/>
    <w:rsid w:val="00393AAB"/>
    <w:rsid w:val="0039773A"/>
    <w:rsid w:val="003A2FB9"/>
    <w:rsid w:val="003A405A"/>
    <w:rsid w:val="003A40C4"/>
    <w:rsid w:val="003A49F9"/>
    <w:rsid w:val="003A525A"/>
    <w:rsid w:val="003A721B"/>
    <w:rsid w:val="003A763A"/>
    <w:rsid w:val="003B585B"/>
    <w:rsid w:val="003C1729"/>
    <w:rsid w:val="003C2253"/>
    <w:rsid w:val="003C4D91"/>
    <w:rsid w:val="003C5FA9"/>
    <w:rsid w:val="003C71F3"/>
    <w:rsid w:val="003D1205"/>
    <w:rsid w:val="003D1CBA"/>
    <w:rsid w:val="003D4421"/>
    <w:rsid w:val="003D46A2"/>
    <w:rsid w:val="003D75BE"/>
    <w:rsid w:val="003E5617"/>
    <w:rsid w:val="003E78FD"/>
    <w:rsid w:val="00404735"/>
    <w:rsid w:val="00411EC4"/>
    <w:rsid w:val="00415127"/>
    <w:rsid w:val="00415B05"/>
    <w:rsid w:val="0042002E"/>
    <w:rsid w:val="0042317D"/>
    <w:rsid w:val="004245BC"/>
    <w:rsid w:val="00426E69"/>
    <w:rsid w:val="00430F6F"/>
    <w:rsid w:val="004319D1"/>
    <w:rsid w:val="00432037"/>
    <w:rsid w:val="00432284"/>
    <w:rsid w:val="00432449"/>
    <w:rsid w:val="00436B7A"/>
    <w:rsid w:val="004442FE"/>
    <w:rsid w:val="00450048"/>
    <w:rsid w:val="00451750"/>
    <w:rsid w:val="00452EE8"/>
    <w:rsid w:val="00455074"/>
    <w:rsid w:val="00457DC4"/>
    <w:rsid w:val="00460B25"/>
    <w:rsid w:val="004612E6"/>
    <w:rsid w:val="00461614"/>
    <w:rsid w:val="00466B6E"/>
    <w:rsid w:val="00466E0D"/>
    <w:rsid w:val="00473FF3"/>
    <w:rsid w:val="00474B79"/>
    <w:rsid w:val="00474F96"/>
    <w:rsid w:val="00477E7B"/>
    <w:rsid w:val="004832BB"/>
    <w:rsid w:val="00487443"/>
    <w:rsid w:val="0049569E"/>
    <w:rsid w:val="004B1B00"/>
    <w:rsid w:val="004B3713"/>
    <w:rsid w:val="004C496E"/>
    <w:rsid w:val="004C4D07"/>
    <w:rsid w:val="004D1A78"/>
    <w:rsid w:val="004D6374"/>
    <w:rsid w:val="004D779B"/>
    <w:rsid w:val="004E37DA"/>
    <w:rsid w:val="004E428E"/>
    <w:rsid w:val="004E4F5C"/>
    <w:rsid w:val="004F3085"/>
    <w:rsid w:val="004F7B8A"/>
    <w:rsid w:val="00500E71"/>
    <w:rsid w:val="00501CEA"/>
    <w:rsid w:val="0050620F"/>
    <w:rsid w:val="00506527"/>
    <w:rsid w:val="00510A67"/>
    <w:rsid w:val="005114C3"/>
    <w:rsid w:val="00511E9C"/>
    <w:rsid w:val="00515774"/>
    <w:rsid w:val="0052092D"/>
    <w:rsid w:val="00524B46"/>
    <w:rsid w:val="00530DAF"/>
    <w:rsid w:val="005312F0"/>
    <w:rsid w:val="00533F5F"/>
    <w:rsid w:val="005340F6"/>
    <w:rsid w:val="005456B4"/>
    <w:rsid w:val="0055005A"/>
    <w:rsid w:val="005512F9"/>
    <w:rsid w:val="005523F4"/>
    <w:rsid w:val="0055437B"/>
    <w:rsid w:val="00554BB1"/>
    <w:rsid w:val="00555FEF"/>
    <w:rsid w:val="0055664C"/>
    <w:rsid w:val="00556764"/>
    <w:rsid w:val="0056352F"/>
    <w:rsid w:val="00564D5A"/>
    <w:rsid w:val="005655C9"/>
    <w:rsid w:val="005657CB"/>
    <w:rsid w:val="005711EA"/>
    <w:rsid w:val="00571348"/>
    <w:rsid w:val="00574281"/>
    <w:rsid w:val="005771DE"/>
    <w:rsid w:val="00587C27"/>
    <w:rsid w:val="00594E68"/>
    <w:rsid w:val="00596B2E"/>
    <w:rsid w:val="00597B1C"/>
    <w:rsid w:val="005A4368"/>
    <w:rsid w:val="005A4728"/>
    <w:rsid w:val="005B2F27"/>
    <w:rsid w:val="005B71F5"/>
    <w:rsid w:val="005B745E"/>
    <w:rsid w:val="005C2ADC"/>
    <w:rsid w:val="005C48DA"/>
    <w:rsid w:val="005C62E0"/>
    <w:rsid w:val="005C654C"/>
    <w:rsid w:val="005C688A"/>
    <w:rsid w:val="005C7471"/>
    <w:rsid w:val="005D247D"/>
    <w:rsid w:val="005D25CC"/>
    <w:rsid w:val="005D2995"/>
    <w:rsid w:val="005E306B"/>
    <w:rsid w:val="005E4948"/>
    <w:rsid w:val="005E4B91"/>
    <w:rsid w:val="005E7CE9"/>
    <w:rsid w:val="005F20B5"/>
    <w:rsid w:val="005F60A3"/>
    <w:rsid w:val="00601055"/>
    <w:rsid w:val="006025ED"/>
    <w:rsid w:val="006026A8"/>
    <w:rsid w:val="0060293D"/>
    <w:rsid w:val="00602F54"/>
    <w:rsid w:val="006035FF"/>
    <w:rsid w:val="00603CDF"/>
    <w:rsid w:val="00606DCB"/>
    <w:rsid w:val="006077C8"/>
    <w:rsid w:val="00607FBE"/>
    <w:rsid w:val="0061588D"/>
    <w:rsid w:val="006160A1"/>
    <w:rsid w:val="006243C1"/>
    <w:rsid w:val="00624EE0"/>
    <w:rsid w:val="0062567A"/>
    <w:rsid w:val="006267DA"/>
    <w:rsid w:val="00626A3E"/>
    <w:rsid w:val="0063097F"/>
    <w:rsid w:val="00630AE1"/>
    <w:rsid w:val="006312F4"/>
    <w:rsid w:val="006342D3"/>
    <w:rsid w:val="00634875"/>
    <w:rsid w:val="00634A7D"/>
    <w:rsid w:val="00637949"/>
    <w:rsid w:val="00640871"/>
    <w:rsid w:val="00641F40"/>
    <w:rsid w:val="00645156"/>
    <w:rsid w:val="006451CA"/>
    <w:rsid w:val="00650316"/>
    <w:rsid w:val="00650D29"/>
    <w:rsid w:val="006574CE"/>
    <w:rsid w:val="0066438A"/>
    <w:rsid w:val="0066623D"/>
    <w:rsid w:val="00673FD1"/>
    <w:rsid w:val="00675CE0"/>
    <w:rsid w:val="00675FB0"/>
    <w:rsid w:val="00685B8E"/>
    <w:rsid w:val="00695364"/>
    <w:rsid w:val="006976A0"/>
    <w:rsid w:val="006A0D6D"/>
    <w:rsid w:val="006A131F"/>
    <w:rsid w:val="006A27B8"/>
    <w:rsid w:val="006A327E"/>
    <w:rsid w:val="006A4BB3"/>
    <w:rsid w:val="006A4DA9"/>
    <w:rsid w:val="006A786C"/>
    <w:rsid w:val="006B2C5C"/>
    <w:rsid w:val="006B7703"/>
    <w:rsid w:val="006C003F"/>
    <w:rsid w:val="006C70C8"/>
    <w:rsid w:val="006D2D78"/>
    <w:rsid w:val="006D4EDA"/>
    <w:rsid w:val="006E2F1E"/>
    <w:rsid w:val="006E33EA"/>
    <w:rsid w:val="006F10E8"/>
    <w:rsid w:val="006F5F1A"/>
    <w:rsid w:val="0070169E"/>
    <w:rsid w:val="0070211C"/>
    <w:rsid w:val="00706710"/>
    <w:rsid w:val="00711787"/>
    <w:rsid w:val="00711B8D"/>
    <w:rsid w:val="00713E93"/>
    <w:rsid w:val="00725376"/>
    <w:rsid w:val="00726BD7"/>
    <w:rsid w:val="0073224C"/>
    <w:rsid w:val="00735A9B"/>
    <w:rsid w:val="00743082"/>
    <w:rsid w:val="00743F2F"/>
    <w:rsid w:val="0074674D"/>
    <w:rsid w:val="007473F5"/>
    <w:rsid w:val="00753597"/>
    <w:rsid w:val="00757828"/>
    <w:rsid w:val="00760B8D"/>
    <w:rsid w:val="00760FF1"/>
    <w:rsid w:val="00761244"/>
    <w:rsid w:val="00762280"/>
    <w:rsid w:val="00763A16"/>
    <w:rsid w:val="00766893"/>
    <w:rsid w:val="0076724E"/>
    <w:rsid w:val="00767B9C"/>
    <w:rsid w:val="00773614"/>
    <w:rsid w:val="00780112"/>
    <w:rsid w:val="00785925"/>
    <w:rsid w:val="00786463"/>
    <w:rsid w:val="00791D77"/>
    <w:rsid w:val="007964BB"/>
    <w:rsid w:val="007965C0"/>
    <w:rsid w:val="00797C0A"/>
    <w:rsid w:val="007A3467"/>
    <w:rsid w:val="007A4D3A"/>
    <w:rsid w:val="007A51D2"/>
    <w:rsid w:val="007A5A62"/>
    <w:rsid w:val="007B63F6"/>
    <w:rsid w:val="007B652A"/>
    <w:rsid w:val="007C0D40"/>
    <w:rsid w:val="007C62F8"/>
    <w:rsid w:val="007D003C"/>
    <w:rsid w:val="007D2784"/>
    <w:rsid w:val="007D771C"/>
    <w:rsid w:val="007E2A5D"/>
    <w:rsid w:val="007E2AB7"/>
    <w:rsid w:val="007E56A0"/>
    <w:rsid w:val="007F0E33"/>
    <w:rsid w:val="007F1D90"/>
    <w:rsid w:val="007F5D91"/>
    <w:rsid w:val="007F6DD4"/>
    <w:rsid w:val="0080545D"/>
    <w:rsid w:val="00806386"/>
    <w:rsid w:val="0080736E"/>
    <w:rsid w:val="008104C0"/>
    <w:rsid w:val="00812C0A"/>
    <w:rsid w:val="00815500"/>
    <w:rsid w:val="0081629E"/>
    <w:rsid w:val="00823B6E"/>
    <w:rsid w:val="00827A31"/>
    <w:rsid w:val="0083234F"/>
    <w:rsid w:val="00835B25"/>
    <w:rsid w:val="00835EBD"/>
    <w:rsid w:val="00837D26"/>
    <w:rsid w:val="008438F2"/>
    <w:rsid w:val="00843C24"/>
    <w:rsid w:val="00847B53"/>
    <w:rsid w:val="0085200C"/>
    <w:rsid w:val="00860123"/>
    <w:rsid w:val="00863310"/>
    <w:rsid w:val="008652EB"/>
    <w:rsid w:val="00870740"/>
    <w:rsid w:val="00871035"/>
    <w:rsid w:val="00871529"/>
    <w:rsid w:val="00872599"/>
    <w:rsid w:val="008737E4"/>
    <w:rsid w:val="0087682D"/>
    <w:rsid w:val="008775C8"/>
    <w:rsid w:val="008815D4"/>
    <w:rsid w:val="00882DF1"/>
    <w:rsid w:val="008844DE"/>
    <w:rsid w:val="00884DF9"/>
    <w:rsid w:val="00884FAA"/>
    <w:rsid w:val="00891E35"/>
    <w:rsid w:val="00894CB3"/>
    <w:rsid w:val="00896828"/>
    <w:rsid w:val="008A5095"/>
    <w:rsid w:val="008B1322"/>
    <w:rsid w:val="008B2F52"/>
    <w:rsid w:val="008B47E5"/>
    <w:rsid w:val="008B55B1"/>
    <w:rsid w:val="008C06B6"/>
    <w:rsid w:val="008C1269"/>
    <w:rsid w:val="008C4A59"/>
    <w:rsid w:val="008C630E"/>
    <w:rsid w:val="008C64B3"/>
    <w:rsid w:val="008C74C6"/>
    <w:rsid w:val="008D2A00"/>
    <w:rsid w:val="008E4DAD"/>
    <w:rsid w:val="008E63C0"/>
    <w:rsid w:val="009006F6"/>
    <w:rsid w:val="00901021"/>
    <w:rsid w:val="00902188"/>
    <w:rsid w:val="009135BB"/>
    <w:rsid w:val="00914660"/>
    <w:rsid w:val="009167C1"/>
    <w:rsid w:val="00924A82"/>
    <w:rsid w:val="00927219"/>
    <w:rsid w:val="00927A7A"/>
    <w:rsid w:val="00930B57"/>
    <w:rsid w:val="009317FA"/>
    <w:rsid w:val="00934CD6"/>
    <w:rsid w:val="0094090F"/>
    <w:rsid w:val="00940F45"/>
    <w:rsid w:val="00943713"/>
    <w:rsid w:val="00945B68"/>
    <w:rsid w:val="0094718C"/>
    <w:rsid w:val="00947B79"/>
    <w:rsid w:val="0095098B"/>
    <w:rsid w:val="00954A20"/>
    <w:rsid w:val="0095601A"/>
    <w:rsid w:val="00956278"/>
    <w:rsid w:val="00956CBF"/>
    <w:rsid w:val="00956F9D"/>
    <w:rsid w:val="00957D31"/>
    <w:rsid w:val="00961CF7"/>
    <w:rsid w:val="009641F3"/>
    <w:rsid w:val="00964D1E"/>
    <w:rsid w:val="009653F3"/>
    <w:rsid w:val="009655B6"/>
    <w:rsid w:val="00971991"/>
    <w:rsid w:val="00975A24"/>
    <w:rsid w:val="009763F8"/>
    <w:rsid w:val="00977821"/>
    <w:rsid w:val="00982C23"/>
    <w:rsid w:val="00984E26"/>
    <w:rsid w:val="00984E28"/>
    <w:rsid w:val="009871DC"/>
    <w:rsid w:val="00997863"/>
    <w:rsid w:val="009A126D"/>
    <w:rsid w:val="009A60AF"/>
    <w:rsid w:val="009A6935"/>
    <w:rsid w:val="009A720A"/>
    <w:rsid w:val="009A7398"/>
    <w:rsid w:val="009A78F4"/>
    <w:rsid w:val="009A7C8C"/>
    <w:rsid w:val="009B087B"/>
    <w:rsid w:val="009B4294"/>
    <w:rsid w:val="009B7B7E"/>
    <w:rsid w:val="009C0E16"/>
    <w:rsid w:val="009D0BE6"/>
    <w:rsid w:val="009D42AC"/>
    <w:rsid w:val="009E1946"/>
    <w:rsid w:val="009E1D41"/>
    <w:rsid w:val="009E3B38"/>
    <w:rsid w:val="009E4D2A"/>
    <w:rsid w:val="00A00059"/>
    <w:rsid w:val="00A01052"/>
    <w:rsid w:val="00A0372E"/>
    <w:rsid w:val="00A137C6"/>
    <w:rsid w:val="00A140BC"/>
    <w:rsid w:val="00A1710A"/>
    <w:rsid w:val="00A21F01"/>
    <w:rsid w:val="00A2493F"/>
    <w:rsid w:val="00A259FF"/>
    <w:rsid w:val="00A300F3"/>
    <w:rsid w:val="00A309BF"/>
    <w:rsid w:val="00A316EC"/>
    <w:rsid w:val="00A33521"/>
    <w:rsid w:val="00A344F8"/>
    <w:rsid w:val="00A37493"/>
    <w:rsid w:val="00A4047F"/>
    <w:rsid w:val="00A41E2F"/>
    <w:rsid w:val="00A43C8C"/>
    <w:rsid w:val="00A511B9"/>
    <w:rsid w:val="00A524A5"/>
    <w:rsid w:val="00A527B6"/>
    <w:rsid w:val="00A52D91"/>
    <w:rsid w:val="00A60519"/>
    <w:rsid w:val="00A63396"/>
    <w:rsid w:val="00A6612F"/>
    <w:rsid w:val="00A732EE"/>
    <w:rsid w:val="00A73928"/>
    <w:rsid w:val="00A73B65"/>
    <w:rsid w:val="00A74F94"/>
    <w:rsid w:val="00A75C19"/>
    <w:rsid w:val="00A802FA"/>
    <w:rsid w:val="00A833C8"/>
    <w:rsid w:val="00A86037"/>
    <w:rsid w:val="00A863B0"/>
    <w:rsid w:val="00A91837"/>
    <w:rsid w:val="00A93F47"/>
    <w:rsid w:val="00A94D5F"/>
    <w:rsid w:val="00A95E44"/>
    <w:rsid w:val="00A96D16"/>
    <w:rsid w:val="00A97E97"/>
    <w:rsid w:val="00AA1404"/>
    <w:rsid w:val="00AA6C05"/>
    <w:rsid w:val="00AB18BE"/>
    <w:rsid w:val="00AB1ECB"/>
    <w:rsid w:val="00AB326A"/>
    <w:rsid w:val="00AB4F63"/>
    <w:rsid w:val="00AD7F82"/>
    <w:rsid w:val="00AE1265"/>
    <w:rsid w:val="00AE4B24"/>
    <w:rsid w:val="00AE6025"/>
    <w:rsid w:val="00AF274F"/>
    <w:rsid w:val="00AF6FC4"/>
    <w:rsid w:val="00AF7B26"/>
    <w:rsid w:val="00B02E29"/>
    <w:rsid w:val="00B05C16"/>
    <w:rsid w:val="00B05FC4"/>
    <w:rsid w:val="00B12282"/>
    <w:rsid w:val="00B1316E"/>
    <w:rsid w:val="00B13350"/>
    <w:rsid w:val="00B154F8"/>
    <w:rsid w:val="00B15E57"/>
    <w:rsid w:val="00B16030"/>
    <w:rsid w:val="00B261F3"/>
    <w:rsid w:val="00B26264"/>
    <w:rsid w:val="00B26DF8"/>
    <w:rsid w:val="00B34D82"/>
    <w:rsid w:val="00B3658F"/>
    <w:rsid w:val="00B37859"/>
    <w:rsid w:val="00B444C3"/>
    <w:rsid w:val="00B450FA"/>
    <w:rsid w:val="00B517EC"/>
    <w:rsid w:val="00B553A4"/>
    <w:rsid w:val="00B5553E"/>
    <w:rsid w:val="00B562A7"/>
    <w:rsid w:val="00B71002"/>
    <w:rsid w:val="00B74FA4"/>
    <w:rsid w:val="00B76267"/>
    <w:rsid w:val="00B7642F"/>
    <w:rsid w:val="00B82F5E"/>
    <w:rsid w:val="00B82FC6"/>
    <w:rsid w:val="00B851B6"/>
    <w:rsid w:val="00B86387"/>
    <w:rsid w:val="00B93397"/>
    <w:rsid w:val="00B94CE8"/>
    <w:rsid w:val="00BA4108"/>
    <w:rsid w:val="00BA4ABE"/>
    <w:rsid w:val="00BB17B4"/>
    <w:rsid w:val="00BC2477"/>
    <w:rsid w:val="00BC33C7"/>
    <w:rsid w:val="00BC4BA0"/>
    <w:rsid w:val="00BD0801"/>
    <w:rsid w:val="00BD0F78"/>
    <w:rsid w:val="00BD2EDA"/>
    <w:rsid w:val="00BD304B"/>
    <w:rsid w:val="00BD4AC5"/>
    <w:rsid w:val="00BD5816"/>
    <w:rsid w:val="00BD7D40"/>
    <w:rsid w:val="00BE1FFB"/>
    <w:rsid w:val="00BE5189"/>
    <w:rsid w:val="00BF009E"/>
    <w:rsid w:val="00BF01D9"/>
    <w:rsid w:val="00BF1E95"/>
    <w:rsid w:val="00BF786D"/>
    <w:rsid w:val="00C05619"/>
    <w:rsid w:val="00C11FB6"/>
    <w:rsid w:val="00C12FA9"/>
    <w:rsid w:val="00C132BC"/>
    <w:rsid w:val="00C14321"/>
    <w:rsid w:val="00C20ADD"/>
    <w:rsid w:val="00C22D88"/>
    <w:rsid w:val="00C23EE1"/>
    <w:rsid w:val="00C25CC1"/>
    <w:rsid w:val="00C27AE9"/>
    <w:rsid w:val="00C35D7E"/>
    <w:rsid w:val="00C41A7D"/>
    <w:rsid w:val="00C52A84"/>
    <w:rsid w:val="00C52D8A"/>
    <w:rsid w:val="00C60DD4"/>
    <w:rsid w:val="00C63C5F"/>
    <w:rsid w:val="00C63C63"/>
    <w:rsid w:val="00C7670C"/>
    <w:rsid w:val="00C777B8"/>
    <w:rsid w:val="00C77806"/>
    <w:rsid w:val="00C96E82"/>
    <w:rsid w:val="00C9718D"/>
    <w:rsid w:val="00CA3DC3"/>
    <w:rsid w:val="00CA7806"/>
    <w:rsid w:val="00CB011C"/>
    <w:rsid w:val="00CC2D68"/>
    <w:rsid w:val="00CC32B0"/>
    <w:rsid w:val="00CC39A1"/>
    <w:rsid w:val="00CC3FF6"/>
    <w:rsid w:val="00CC6F98"/>
    <w:rsid w:val="00CD29D4"/>
    <w:rsid w:val="00CD4A38"/>
    <w:rsid w:val="00CE1498"/>
    <w:rsid w:val="00CE19E9"/>
    <w:rsid w:val="00CE2F5F"/>
    <w:rsid w:val="00CE380F"/>
    <w:rsid w:val="00CE3E1B"/>
    <w:rsid w:val="00CE3E2E"/>
    <w:rsid w:val="00CE4B19"/>
    <w:rsid w:val="00CE6A4B"/>
    <w:rsid w:val="00CF2D0B"/>
    <w:rsid w:val="00CF5557"/>
    <w:rsid w:val="00CF5908"/>
    <w:rsid w:val="00CF6049"/>
    <w:rsid w:val="00CF7DE5"/>
    <w:rsid w:val="00D02FAE"/>
    <w:rsid w:val="00D04469"/>
    <w:rsid w:val="00D06DDB"/>
    <w:rsid w:val="00D17094"/>
    <w:rsid w:val="00D20048"/>
    <w:rsid w:val="00D22A7E"/>
    <w:rsid w:val="00D242C2"/>
    <w:rsid w:val="00D2742A"/>
    <w:rsid w:val="00D31275"/>
    <w:rsid w:val="00D323BF"/>
    <w:rsid w:val="00D35557"/>
    <w:rsid w:val="00D36EE8"/>
    <w:rsid w:val="00D432D4"/>
    <w:rsid w:val="00D4621D"/>
    <w:rsid w:val="00D469B0"/>
    <w:rsid w:val="00D46C55"/>
    <w:rsid w:val="00D544DC"/>
    <w:rsid w:val="00D57E1B"/>
    <w:rsid w:val="00D608FF"/>
    <w:rsid w:val="00D66C34"/>
    <w:rsid w:val="00D729F5"/>
    <w:rsid w:val="00D77CD7"/>
    <w:rsid w:val="00D81C0C"/>
    <w:rsid w:val="00DA03F9"/>
    <w:rsid w:val="00DA5F3D"/>
    <w:rsid w:val="00DB5B5E"/>
    <w:rsid w:val="00DC01F0"/>
    <w:rsid w:val="00DC2FBC"/>
    <w:rsid w:val="00DC5069"/>
    <w:rsid w:val="00DC6938"/>
    <w:rsid w:val="00DD2496"/>
    <w:rsid w:val="00DD473E"/>
    <w:rsid w:val="00DD4B56"/>
    <w:rsid w:val="00DD6C75"/>
    <w:rsid w:val="00DD75AB"/>
    <w:rsid w:val="00DE0338"/>
    <w:rsid w:val="00DE07A0"/>
    <w:rsid w:val="00DF1680"/>
    <w:rsid w:val="00DF261F"/>
    <w:rsid w:val="00DF2FCF"/>
    <w:rsid w:val="00DF7CA2"/>
    <w:rsid w:val="00E10F08"/>
    <w:rsid w:val="00E1480C"/>
    <w:rsid w:val="00E25383"/>
    <w:rsid w:val="00E30E4F"/>
    <w:rsid w:val="00E3258E"/>
    <w:rsid w:val="00E33154"/>
    <w:rsid w:val="00E345F7"/>
    <w:rsid w:val="00E350E9"/>
    <w:rsid w:val="00E43744"/>
    <w:rsid w:val="00E43FFD"/>
    <w:rsid w:val="00E44861"/>
    <w:rsid w:val="00E44F5F"/>
    <w:rsid w:val="00E474E9"/>
    <w:rsid w:val="00E50354"/>
    <w:rsid w:val="00E569B2"/>
    <w:rsid w:val="00E63088"/>
    <w:rsid w:val="00E63247"/>
    <w:rsid w:val="00E704F0"/>
    <w:rsid w:val="00E72240"/>
    <w:rsid w:val="00E76639"/>
    <w:rsid w:val="00E814BE"/>
    <w:rsid w:val="00E81AB8"/>
    <w:rsid w:val="00E81CEB"/>
    <w:rsid w:val="00E82A5D"/>
    <w:rsid w:val="00E84362"/>
    <w:rsid w:val="00E90656"/>
    <w:rsid w:val="00E93C70"/>
    <w:rsid w:val="00E95012"/>
    <w:rsid w:val="00E970FD"/>
    <w:rsid w:val="00E97847"/>
    <w:rsid w:val="00E97D0C"/>
    <w:rsid w:val="00EA3B0F"/>
    <w:rsid w:val="00EA4EBA"/>
    <w:rsid w:val="00EA6444"/>
    <w:rsid w:val="00EA6C0B"/>
    <w:rsid w:val="00EB12FD"/>
    <w:rsid w:val="00EB506C"/>
    <w:rsid w:val="00EC19E5"/>
    <w:rsid w:val="00EC205B"/>
    <w:rsid w:val="00EC29D9"/>
    <w:rsid w:val="00EC3859"/>
    <w:rsid w:val="00EC4011"/>
    <w:rsid w:val="00ED38A0"/>
    <w:rsid w:val="00ED5FA9"/>
    <w:rsid w:val="00EE313E"/>
    <w:rsid w:val="00EE54DB"/>
    <w:rsid w:val="00EE5753"/>
    <w:rsid w:val="00EE7354"/>
    <w:rsid w:val="00EF15DE"/>
    <w:rsid w:val="00F01A33"/>
    <w:rsid w:val="00F100DA"/>
    <w:rsid w:val="00F1759C"/>
    <w:rsid w:val="00F2727D"/>
    <w:rsid w:val="00F3062C"/>
    <w:rsid w:val="00F322E4"/>
    <w:rsid w:val="00F33BF4"/>
    <w:rsid w:val="00F34717"/>
    <w:rsid w:val="00F36DE0"/>
    <w:rsid w:val="00F37B1A"/>
    <w:rsid w:val="00F428A5"/>
    <w:rsid w:val="00F43251"/>
    <w:rsid w:val="00F44513"/>
    <w:rsid w:val="00F448D5"/>
    <w:rsid w:val="00F50A76"/>
    <w:rsid w:val="00F54593"/>
    <w:rsid w:val="00F549A8"/>
    <w:rsid w:val="00F55423"/>
    <w:rsid w:val="00F6378E"/>
    <w:rsid w:val="00F773A9"/>
    <w:rsid w:val="00F817D5"/>
    <w:rsid w:val="00F91DD3"/>
    <w:rsid w:val="00F922A7"/>
    <w:rsid w:val="00F92D96"/>
    <w:rsid w:val="00F93924"/>
    <w:rsid w:val="00F93E68"/>
    <w:rsid w:val="00F94174"/>
    <w:rsid w:val="00F941B1"/>
    <w:rsid w:val="00F9528D"/>
    <w:rsid w:val="00F96369"/>
    <w:rsid w:val="00FA0CC4"/>
    <w:rsid w:val="00FA254E"/>
    <w:rsid w:val="00FA3921"/>
    <w:rsid w:val="00FA51E5"/>
    <w:rsid w:val="00FB2B0C"/>
    <w:rsid w:val="00FB2BBA"/>
    <w:rsid w:val="00FC3DF4"/>
    <w:rsid w:val="00FC5373"/>
    <w:rsid w:val="00FD4CCF"/>
    <w:rsid w:val="00FD5629"/>
    <w:rsid w:val="00FE2BB4"/>
    <w:rsid w:val="00FF11E1"/>
    <w:rsid w:val="00FF279B"/>
    <w:rsid w:val="00FF55D0"/>
    <w:rsid w:val="00FF5E59"/>
    <w:rsid w:val="00FF671C"/>
    <w:rsid w:val="00FF7A4D"/>
    <w:rsid w:val="00FF7D62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EE4147-6932-471D-A0E1-6F67D0F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8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uiPriority w:val="99"/>
    <w:semiHidden/>
    <w:unhideWhenUsed/>
    <w:rsid w:val="008D2A00"/>
    <w:rPr>
      <w:vertAlign w:val="superscript"/>
    </w:rPr>
  </w:style>
  <w:style w:type="paragraph" w:styleId="af3">
    <w:name w:val="No Spacing"/>
    <w:uiPriority w:val="99"/>
    <w:qFormat/>
    <w:rsid w:val="002966D6"/>
    <w:rPr>
      <w:rFonts w:ascii="Times New Roman" w:hAnsi="Times New Roman"/>
      <w:sz w:val="28"/>
      <w:szCs w:val="22"/>
      <w:lang w:val="ru-RU" w:eastAsia="en-US"/>
    </w:rPr>
  </w:style>
  <w:style w:type="character" w:customStyle="1" w:styleId="rvts0">
    <w:name w:val="rvts0"/>
    <w:basedOn w:val="a0"/>
    <w:qFormat/>
    <w:rsid w:val="002966D6"/>
  </w:style>
  <w:style w:type="character" w:styleId="af4">
    <w:name w:val="annotation reference"/>
    <w:uiPriority w:val="99"/>
    <w:semiHidden/>
    <w:unhideWhenUsed/>
    <w:rsid w:val="002238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380A"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link w:val="af5"/>
    <w:uiPriority w:val="99"/>
    <w:semiHidden/>
    <w:rsid w:val="0022380A"/>
    <w:rPr>
      <w:sz w:val="20"/>
      <w:szCs w:val="20"/>
      <w:lang w:val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380A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22380A"/>
    <w:rPr>
      <w:b/>
      <w:bCs/>
      <w:sz w:val="20"/>
      <w:szCs w:val="20"/>
      <w:lang w:val="uk-UA"/>
    </w:rPr>
  </w:style>
  <w:style w:type="character" w:styleId="af9">
    <w:name w:val="Hyperlink"/>
    <w:uiPriority w:val="99"/>
    <w:semiHidden/>
    <w:unhideWhenUsed/>
    <w:rsid w:val="00B82F5E"/>
    <w:rPr>
      <w:color w:val="0563C1"/>
      <w:u w:val="single"/>
    </w:rPr>
  </w:style>
  <w:style w:type="paragraph" w:styleId="afa">
    <w:name w:val="List Paragraph"/>
    <w:basedOn w:val="a"/>
    <w:uiPriority w:val="34"/>
    <w:qFormat/>
    <w:rsid w:val="00B82F5E"/>
    <w:pPr>
      <w:spacing w:line="252" w:lineRule="auto"/>
      <w:ind w:left="720"/>
      <w:contextualSpacing/>
    </w:pPr>
    <w:rPr>
      <w:rFonts w:cs="Calibri"/>
    </w:rPr>
  </w:style>
  <w:style w:type="character" w:styleId="afb">
    <w:name w:val="Emphasis"/>
    <w:qFormat/>
    <w:locked/>
    <w:rsid w:val="006E2F1E"/>
    <w:rPr>
      <w:i/>
      <w:iCs/>
    </w:rPr>
  </w:style>
  <w:style w:type="paragraph" w:customStyle="1" w:styleId="rvps2">
    <w:name w:val="rvps2"/>
    <w:basedOn w:val="a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">
    <w:name w:val="Font Style"/>
    <w:uiPriority w:val="99"/>
    <w:rsid w:val="00871035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87103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30">
    <w:name w:val="Заголовок 3 Знак"/>
    <w:link w:val="3"/>
    <w:uiPriority w:val="9"/>
    <w:rsid w:val="00884DF9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rvts23">
    <w:name w:val="rvts23"/>
    <w:basedOn w:val="a0"/>
    <w:rsid w:val="00CF7DE5"/>
  </w:style>
  <w:style w:type="character" w:customStyle="1" w:styleId="rvts9">
    <w:name w:val="rvts9"/>
    <w:basedOn w:val="a0"/>
    <w:rsid w:val="00EC3859"/>
  </w:style>
  <w:style w:type="character" w:customStyle="1" w:styleId="st42">
    <w:name w:val="st42"/>
    <w:uiPriority w:val="99"/>
    <w:rsid w:val="00227F1A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36-1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43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436-1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FE5E-8ECE-4B76-B75B-988E2858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9447</Words>
  <Characters>5386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14804</CharactersWithSpaces>
  <SharedDoc>false</SharedDoc>
  <HLinks>
    <vt:vector size="24" baseType="variant">
      <vt:variant>
        <vt:i4>6029370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https://zakon.rada.gov.ua/laws/show/435-15?find=1&amp;text=%D1%83%D0%BA%D0%BB%D0%B0%D0%B4%D0%B5%D0%BD%D0%B8%D0%BC</vt:lpwstr>
      </vt:variant>
      <vt:variant>
        <vt:lpwstr>w1_3</vt:lpwstr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https://zakon.rada.gov.ua/rada/show/436-15</vt:lpwstr>
      </vt:variant>
      <vt:variant>
        <vt:lpwstr>n1044</vt:lpwstr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https://zakon.rada.gov.ua/rada/show/436-15</vt:lpwstr>
      </vt:variant>
      <vt:variant>
        <vt:lpwstr>n1040</vt:lpwstr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https://zakon.rada.gov.ua/rada/show/436-15</vt:lpwstr>
      </vt:variant>
      <vt:variant>
        <vt:lpwstr>n1024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cp:lastModifiedBy>Саченко Ірина Павлівна</cp:lastModifiedBy>
  <cp:revision>2</cp:revision>
  <cp:lastPrinted>2020-12-15T12:23:00Z</cp:lastPrinted>
  <dcterms:created xsi:type="dcterms:W3CDTF">2021-07-27T07:52:00Z</dcterms:created>
  <dcterms:modified xsi:type="dcterms:W3CDTF">2021-07-27T07:52:00Z</dcterms:modified>
</cp:coreProperties>
</file>