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63" w:rsidRDefault="00580463" w:rsidP="00580463">
      <w:pPr>
        <w:ind w:firstLine="720"/>
        <w:jc w:val="right"/>
        <w:rPr>
          <w:sz w:val="28"/>
        </w:rPr>
      </w:pPr>
      <w:r w:rsidRPr="00580463">
        <w:rPr>
          <w:sz w:val="28"/>
        </w:rPr>
        <w:t>Проект</w:t>
      </w:r>
    </w:p>
    <w:p w:rsidR="00580463" w:rsidRDefault="00580463" w:rsidP="00580463">
      <w:pPr>
        <w:ind w:firstLine="720"/>
        <w:jc w:val="right"/>
        <w:rPr>
          <w:sz w:val="28"/>
        </w:rPr>
      </w:pPr>
      <w:r>
        <w:rPr>
          <w:sz w:val="28"/>
        </w:rPr>
        <w:t>(тираж 03.06.2021)</w:t>
      </w:r>
    </w:p>
    <w:p w:rsidR="00580463" w:rsidRPr="00580463" w:rsidRDefault="00580463" w:rsidP="00580463">
      <w:pPr>
        <w:ind w:firstLine="720"/>
        <w:jc w:val="right"/>
        <w:rPr>
          <w:sz w:val="28"/>
        </w:rPr>
      </w:pPr>
      <w:bookmarkStart w:id="0" w:name="_GoBack"/>
      <w:bookmarkEnd w:id="0"/>
    </w:p>
    <w:p w:rsidR="00580463" w:rsidRPr="00580463" w:rsidRDefault="00580463" w:rsidP="00580463">
      <w:pPr>
        <w:ind w:firstLine="720"/>
        <w:jc w:val="center"/>
        <w:rPr>
          <w:sz w:val="28"/>
        </w:rPr>
      </w:pPr>
      <w:r w:rsidRPr="00580463">
        <w:rPr>
          <w:b/>
          <w:sz w:val="28"/>
        </w:rPr>
        <w:t>Закон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України</w:t>
      </w:r>
    </w:p>
    <w:p w:rsidR="00580463" w:rsidRDefault="00580463" w:rsidP="00580463">
      <w:pPr>
        <w:ind w:firstLine="720"/>
        <w:jc w:val="center"/>
        <w:rPr>
          <w:b/>
          <w:sz w:val="28"/>
        </w:rPr>
      </w:pPr>
      <w:r w:rsidRPr="00580463">
        <w:rPr>
          <w:b/>
          <w:sz w:val="28"/>
        </w:rPr>
        <w:t>Про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внесення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змін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до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Закону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України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"Про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публічні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закупівлі"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та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інших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законів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України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щодо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вдосконалення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системи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функціонування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та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оскарження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публічних</w:t>
      </w:r>
      <w:r w:rsidRPr="00580463">
        <w:rPr>
          <w:b/>
          <w:sz w:val="28"/>
        </w:rPr>
        <w:t xml:space="preserve"> </w:t>
      </w:r>
      <w:r w:rsidRPr="00580463">
        <w:rPr>
          <w:b/>
          <w:sz w:val="28"/>
        </w:rPr>
        <w:t>закупівель</w:t>
      </w:r>
    </w:p>
    <w:p w:rsidR="00580463" w:rsidRPr="00580463" w:rsidRDefault="00580463" w:rsidP="00580463">
      <w:pPr>
        <w:ind w:firstLine="720"/>
        <w:jc w:val="center"/>
        <w:rPr>
          <w:sz w:val="28"/>
        </w:rPr>
      </w:pP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Верховна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Рада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постановляє</w:t>
      </w:r>
      <w:r w:rsidRPr="00580463">
        <w:rPr>
          <w:b/>
          <w:sz w:val="28"/>
        </w:rPr>
        <w:t>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І.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(Відомості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Верховної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2019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р.,</w:t>
      </w:r>
      <w:r w:rsidRPr="00580463">
        <w:rPr>
          <w:sz w:val="28"/>
        </w:rPr>
        <w:t xml:space="preserve"> </w:t>
      </w:r>
      <w:r w:rsidRPr="00580463">
        <w:rPr>
          <w:sz w:val="28"/>
        </w:rPr>
        <w:t>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45,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289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змінами)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зміни: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"2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</w:rPr>
        <w:t>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адміністратор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юридична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відповідальною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наповнення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веб-порталу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питань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"економічно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вигідної"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"тендерної";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8: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реченні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цифри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"пунктах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цифрами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"пунктах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1-3";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двома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реченнями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каталогу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здійснюється,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рахунок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авторизованим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майданчикам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доступу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нього.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користування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каталогом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безоплатним";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27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"21)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будь-який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предмет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зокрема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транспортні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освоєння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технологій,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наукові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дослідження,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науково-дослідні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дослідно-конструкторські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розробки,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медичне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побутове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обслуговування,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найм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(оренда),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лізинг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консультаційні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поточний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ремонт,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поточний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ремонт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розробленням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"27)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розроблення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об’єкти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будівництва,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науково-проектної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реставрацію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пам’яток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архітектури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містобудування,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будівництво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нових,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розширення,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реконструкція,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капітальний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ремонт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реставрація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існуючих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об’єктів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споруд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виробничого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невиробничого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призначення,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будівництва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об’єктів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розробленням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нормування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будівництві,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геологорозвідувальні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технічне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переоснащення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діючих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супровідні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роботам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геодезичні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буріння,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lastRenderedPageBreak/>
        <w:t>сейсмічні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дослідження,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аеро-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супутникова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фотозйомка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включаються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кошторисної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перевищує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самих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"частин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сьомої";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укладено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"8)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ціна,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закупівлю/документі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(документах),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(підтверджують)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придбання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(товарів),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(послуг),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цілей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термін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вживається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значенні,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наведеному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регулювання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ринків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послуг",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надавачем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резидент.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надавачем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нерезидент,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розуміються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нерезидента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згідно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документальне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підтвердження";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11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13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"11)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запозичень,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залучення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запозичень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гарантії,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обслуговування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погашення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боргу,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запозичень,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залучених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гарантії";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"13)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кредитів,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гарантій,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підготовки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реалізації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інвестиційних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державно-приватного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партнерства,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умовах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концесії,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організаціями.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цілей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організаціями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банк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реконструкції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розвитку,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корпорація,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Багатостороннє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агентство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гарантування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інвестицій,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асоціація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розвитку,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Європейський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банк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реконструкції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розвитку,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Європейський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інвестиційний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банк,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Північний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інвестиційний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банк,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Північна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екологічна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корпорація,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міжнародні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членом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Україна.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цілей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термін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"фінансова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установа"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вживається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значенні,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наведеному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регулювання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ринків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послуг",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надавачем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резидент.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надавачем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нерезидент,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розуміється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юридична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фінансові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lastRenderedPageBreak/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документальне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підтвердження";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двічі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спрощену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лотом)";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четвертий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"відсутність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технічних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причин,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документально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5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"закупівлі";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"8)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засноване(а)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громадською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осіб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інвалідністю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отримало(а)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дозвіл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користування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пільгами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оподаткування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5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"частин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шостої"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"частин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сьомої".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5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представники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добросовісно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користуватися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своїми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Забороняється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зловживання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7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використанням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6.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12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"12)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сторонами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умови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сторонами,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розірвання".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7.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11: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"трудової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угоди"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"трудового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"Уповноважена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відповідальною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десяту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  <w:vertAlign w:val="superscript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"3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</w:rPr>
        <w:t>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укладений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використання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тринадцятій: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"відбору/конкурентного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відбору"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"відбору";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четвертому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"(торгів)"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новим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зобов’язані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централізовану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самостійно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проводять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потребу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централізованій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організації".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зв'язку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вважати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сьомим;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"Структура,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використання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каталогів"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доступу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плати".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8.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"передбачені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9.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14: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"8)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період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уточнення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менше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оголошення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закупівель)";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9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"п’ять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оголошення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"два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періоду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уточнення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тринадцятої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неукладення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учасника"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"15.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учасником,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переможцем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10.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15: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відбору"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восьмій: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проводяться"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"проводиться";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дев’ятої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«або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відбору»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16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"потужності"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"спроможності".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18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"Стаття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18.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метою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неупередженого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ефективного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захисту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інтересів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осіб,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пов’язаних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утворює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(комісії)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повноваження,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України".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ухвалюються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імені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Повноваження,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утворення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Суб'єкт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вигляді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накладенням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кваліфікованого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підпису,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вважається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довірчі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послуги",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заповнення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окремими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полями,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обсязі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умови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завантажені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документальне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підтвердження/докази.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справляється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оплати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вноситься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формується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межах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єдиної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предмета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(лоти),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окремого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лота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(лотів)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кожним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лотом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окремо.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несе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відповідальність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точність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достовірність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заповнення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форми.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ризики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наслідків,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пов’язаних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неточної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недостовірної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заповнення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несе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сформована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відкликана.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номер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присвоєний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унікальний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номер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оголошення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унікальний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номер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найменування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оскаржуються;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ім’я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(найменування),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місце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проживання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(місцезнаходження)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посилання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фактичні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підтверджувати;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охоронюваних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інтересів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приводу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суперечать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внаслідок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інтереси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5)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перелік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(доказів),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підтверджують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охоронюваних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інтересів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приводу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суперечать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внаслідок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інтереси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пов’язані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відбулись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6)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обґрунтування.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наявності)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форматі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pdf),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підтверджують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викладену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неправомірність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взяти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телекомунікаційних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інтерактивному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режимі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реального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заяву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завантаження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Відразу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супровідними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надсилаються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6.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часткове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залишає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усунуто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припинення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усунуто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повертається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–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перераховується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бюджету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7.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оплати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повернення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випадках,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8.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оголошення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чотири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кінцевого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відбулися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дізнався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дізнатися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своїх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унаслідок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чотири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кінцевого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відбулися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оцінки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дізнався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дізнатися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своїх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унаслідок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бездіяльності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відбулися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дванадцятою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29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протоколу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оголошення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вносилися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вносилися,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підлягають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оскарженню.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(скарги)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(яких)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кілька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підлягають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lastRenderedPageBreak/>
        <w:t>оскарженню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(скарги)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подано.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четвертому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9.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закінчення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восьмої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лише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веб-порталі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чотири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10.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укладених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недійсності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відшкодування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збитків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внаслідок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судовому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перевищує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розмістити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місця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обґрунтоване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залишення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розсилаються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залишає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суб'єкт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самого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самій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самих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предметом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вимогам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п'ятої,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восьмої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дев'ятої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усунуто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відбувся,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будь-якого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припинення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1-4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дванадцятої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установлені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початку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реєстраційної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картки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становить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аргументовано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продовжено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засіданні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попереднім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письмовим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бажанням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сторін,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скаржника)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пояснення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засідання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запрошуються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сторони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(суб'єкт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додаткових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пояснень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тощо,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цьому,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суб'єкт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брати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телекомунікаційних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інтерактивному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режимі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реального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відкритим,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бажаючі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присутніми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розгляді.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присутні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використовувати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засоби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фото-,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відео-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звукозапису.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Резолютивна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відкритого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проголошується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прилюдно.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Відсутність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сторін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засіданні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перешкоджає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16.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одержаної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скаргою.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залучати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консультацій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експертних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висновків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представників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погодженням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керівниками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органів),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експертів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спеціалістів,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пов’язаними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володіють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спеціальними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знаннями,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професійного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неупередженого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Суб’єкт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висновки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експертів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спеціалістів,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володіють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спеціальними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знаннями.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Висновки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представників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експертів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спеціалістів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долучаються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справи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запитувати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отримувати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вигляді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контролюючих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осіб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запитів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Регламентом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Замовники,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контролюючі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запиту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Інформація,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суб'єкт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вважають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долучити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матеріали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вигляді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накладенням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кваліфікованого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підпису,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вважається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«Про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довірчі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послуги»,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заповнення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окремими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полями.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суб'єктом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врахована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17.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призупиняє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початок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аукціону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відбувся,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Замовнику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забороняється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вчиняти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будь-які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будь-які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відбувся,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спрямованих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розмістити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Укладення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забороняється.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Розгляд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зупиняє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перебіг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установлених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десятою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дванадцятою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29,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33,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Перебіг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продовжується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припинення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залишення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відмову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припинення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lastRenderedPageBreak/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залишення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розміщення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дату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аукціону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розсилає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подали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пропозиції.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18.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відсутність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Законом);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заходи,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вживатися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зокрема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зобов’язати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повністю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скасувати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свої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роз’яснення,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будь-які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дискримінаційні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умови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технічній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специфікації,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складовою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привести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неможливості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виправити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допущені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19.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обґрунтоване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зазначаються: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висновок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відсутність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висновок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повністю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відмову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задоволенні;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задоволено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повністю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зобов’язання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відновлення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моменту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попереднього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правомірної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20.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найменування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короткий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мотивувальну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резолютивну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5)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резолютивну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розміщує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відразу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розміщення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автоматично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надсилається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22.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набирають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чинності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обов’язковими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стосуються.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Якщо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суду,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30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окружного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адміністративного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суду,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територіальна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юрисдикція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поширюється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Київ,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30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обмежує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звернення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попереднього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звернення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22: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"відкритих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торгів"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"конкурентних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"кваліфікованого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підпису"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підпису,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базується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кваліфікованому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сертифікаті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підпису,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довірчі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послуги".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26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Кожен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учасник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подати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тільки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пропозицію/пропозицію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числі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тендерній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документації/оголошенні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предмета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(лота)".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четвертої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16.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29: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"ціна/вартість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життєвого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циклу"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"ціна",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"зокрема,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як"</w:t>
      </w:r>
      <w:r w:rsidRPr="00580463">
        <w:rPr>
          <w:sz w:val="28"/>
        </w:rPr>
        <w:t xml:space="preserve"> </w:t>
      </w:r>
      <w:r w:rsidRPr="00580463">
        <w:rPr>
          <w:sz w:val="28"/>
        </w:rPr>
        <w:t>–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"зокрема";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восьмій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життєвого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циклу"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"цінового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критерію/вартості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життєвого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циклу"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"цінового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критерію";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чотирнадцятої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"тендерної";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закупівлі/спрощеної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17.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33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метою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18.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40: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абзац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четвертий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редакції: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"відсутність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конкуренції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технічних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причин,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бути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документально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підтверджена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замовником";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оцінки"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розгляду/оцінки";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8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посиланням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19.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41: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закупівлі/спрощеної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п'ятій: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реченні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"підписання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"підписання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закупівлю/внесення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договору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збільшення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одиницю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товару";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друге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"дизельного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пального"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"природного";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десятому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цифру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"замовником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суб’єкт,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особливості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гарантованого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потреб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оборони"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"замовником,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“Про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оборонні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5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восьмої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"замовника"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виключити.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20.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"конкурентної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"конкурентної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закупівлі/спрощеної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Розділ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"Прикінцеві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  <w:vertAlign w:val="superscript"/>
        </w:rPr>
        <w:t>2</w:t>
      </w:r>
      <w:r w:rsidRPr="00580463">
        <w:rPr>
          <w:sz w:val="28"/>
          <w:vertAlign w:val="superscript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  <w:vertAlign w:val="superscript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"3</w:t>
      </w:r>
      <w:r w:rsidRPr="00580463">
        <w:rPr>
          <w:sz w:val="28"/>
          <w:vertAlign w:val="superscript"/>
        </w:rPr>
        <w:t>2</w:t>
      </w:r>
      <w:r w:rsidRPr="00580463">
        <w:rPr>
          <w:sz w:val="28"/>
        </w:rPr>
        <w:t>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Установити,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24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серпня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можуть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підготовки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заходів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відзначення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30-ї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річниці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незалежності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згідно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переліком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затвердженим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процедурою,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40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п'ять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</w:t>
      </w:r>
      <w:r w:rsidRPr="00580463">
        <w:rPr>
          <w:sz w:val="28"/>
          <w:vertAlign w:val="superscript"/>
        </w:rPr>
        <w:t>3</w:t>
      </w:r>
      <w:r w:rsidRPr="00580463">
        <w:rPr>
          <w:sz w:val="28"/>
        </w:rPr>
        <w:t>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Установити,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28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червня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робіт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послуг,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підготовки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заходів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відзначення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25-ї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річниці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Конституції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процедурою,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40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замовник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переговорної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процедури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ніж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оприлюднення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електронній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системі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намір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укласти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договір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закупівлю".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II.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Прикінцеві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набирає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чинності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опублікування,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крім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12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розділу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повноважень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оскарження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Комісії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(комісій)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набирають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чинності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(їх)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утворення,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враховуючи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розділу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"Прикінцеві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перехідні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положення"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повноважень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(Відомості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Верховної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р.,</w:t>
      </w:r>
      <w:r w:rsidRPr="00580463">
        <w:rPr>
          <w:sz w:val="28"/>
        </w:rPr>
        <w:t xml:space="preserve"> </w:t>
      </w:r>
      <w:r w:rsidRPr="00580463">
        <w:rPr>
          <w:sz w:val="28"/>
        </w:rPr>
        <w:t>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181).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Положення,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реченням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шістнадцятої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18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закупівлі",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вводяться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дію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через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12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місяців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опублікування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запобігання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корупції"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(Відомості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Верховної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2014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р.,</w:t>
      </w:r>
      <w:r w:rsidRPr="00580463">
        <w:rPr>
          <w:sz w:val="28"/>
        </w:rPr>
        <w:t xml:space="preserve"> </w:t>
      </w:r>
      <w:r w:rsidRPr="00580463">
        <w:rPr>
          <w:sz w:val="28"/>
        </w:rPr>
        <w:t>№</w:t>
      </w:r>
      <w:r w:rsidRPr="00580463">
        <w:rPr>
          <w:sz w:val="28"/>
        </w:rPr>
        <w:t xml:space="preserve"> </w:t>
      </w:r>
      <w:r w:rsidRPr="00580463">
        <w:rPr>
          <w:sz w:val="28"/>
        </w:rPr>
        <w:t>49,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2056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змінами):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примітку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51</w:t>
      </w:r>
      <w:r w:rsidRPr="00580463">
        <w:rPr>
          <w:sz w:val="28"/>
          <w:vertAlign w:val="superscript"/>
        </w:rPr>
        <w:t>3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"Антимонопольного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"уповноважений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б)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примітці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56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"Голови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України"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замінити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словами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"Голови,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Антимонопольного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комітету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уповноваженого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скарг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порушення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публічних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закупівель";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"Про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Національне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агентство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питань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виявлення,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розшуку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одержаними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корупційних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злочинів"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(Відомості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Верховної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2016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р.,</w:t>
      </w:r>
      <w:r w:rsidRPr="00580463">
        <w:rPr>
          <w:sz w:val="28"/>
        </w:rPr>
        <w:t xml:space="preserve"> </w:t>
      </w:r>
      <w:r w:rsidRPr="00580463">
        <w:rPr>
          <w:sz w:val="28"/>
        </w:rPr>
        <w:t>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ст.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наступними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змінами):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а)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сьому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шостим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"Дія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поширюється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виняткових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особливостями,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Законом";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б)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доповнити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змісту: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"Стаття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  <w:vertAlign w:val="superscript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Особливості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виняткових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випадках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виняткових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зазначеними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накладено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арешт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кримінальному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провадженні,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здійснюватися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шляхом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належить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міністерства,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виконавчої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влади,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господарському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товариству,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50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більше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відсотків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акцій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(часток)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знаходиться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статутних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капіталах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господарських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товариств,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частка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становить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100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відсотків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(далі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підприємство),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підставі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дотримання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вимог,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lastRenderedPageBreak/>
        <w:t>Винятковими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вважаються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наявності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хоча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однієї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існує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ризик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збою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переривання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може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призвести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виникнення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надзвичайних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ситуацій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збоїв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тепло-,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енерго-,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електро-,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водопостачанні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водовідведенні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постачанні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природного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газу;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існує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ризик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переривання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функціонування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оборонно-промислового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комплексу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авіабудівельної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галузі,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власності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перебувають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Після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усунення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(далі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-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характеру),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підлягають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21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обов’язковим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безперервності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Національне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агентство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повідомляє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особливостей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1)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протягом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надходження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19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документів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2)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невідкладно,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але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трьох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завершення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перевірки,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проведеної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22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виявлено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характеру,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пунктами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1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2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пізніше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п’яти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робочих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Національного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агентства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інформації,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другою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доручає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міністерству,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центральному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виконавчої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влади,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повноважень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належить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формування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реалізація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державної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політики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сфері,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якій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існує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ризик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виникнення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характеру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та/або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належать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провести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консультації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управителем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абзацом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першої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4.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результатами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консультацій,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частиною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третьою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міністерство,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центральний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виконавчої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погодженням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Національним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агентством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вносить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розгляд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проект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зв'язку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винятковим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випадком.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5.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зв'язку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винятковим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випадком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містити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обґрунтування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застосування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особливостей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передачі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назву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підприємства,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визначається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управителем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здійснення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перелік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lastRenderedPageBreak/>
        <w:t>передаються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необхідності)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доручення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органам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виконавчої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влади,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підприємствам,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установам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організаціям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щодо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вжиття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заходів,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спрямованих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запобігання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виникнення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характеру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6.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разі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надходження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прокурора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або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судового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рішення,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що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набрало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сили,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яким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скасовано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арешт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припиняється,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підлягають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поверненню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власнику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встановленому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7.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Управитель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повинен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забезпечити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збереження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вартості,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вжити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заходів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спрямованих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запобігання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виникнення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обставин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негативного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характеру.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Управитель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плату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(винагороду),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також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відшкодування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витрат,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понесених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зв’язку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безпосередньо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рахунок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доходів,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отриманих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визначеному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законодавством.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Управитель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має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права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відчужувати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активи,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передані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йому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управління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порядку,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передбаченому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цією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статтею".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3.</w:t>
      </w:r>
      <w:r w:rsidRPr="00580463">
        <w:rPr>
          <w:sz w:val="28"/>
        </w:rPr>
        <w:t xml:space="preserve"> </w:t>
      </w:r>
      <w:r w:rsidRPr="00580463">
        <w:rPr>
          <w:sz w:val="28"/>
        </w:rPr>
        <w:t>Кабінету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Міністрів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України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шестимісячний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строк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набрання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чинності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Законом: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забезпечити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прийняття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нормативно-правових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актів,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необхідних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для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реалізації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положень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цього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Закону;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привести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свої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нормативно-правові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Законом;</w:t>
      </w:r>
    </w:p>
    <w:p w:rsidR="00580463" w:rsidRPr="00580463" w:rsidRDefault="00580463" w:rsidP="00580463">
      <w:pPr>
        <w:ind w:firstLine="720"/>
        <w:jc w:val="both"/>
        <w:rPr>
          <w:sz w:val="28"/>
        </w:rPr>
      </w:pPr>
      <w:r w:rsidRPr="00580463">
        <w:rPr>
          <w:sz w:val="28"/>
        </w:rPr>
        <w:t>забезпечити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приведення</w:t>
      </w:r>
      <w:r w:rsidRPr="00580463">
        <w:rPr>
          <w:sz w:val="28"/>
        </w:rPr>
        <w:t xml:space="preserve"> </w:t>
      </w:r>
      <w:r w:rsidRPr="00580463">
        <w:rPr>
          <w:sz w:val="28"/>
        </w:rPr>
        <w:t>міністерствами,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іншими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центральними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органами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виконавчої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влади</w:t>
      </w:r>
      <w:r w:rsidRPr="00580463">
        <w:rPr>
          <w:sz w:val="28"/>
        </w:rPr>
        <w:t xml:space="preserve"> </w:t>
      </w:r>
      <w:r w:rsidRPr="00580463">
        <w:rPr>
          <w:sz w:val="28"/>
        </w:rPr>
        <w:t>їх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нормативно-правових</w:t>
      </w:r>
      <w:r w:rsidRPr="00580463">
        <w:rPr>
          <w:sz w:val="28"/>
        </w:rPr>
        <w:t xml:space="preserve"> </w:t>
      </w:r>
      <w:r w:rsidRPr="00580463">
        <w:rPr>
          <w:sz w:val="28"/>
        </w:rPr>
        <w:t>актів</w:t>
      </w:r>
      <w:r w:rsidRPr="00580463">
        <w:rPr>
          <w:sz w:val="28"/>
        </w:rPr>
        <w:t xml:space="preserve"> </w:t>
      </w:r>
      <w:r w:rsidRPr="00580463">
        <w:rPr>
          <w:sz w:val="28"/>
        </w:rPr>
        <w:t>у</w:t>
      </w:r>
      <w:r w:rsidRPr="00580463">
        <w:rPr>
          <w:sz w:val="28"/>
        </w:rPr>
        <w:t xml:space="preserve"> </w:t>
      </w:r>
      <w:r w:rsidRPr="00580463">
        <w:rPr>
          <w:sz w:val="28"/>
        </w:rPr>
        <w:t>відповідність</w:t>
      </w:r>
      <w:r w:rsidRPr="00580463">
        <w:rPr>
          <w:sz w:val="28"/>
        </w:rPr>
        <w:t xml:space="preserve"> </w:t>
      </w:r>
      <w:r w:rsidRPr="00580463">
        <w:rPr>
          <w:sz w:val="28"/>
        </w:rPr>
        <w:t>із</w:t>
      </w:r>
      <w:r w:rsidRPr="00580463">
        <w:rPr>
          <w:sz w:val="28"/>
        </w:rPr>
        <w:t xml:space="preserve"> </w:t>
      </w:r>
      <w:r w:rsidRPr="00580463">
        <w:rPr>
          <w:sz w:val="28"/>
        </w:rPr>
        <w:t>цим</w:t>
      </w:r>
      <w:r w:rsidRPr="00580463">
        <w:rPr>
          <w:sz w:val="28"/>
        </w:rPr>
        <w:t xml:space="preserve"> </w:t>
      </w:r>
      <w:r w:rsidRPr="00580463">
        <w:rPr>
          <w:sz w:val="28"/>
        </w:rPr>
        <w:t>Законом.</w:t>
      </w:r>
    </w:p>
    <w:p w:rsidR="00595064" w:rsidRPr="00580463" w:rsidRDefault="00595064" w:rsidP="00580463">
      <w:pPr>
        <w:ind w:firstLine="720"/>
        <w:jc w:val="both"/>
        <w:rPr>
          <w:sz w:val="28"/>
        </w:rPr>
      </w:pPr>
    </w:p>
    <w:sectPr w:rsidR="00595064" w:rsidRPr="00580463" w:rsidSect="00580463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63" w:rsidRDefault="00580463">
      <w:r>
        <w:separator/>
      </w:r>
    </w:p>
  </w:endnote>
  <w:endnote w:type="continuationSeparator" w:id="0">
    <w:p w:rsidR="00580463" w:rsidRDefault="005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63" w:rsidRDefault="00580463" w:rsidP="00C47E6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580463" w:rsidRDefault="005804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63" w:rsidRDefault="00580463" w:rsidP="00C47E6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580463" w:rsidRDefault="005804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63" w:rsidRDefault="00580463">
      <w:r>
        <w:separator/>
      </w:r>
    </w:p>
  </w:footnote>
  <w:footnote w:type="continuationSeparator" w:id="0">
    <w:p w:rsidR="00580463" w:rsidRDefault="0058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463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80463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47A4"/>
  <w15:chartTrackingRefBased/>
  <w15:docId w15:val="{1BB0AA4F-0113-413B-B41E-AB5A370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580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580463"/>
    <w:rPr>
      <w:sz w:val="28"/>
    </w:rPr>
  </w:style>
  <w:style w:type="character" w:styleId="aa">
    <w:name w:val="page number"/>
    <w:basedOn w:val="a1"/>
    <w:rsid w:val="0058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16</Pages>
  <Words>5008</Words>
  <Characters>33461</Characters>
  <Application>Microsoft Office Word</Application>
  <DocSecurity>0</DocSecurity>
  <Lines>669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38218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2021-06-04T08:57:00Z</dcterms:created>
  <dcterms:modified xsi:type="dcterms:W3CDTF">2021-06-04T08:58:00Z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