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44297B" w:rsidRDefault="00B932F6" w:rsidP="00491DD2">
      <w:pPr>
        <w:pStyle w:val="20"/>
        <w:ind w:left="5387"/>
        <w:jc w:val="left"/>
        <w:rPr>
          <w:b/>
          <w:bCs/>
        </w:rPr>
      </w:pPr>
      <w:r w:rsidRPr="0044297B">
        <w:rPr>
          <w:b/>
          <w:bCs/>
        </w:rPr>
        <w:t>Комітет Верховної Ради України з питань фінансів, податкової та митної політики</w:t>
      </w:r>
    </w:p>
    <w:p w:rsidR="00F52C66" w:rsidRDefault="00F52C66" w:rsidP="00491DD2">
      <w:pPr>
        <w:tabs>
          <w:tab w:val="left" w:pos="4344"/>
        </w:tabs>
        <w:spacing w:before="240"/>
        <w:jc w:val="both"/>
        <w:rPr>
          <w:b/>
          <w:bCs/>
          <w:sz w:val="28"/>
          <w:szCs w:val="28"/>
          <w:lang w:val="uk-UA"/>
        </w:rPr>
      </w:pPr>
      <w:r>
        <w:rPr>
          <w:i/>
          <w:lang w:val="uk-UA"/>
        </w:rPr>
        <w:t>До законопроекту за реєстр. № </w:t>
      </w:r>
      <w:r w:rsidR="00A97AFA">
        <w:rPr>
          <w:i/>
          <w:lang w:val="uk-UA"/>
        </w:rPr>
        <w:t>5364</w:t>
      </w:r>
      <w:r>
        <w:rPr>
          <w:i/>
          <w:lang w:val="uk-UA"/>
        </w:rPr>
        <w:t xml:space="preserve"> від </w:t>
      </w:r>
      <w:r w:rsidR="00A97AFA">
        <w:rPr>
          <w:i/>
          <w:lang w:val="uk-UA"/>
        </w:rPr>
        <w:t>12</w:t>
      </w:r>
      <w:r>
        <w:rPr>
          <w:i/>
          <w:lang w:val="uk-UA"/>
        </w:rPr>
        <w:t>.0</w:t>
      </w:r>
      <w:r w:rsidR="00A97AFA">
        <w:rPr>
          <w:i/>
          <w:lang w:val="uk-UA"/>
        </w:rPr>
        <w:t>4</w:t>
      </w:r>
      <w:r>
        <w:rPr>
          <w:i/>
          <w:lang w:val="uk-UA"/>
        </w:rPr>
        <w:t>.202</w:t>
      </w:r>
      <w:r w:rsidR="00A97AFA">
        <w:rPr>
          <w:i/>
          <w:lang w:val="uk-UA"/>
        </w:rPr>
        <w:t>1</w:t>
      </w:r>
    </w:p>
    <w:p w:rsidR="004E567E" w:rsidRPr="00C24823" w:rsidRDefault="00F52C66" w:rsidP="00491DD2">
      <w:pPr>
        <w:spacing w:before="240"/>
        <w:ind w:firstLine="720"/>
        <w:jc w:val="both"/>
        <w:rPr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 xml:space="preserve">Комітет Верховної Ради України з питань бюджету на засіданні </w:t>
      </w:r>
      <w:r w:rsidR="004947BD" w:rsidRPr="004947BD">
        <w:rPr>
          <w:sz w:val="28"/>
          <w:szCs w:val="28"/>
          <w:lang w:val="uk-UA"/>
        </w:rPr>
        <w:t>2</w:t>
      </w:r>
      <w:r w:rsidR="004947BD" w:rsidRPr="00C71FDD">
        <w:rPr>
          <w:sz w:val="28"/>
          <w:szCs w:val="28"/>
        </w:rPr>
        <w:t> </w:t>
      </w:r>
      <w:r w:rsidR="004947BD" w:rsidRPr="004947BD">
        <w:rPr>
          <w:sz w:val="28"/>
          <w:szCs w:val="28"/>
          <w:lang w:val="uk-UA"/>
        </w:rPr>
        <w:t>червня 2021</w:t>
      </w:r>
      <w:r w:rsidR="004947BD" w:rsidRPr="00C71FDD">
        <w:rPr>
          <w:sz w:val="28"/>
          <w:szCs w:val="28"/>
        </w:rPr>
        <w:t> </w:t>
      </w:r>
      <w:r w:rsidR="004947BD" w:rsidRPr="004947BD">
        <w:rPr>
          <w:sz w:val="28"/>
          <w:szCs w:val="28"/>
          <w:lang w:val="uk-UA"/>
        </w:rPr>
        <w:t>року (про</w:t>
      </w:r>
      <w:bookmarkStart w:id="0" w:name="_GoBack"/>
      <w:bookmarkEnd w:id="0"/>
      <w:r w:rsidR="004947BD" w:rsidRPr="004947BD">
        <w:rPr>
          <w:sz w:val="28"/>
          <w:szCs w:val="28"/>
          <w:lang w:val="uk-UA"/>
        </w:rPr>
        <w:t>токол №</w:t>
      </w:r>
      <w:r w:rsidR="004947BD" w:rsidRPr="00C71FDD">
        <w:rPr>
          <w:sz w:val="28"/>
          <w:szCs w:val="28"/>
        </w:rPr>
        <w:t> </w:t>
      </w:r>
      <w:r w:rsidR="004947BD" w:rsidRPr="004947BD">
        <w:rPr>
          <w:sz w:val="28"/>
          <w:szCs w:val="28"/>
          <w:lang w:val="uk-UA"/>
        </w:rPr>
        <w:t>90)</w:t>
      </w:r>
      <w:r w:rsidRPr="00C24823">
        <w:rPr>
          <w:sz w:val="28"/>
          <w:szCs w:val="27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A97AFA" w:rsidRPr="00C24823">
        <w:rPr>
          <w:sz w:val="28"/>
          <w:szCs w:val="27"/>
          <w:lang w:val="uk-UA"/>
        </w:rPr>
        <w:t>п</w:t>
      </w:r>
      <w:r w:rsidR="00D9299A" w:rsidRPr="00C24823">
        <w:rPr>
          <w:sz w:val="28"/>
          <w:szCs w:val="27"/>
          <w:lang w:val="uk-UA"/>
        </w:rPr>
        <w:t xml:space="preserve">ро </w:t>
      </w:r>
      <w:r w:rsidR="00A97AFA" w:rsidRPr="00C24823">
        <w:rPr>
          <w:sz w:val="28"/>
          <w:szCs w:val="27"/>
          <w:lang w:val="uk-UA"/>
        </w:rPr>
        <w:t>внесення змін до Податкового кодексу України щодо забезпечення сплати податку на доходи фізичних осіб за місцезнаходженням (місцем здійснення діяльності) юридичної особи та її відокремлених підрозділів</w:t>
      </w:r>
      <w:r w:rsidRPr="00C24823">
        <w:rPr>
          <w:sz w:val="28"/>
          <w:szCs w:val="27"/>
          <w:lang w:val="uk-UA"/>
        </w:rPr>
        <w:t xml:space="preserve"> (реєстр. </w:t>
      </w:r>
      <w:r w:rsidR="003700B8" w:rsidRPr="00C24823">
        <w:rPr>
          <w:sz w:val="28"/>
          <w:szCs w:val="27"/>
          <w:lang w:val="uk-UA"/>
        </w:rPr>
        <w:t>№ </w:t>
      </w:r>
      <w:r w:rsidR="00A97AFA" w:rsidRPr="00C24823">
        <w:rPr>
          <w:sz w:val="28"/>
          <w:szCs w:val="27"/>
          <w:lang w:val="uk-UA"/>
        </w:rPr>
        <w:t>5364 від 12.04.2021</w:t>
      </w:r>
      <w:r w:rsidRPr="00C24823">
        <w:rPr>
          <w:sz w:val="28"/>
          <w:szCs w:val="27"/>
          <w:lang w:val="uk-UA"/>
        </w:rPr>
        <w:t>), поданий народним депутат</w:t>
      </w:r>
      <w:r w:rsidR="009A5408" w:rsidRPr="00C24823">
        <w:rPr>
          <w:sz w:val="28"/>
          <w:szCs w:val="27"/>
          <w:lang w:val="uk-UA"/>
        </w:rPr>
        <w:t>о</w:t>
      </w:r>
      <w:r w:rsidRPr="00C24823">
        <w:rPr>
          <w:sz w:val="28"/>
          <w:szCs w:val="27"/>
          <w:lang w:val="uk-UA"/>
        </w:rPr>
        <w:t>м України</w:t>
      </w:r>
      <w:r w:rsidR="007D0FDA" w:rsidRPr="00C24823">
        <w:rPr>
          <w:sz w:val="28"/>
          <w:szCs w:val="27"/>
          <w:lang w:val="uk-UA"/>
        </w:rPr>
        <w:t xml:space="preserve"> </w:t>
      </w:r>
      <w:r w:rsidR="00A97AFA" w:rsidRPr="00C24823">
        <w:rPr>
          <w:sz w:val="28"/>
          <w:szCs w:val="27"/>
          <w:lang w:val="uk-UA"/>
        </w:rPr>
        <w:t>Ляшенко А.О.</w:t>
      </w:r>
    </w:p>
    <w:p w:rsidR="00D9299A" w:rsidRPr="00C24823" w:rsidRDefault="00F0414B" w:rsidP="00913733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 xml:space="preserve">Законопроектом </w:t>
      </w:r>
      <w:r w:rsidR="009A5408" w:rsidRPr="00C24823">
        <w:rPr>
          <w:sz w:val="28"/>
          <w:szCs w:val="27"/>
          <w:lang w:val="uk-UA"/>
        </w:rPr>
        <w:t>пропонується</w:t>
      </w:r>
      <w:r w:rsidR="00D9299A" w:rsidRPr="00C24823">
        <w:rPr>
          <w:sz w:val="28"/>
          <w:szCs w:val="27"/>
          <w:lang w:val="uk-UA"/>
        </w:rPr>
        <w:t>, зокрема:</w:t>
      </w:r>
    </w:p>
    <w:p w:rsidR="00A97AFA" w:rsidRPr="00C24823" w:rsidRDefault="00A97AFA" w:rsidP="00913733">
      <w:pPr>
        <w:ind w:firstLine="720"/>
        <w:jc w:val="both"/>
        <w:rPr>
          <w:bCs/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 xml:space="preserve">визначити, що </w:t>
      </w:r>
      <w:r w:rsidRPr="00C24823">
        <w:rPr>
          <w:bCs/>
          <w:sz w:val="28"/>
          <w:szCs w:val="27"/>
          <w:bdr w:val="none" w:sz="0" w:space="0" w:color="auto" w:frame="1"/>
          <w:lang w:val="uk-UA"/>
        </w:rPr>
        <w:t>відокремлені підрозділи – це</w:t>
      </w:r>
      <w:r w:rsidR="0026779E" w:rsidRPr="00C24823">
        <w:rPr>
          <w:bCs/>
          <w:sz w:val="28"/>
          <w:szCs w:val="27"/>
          <w:bdr w:val="none" w:sz="0" w:space="0" w:color="auto" w:frame="1"/>
          <w:lang w:val="uk-UA"/>
        </w:rPr>
        <w:t xml:space="preserve"> </w:t>
      </w:r>
      <w:r w:rsidR="0026779E" w:rsidRPr="00C24823">
        <w:rPr>
          <w:bCs/>
          <w:sz w:val="28"/>
          <w:szCs w:val="27"/>
          <w:lang w:val="uk-UA"/>
        </w:rPr>
        <w:t xml:space="preserve">будь-які підрозділи юридичної особи, які розташовані поза місцезнаходженням юридичної особи незалежно від організації їх структури та кількості </w:t>
      </w:r>
      <w:r w:rsidR="0026779E" w:rsidRPr="00C24823">
        <w:rPr>
          <w:sz w:val="28"/>
          <w:szCs w:val="27"/>
          <w:lang w:val="uk-UA"/>
        </w:rPr>
        <w:t>працівників (</w:t>
      </w:r>
      <w:r w:rsidR="0026779E" w:rsidRPr="00C24823">
        <w:rPr>
          <w:bCs/>
          <w:sz w:val="28"/>
          <w:szCs w:val="27"/>
          <w:lang w:val="uk-UA"/>
        </w:rPr>
        <w:t>найманих осіб</w:t>
      </w:r>
      <w:r w:rsidR="0026779E" w:rsidRPr="00C24823">
        <w:rPr>
          <w:sz w:val="28"/>
          <w:szCs w:val="27"/>
          <w:lang w:val="uk-UA"/>
        </w:rPr>
        <w:t>)</w:t>
      </w:r>
      <w:r w:rsidR="0026779E" w:rsidRPr="00C24823">
        <w:rPr>
          <w:bCs/>
          <w:sz w:val="28"/>
          <w:szCs w:val="27"/>
          <w:lang w:val="uk-UA"/>
        </w:rPr>
        <w:t>;</w:t>
      </w:r>
    </w:p>
    <w:p w:rsidR="0026779E" w:rsidRPr="00C24823" w:rsidRDefault="00671FD5" w:rsidP="00913733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bCs/>
          <w:sz w:val="28"/>
          <w:szCs w:val="27"/>
          <w:lang w:val="uk-UA"/>
        </w:rPr>
        <w:t>до функцій контролюючих органів</w:t>
      </w:r>
      <w:r w:rsidR="00F9622B" w:rsidRPr="00C24823">
        <w:rPr>
          <w:bCs/>
          <w:sz w:val="28"/>
          <w:szCs w:val="27"/>
          <w:lang w:val="uk-UA"/>
        </w:rPr>
        <w:t xml:space="preserve"> віднести здійснення </w:t>
      </w:r>
      <w:r w:rsidR="00F9622B" w:rsidRPr="00C24823">
        <w:rPr>
          <w:sz w:val="28"/>
          <w:szCs w:val="27"/>
          <w:lang w:val="uk-UA"/>
        </w:rPr>
        <w:t xml:space="preserve">контролю за порядком сплати (перерахування) податку на доходи фізичних осіб до відповідних місцевих бюджетів </w:t>
      </w:r>
      <w:r w:rsidR="00F9622B" w:rsidRPr="00C24823">
        <w:rPr>
          <w:bCs/>
          <w:sz w:val="28"/>
          <w:szCs w:val="27"/>
          <w:lang w:val="uk-UA"/>
        </w:rPr>
        <w:t>за місцезнаходженням (</w:t>
      </w:r>
      <w:r w:rsidR="00F9622B" w:rsidRPr="00C24823">
        <w:rPr>
          <w:sz w:val="28"/>
          <w:szCs w:val="27"/>
          <w:lang w:val="uk-UA"/>
        </w:rPr>
        <w:t>місцем здійснення діяльності</w:t>
      </w:r>
      <w:r w:rsidR="00F9622B" w:rsidRPr="00C24823">
        <w:rPr>
          <w:bCs/>
          <w:sz w:val="28"/>
          <w:szCs w:val="27"/>
          <w:lang w:val="uk-UA"/>
        </w:rPr>
        <w:t xml:space="preserve">) </w:t>
      </w:r>
      <w:r w:rsidR="00F9622B" w:rsidRPr="00C24823">
        <w:rPr>
          <w:sz w:val="28"/>
          <w:szCs w:val="27"/>
          <w:lang w:val="uk-UA"/>
        </w:rPr>
        <w:t>юридичних осіб та їх відокремлених підрозділів незалежно від організації їх структури;</w:t>
      </w:r>
    </w:p>
    <w:p w:rsidR="0026779E" w:rsidRPr="00C24823" w:rsidRDefault="00F9622B" w:rsidP="00F9622B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bCs/>
          <w:sz w:val="28"/>
          <w:szCs w:val="27"/>
          <w:lang w:val="uk-UA"/>
        </w:rPr>
        <w:t xml:space="preserve">встановити, що відповідальність за порушення </w:t>
      </w:r>
      <w:r w:rsidRPr="00C24823">
        <w:rPr>
          <w:sz w:val="28"/>
          <w:szCs w:val="27"/>
          <w:lang w:val="uk-UA"/>
        </w:rPr>
        <w:t xml:space="preserve">правил нарахування, утримання та сплати (перерахування) податку на доходи фізичних осіб до відповідного </w:t>
      </w:r>
      <w:r w:rsidR="00357FFE" w:rsidRPr="00C24823">
        <w:rPr>
          <w:sz w:val="28"/>
          <w:szCs w:val="27"/>
          <w:lang w:val="uk-UA"/>
        </w:rPr>
        <w:t xml:space="preserve">місцевого </w:t>
      </w:r>
      <w:r w:rsidRPr="00C24823">
        <w:rPr>
          <w:sz w:val="28"/>
          <w:szCs w:val="27"/>
          <w:lang w:val="uk-UA"/>
        </w:rPr>
        <w:t>бюджету за</w:t>
      </w:r>
      <w:r w:rsidR="00357FFE" w:rsidRPr="00C24823">
        <w:rPr>
          <w:sz w:val="28"/>
          <w:szCs w:val="27"/>
          <w:lang w:val="uk-UA"/>
        </w:rPr>
        <w:t xml:space="preserve"> місцезнаходженням</w:t>
      </w:r>
      <w:r w:rsidRPr="00C24823">
        <w:rPr>
          <w:sz w:val="28"/>
          <w:szCs w:val="27"/>
          <w:lang w:val="uk-UA"/>
        </w:rPr>
        <w:t xml:space="preserve"> </w:t>
      </w:r>
      <w:r w:rsidR="00357FFE" w:rsidRPr="00C24823">
        <w:rPr>
          <w:sz w:val="28"/>
          <w:szCs w:val="27"/>
          <w:lang w:val="uk-UA"/>
        </w:rPr>
        <w:t>(</w:t>
      </w:r>
      <w:r w:rsidRPr="00C24823">
        <w:rPr>
          <w:sz w:val="28"/>
          <w:szCs w:val="27"/>
          <w:lang w:val="uk-UA"/>
        </w:rPr>
        <w:t>місцем здійснення діяльності</w:t>
      </w:r>
      <w:r w:rsidR="00357FFE" w:rsidRPr="00C24823">
        <w:rPr>
          <w:sz w:val="28"/>
          <w:szCs w:val="27"/>
          <w:lang w:val="uk-UA"/>
        </w:rPr>
        <w:t>) відокремленого підрозділу, який уповноважений або не уповноважений</w:t>
      </w:r>
      <w:r w:rsidR="00B67935" w:rsidRPr="00C24823">
        <w:rPr>
          <w:sz w:val="28"/>
          <w:szCs w:val="27"/>
          <w:lang w:val="uk-UA"/>
        </w:rPr>
        <w:t xml:space="preserve"> сплачувати податок на доходи фізичних осіб,</w:t>
      </w:r>
      <w:r w:rsidRPr="00C24823">
        <w:rPr>
          <w:sz w:val="28"/>
          <w:szCs w:val="27"/>
          <w:lang w:val="uk-UA"/>
        </w:rPr>
        <w:t xml:space="preserve"> несе юридична особа – платник податків, у тому числі податковий агент</w:t>
      </w:r>
      <w:r w:rsidR="00B67935" w:rsidRPr="00C24823">
        <w:rPr>
          <w:sz w:val="28"/>
          <w:szCs w:val="27"/>
          <w:lang w:val="uk-UA"/>
        </w:rPr>
        <w:t>;</w:t>
      </w:r>
    </w:p>
    <w:p w:rsidR="00B67935" w:rsidRPr="00C24823" w:rsidRDefault="00156819" w:rsidP="00F9622B">
      <w:pPr>
        <w:ind w:firstLine="720"/>
        <w:jc w:val="both"/>
        <w:rPr>
          <w:bCs/>
          <w:sz w:val="28"/>
          <w:szCs w:val="27"/>
          <w:lang w:val="uk-UA"/>
        </w:rPr>
      </w:pPr>
      <w:r w:rsidRPr="00C24823">
        <w:rPr>
          <w:bCs/>
          <w:sz w:val="28"/>
          <w:szCs w:val="27"/>
          <w:lang w:val="uk-UA"/>
        </w:rPr>
        <w:t>визначити, що юридична особа та відокремлений підрозділ мають сплачувати (перераховувати) податок на доходи фізичних осіб до відповідного бюджету за місцезнаходженням (місцем здійснення діяльності).</w:t>
      </w:r>
    </w:p>
    <w:p w:rsidR="00B579CD" w:rsidRPr="00C24823" w:rsidRDefault="007C4CEA" w:rsidP="00913733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>Крім того, законопроектом передбачається уточнити положення статті 12</w:t>
      </w:r>
      <w:r w:rsidR="00156819" w:rsidRPr="00C24823">
        <w:rPr>
          <w:sz w:val="28"/>
          <w:szCs w:val="27"/>
          <w:lang w:val="uk-UA"/>
        </w:rPr>
        <w:t>5-1</w:t>
      </w:r>
      <w:r w:rsidRPr="00C24823">
        <w:rPr>
          <w:sz w:val="28"/>
          <w:szCs w:val="27"/>
          <w:lang w:val="uk-UA"/>
        </w:rPr>
        <w:t xml:space="preserve"> Податкового кодексу України</w:t>
      </w:r>
      <w:r w:rsidR="00B579CD" w:rsidRPr="00C24823">
        <w:rPr>
          <w:sz w:val="28"/>
          <w:szCs w:val="27"/>
          <w:lang w:val="uk-UA"/>
        </w:rPr>
        <w:t>,</w:t>
      </w:r>
      <w:r w:rsidRPr="00C24823">
        <w:rPr>
          <w:sz w:val="28"/>
          <w:szCs w:val="27"/>
          <w:lang w:val="uk-UA"/>
        </w:rPr>
        <w:t xml:space="preserve"> встановивши відповідальність за </w:t>
      </w:r>
      <w:r w:rsidR="00B579CD" w:rsidRPr="00C24823">
        <w:rPr>
          <w:sz w:val="28"/>
          <w:szCs w:val="27"/>
          <w:lang w:val="uk-UA"/>
        </w:rPr>
        <w:t>перерахування податку на доходи фізичних осіб з порушенням вимог статті 168 Податкового кодексу України шляхом накладення штрафу.</w:t>
      </w:r>
    </w:p>
    <w:p w:rsidR="00112EF0" w:rsidRPr="00C24823" w:rsidRDefault="00112EF0" w:rsidP="00112EF0">
      <w:pPr>
        <w:ind w:firstLine="709"/>
        <w:jc w:val="both"/>
        <w:rPr>
          <w:color w:val="000000"/>
          <w:sz w:val="28"/>
          <w:szCs w:val="27"/>
          <w:lang w:val="uk-UA"/>
        </w:rPr>
      </w:pPr>
      <w:r w:rsidRPr="00C24823">
        <w:rPr>
          <w:color w:val="000000"/>
          <w:sz w:val="28"/>
          <w:szCs w:val="27"/>
          <w:lang w:val="uk-UA"/>
        </w:rPr>
        <w:t>У пояснювальній записці до законопроекту вказано, що його прийняття:</w:t>
      </w:r>
    </w:p>
    <w:p w:rsidR="00112EF0" w:rsidRPr="00C24823" w:rsidRDefault="00112EF0" w:rsidP="00B42F8B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>сприятиме справедливому розподілу податку на доходи фізичних осіб між бюджетами місцевого самоврядування та підвищенню їх фінансової спроможності;</w:t>
      </w:r>
    </w:p>
    <w:p w:rsidR="00112EF0" w:rsidRPr="00C24823" w:rsidRDefault="00112EF0" w:rsidP="00B42F8B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lastRenderedPageBreak/>
        <w:t>врегулює питання сплати податку на доходи фізичних осіб підрозділами юридичної особи до бюджетів за місцем їх розташування (здійснення діяльності);</w:t>
      </w:r>
    </w:p>
    <w:p w:rsidR="00112EF0" w:rsidRPr="00C24823" w:rsidRDefault="00112EF0" w:rsidP="00B42F8B">
      <w:pPr>
        <w:ind w:firstLine="720"/>
        <w:jc w:val="both"/>
        <w:rPr>
          <w:color w:val="000000"/>
          <w:sz w:val="28"/>
          <w:szCs w:val="27"/>
          <w:lang w:val="uk-UA" w:eastAsia="uk-UA"/>
        </w:rPr>
      </w:pPr>
      <w:r w:rsidRPr="00C24823">
        <w:rPr>
          <w:sz w:val="28"/>
          <w:szCs w:val="27"/>
          <w:lang w:val="uk-UA"/>
        </w:rPr>
        <w:t>створить законодавче підґрунтя для контролю за сплатою цього податку відповідними підрозділами юридичної особи.</w:t>
      </w:r>
    </w:p>
    <w:p w:rsidR="00112EF0" w:rsidRPr="00C24823" w:rsidRDefault="00B42F8B" w:rsidP="00112EF0">
      <w:pPr>
        <w:ind w:firstLine="709"/>
        <w:jc w:val="both"/>
        <w:rPr>
          <w:sz w:val="28"/>
          <w:szCs w:val="27"/>
          <w:lang w:val="uk-UA"/>
        </w:rPr>
      </w:pPr>
      <w:r w:rsidRPr="00C24823">
        <w:rPr>
          <w:bCs/>
          <w:iCs/>
          <w:sz w:val="28"/>
          <w:szCs w:val="27"/>
          <w:lang w:val="uk-UA"/>
        </w:rPr>
        <w:t xml:space="preserve">Міністерство фінансів України у своєму експертному висновку зазначає, що реалізація положень законопроекту призведе до </w:t>
      </w:r>
      <w:r w:rsidR="00112EF0" w:rsidRPr="00C24823">
        <w:rPr>
          <w:bCs/>
          <w:iCs/>
          <w:sz w:val="28"/>
          <w:szCs w:val="27"/>
          <w:lang w:val="uk-UA"/>
        </w:rPr>
        <w:t>перерозподілу доходів між місцевими бюджетами</w:t>
      </w:r>
      <w:r w:rsidRPr="00C24823">
        <w:rPr>
          <w:bCs/>
          <w:iCs/>
          <w:sz w:val="28"/>
          <w:szCs w:val="27"/>
          <w:lang w:val="uk-UA"/>
        </w:rPr>
        <w:t>, а</w:t>
      </w:r>
      <w:r w:rsidRPr="00C24823">
        <w:rPr>
          <w:sz w:val="28"/>
          <w:szCs w:val="27"/>
          <w:lang w:val="uk-UA"/>
        </w:rPr>
        <w:t xml:space="preserve"> вартісну величину впливу на показники бюджетів розрахувати неможливо у зв'язку із відсутністю вихідних даних.</w:t>
      </w:r>
      <w:r w:rsidR="00491DD2" w:rsidRPr="00C24823">
        <w:rPr>
          <w:sz w:val="28"/>
          <w:szCs w:val="27"/>
          <w:lang w:val="uk-UA"/>
        </w:rPr>
        <w:t xml:space="preserve"> Загалом Мінфін висловлює зауваження щодо законопроекту та його не підтримує.</w:t>
      </w:r>
    </w:p>
    <w:p w:rsidR="00491DD2" w:rsidRPr="00C24823" w:rsidRDefault="00491DD2" w:rsidP="00491DD2">
      <w:pPr>
        <w:ind w:firstLine="709"/>
        <w:jc w:val="both"/>
        <w:rPr>
          <w:bCs/>
          <w:iCs/>
          <w:sz w:val="28"/>
          <w:szCs w:val="27"/>
          <w:lang w:val="uk-UA"/>
        </w:rPr>
      </w:pPr>
      <w:r w:rsidRPr="00C24823">
        <w:rPr>
          <w:bCs/>
          <w:iCs/>
          <w:sz w:val="28"/>
          <w:szCs w:val="27"/>
          <w:lang w:val="uk-UA"/>
        </w:rPr>
        <w:t>До законопроекту не надано фінансово-економічного обґрунтування (включаючи відповідні розрахунки), яке вимагається відповідно до норм частини першої статті 27 Бюджетного кодексу України та частини третьої статті 91 Регламенту Верховної Ради України.</w:t>
      </w:r>
    </w:p>
    <w:p w:rsidR="00B42F8B" w:rsidRPr="00C24823" w:rsidRDefault="00B42F8B" w:rsidP="00B42F8B">
      <w:pPr>
        <w:pStyle w:val="20"/>
        <w:ind w:firstLine="709"/>
        <w:rPr>
          <w:szCs w:val="27"/>
        </w:rPr>
      </w:pPr>
      <w:r w:rsidRPr="00C24823">
        <w:rPr>
          <w:szCs w:val="27"/>
        </w:rPr>
        <w:t>Передбачена законопроектом дата набрання чинності відповідного закону (</w:t>
      </w:r>
      <w:r w:rsidR="00491DD2" w:rsidRPr="00C24823">
        <w:rPr>
          <w:szCs w:val="27"/>
        </w:rPr>
        <w:t>з дня, наступного за днем опублікування</w:t>
      </w:r>
      <w:r w:rsidRPr="00C24823">
        <w:rPr>
          <w:szCs w:val="27"/>
        </w:rPr>
        <w:t>) не відповідає вимогам частини третьої статті</w:t>
      </w:r>
      <w:r w:rsidRPr="00C24823">
        <w:rPr>
          <w:szCs w:val="27"/>
          <w:lang w:val="ru-RU"/>
        </w:rPr>
        <w:t> </w:t>
      </w:r>
      <w:r w:rsidRPr="00C24823">
        <w:rPr>
          <w:szCs w:val="27"/>
        </w:rPr>
        <w:t>27 Бюджетного кодексу України щодо терміну введення в дію законів, які мають вплив на показники бюджету, а також підпункту</w:t>
      </w:r>
      <w:r w:rsidRPr="00C24823">
        <w:rPr>
          <w:szCs w:val="27"/>
          <w:lang w:val="ru-RU"/>
        </w:rPr>
        <w:t> </w:t>
      </w:r>
      <w:r w:rsidRPr="00C24823">
        <w:rPr>
          <w:szCs w:val="27"/>
        </w:rPr>
        <w:t>4.1.9 статті</w:t>
      </w:r>
      <w:r w:rsidRPr="00C24823">
        <w:rPr>
          <w:szCs w:val="27"/>
          <w:lang w:val="ru-RU"/>
        </w:rPr>
        <w:t> </w:t>
      </w:r>
      <w:r w:rsidRPr="00C24823">
        <w:rPr>
          <w:szCs w:val="27"/>
        </w:rPr>
        <w:t>4 Податкового кодексу України щодо стабільності податкового законодавства.</w:t>
      </w:r>
    </w:p>
    <w:p w:rsidR="00B42F8B" w:rsidRPr="00C24823" w:rsidRDefault="00B42F8B" w:rsidP="00B42F8B">
      <w:pPr>
        <w:pStyle w:val="20"/>
        <w:ind w:firstLine="709"/>
        <w:rPr>
          <w:szCs w:val="27"/>
        </w:rPr>
      </w:pPr>
      <w:r w:rsidRPr="00C24823">
        <w:rPr>
          <w:szCs w:val="27"/>
        </w:rPr>
        <w:t xml:space="preserve">Крім того, питання зарахування податку на доходи фізичних осіб до місцевих бюджетів певним чином унормовано частиною другою статті 64 Бюджетного кодексу України. Відтак, у разі підтримки даної законодавчої ініціативи необхідно </w:t>
      </w:r>
      <w:proofErr w:type="spellStart"/>
      <w:r w:rsidRPr="00C24823">
        <w:rPr>
          <w:szCs w:val="27"/>
        </w:rPr>
        <w:t>внести</w:t>
      </w:r>
      <w:proofErr w:type="spellEnd"/>
      <w:r w:rsidRPr="00C24823">
        <w:rPr>
          <w:szCs w:val="27"/>
        </w:rPr>
        <w:t xml:space="preserve"> відповідні зміни до Бюджетного кодексу України для законодавчого узгодження правових норм, на що також звертає увагу Головне науково-експертне управління Апарату Верховної Ради України.</w:t>
      </w:r>
    </w:p>
    <w:p w:rsidR="00B42F8B" w:rsidRPr="00C24823" w:rsidRDefault="00B42F8B" w:rsidP="00B42F8B">
      <w:pPr>
        <w:ind w:firstLine="720"/>
        <w:jc w:val="both"/>
        <w:rPr>
          <w:sz w:val="28"/>
          <w:szCs w:val="27"/>
          <w:lang w:val="uk-UA"/>
        </w:rPr>
      </w:pPr>
      <w:r w:rsidRPr="00C24823">
        <w:rPr>
          <w:rStyle w:val="a50"/>
          <w:sz w:val="28"/>
          <w:szCs w:val="27"/>
          <w:lang w:val="uk-UA"/>
        </w:rPr>
        <w:t>За підсумками розгляду Комітет</w:t>
      </w:r>
      <w:r w:rsidRPr="00C24823">
        <w:rPr>
          <w:bCs/>
          <w:sz w:val="28"/>
          <w:szCs w:val="27"/>
          <w:lang w:val="uk-UA"/>
        </w:rPr>
        <w:t xml:space="preserve"> прийняв рішення</w:t>
      </w:r>
      <w:r w:rsidRPr="00C24823">
        <w:rPr>
          <w:sz w:val="28"/>
          <w:szCs w:val="27"/>
          <w:lang w:val="uk-UA"/>
        </w:rPr>
        <w:t>, що:</w:t>
      </w:r>
    </w:p>
    <w:p w:rsidR="00B42F8B" w:rsidRPr="00C24823" w:rsidRDefault="00B42F8B" w:rsidP="00B42F8B">
      <w:pPr>
        <w:ind w:firstLine="720"/>
        <w:jc w:val="both"/>
        <w:rPr>
          <w:rStyle w:val="a50"/>
          <w:sz w:val="28"/>
          <w:szCs w:val="27"/>
          <w:lang w:val="uk-UA"/>
        </w:rPr>
      </w:pPr>
      <w:r w:rsidRPr="00C24823">
        <w:rPr>
          <w:sz w:val="28"/>
          <w:szCs w:val="27"/>
          <w:lang w:val="uk-UA"/>
        </w:rPr>
        <w:t xml:space="preserve">1) законопроект </w:t>
      </w:r>
      <w:r w:rsidRPr="00C24823">
        <w:rPr>
          <w:bCs/>
          <w:iCs/>
          <w:sz w:val="28"/>
          <w:szCs w:val="27"/>
          <w:lang w:val="uk-UA"/>
        </w:rPr>
        <w:t xml:space="preserve">матиме вплив на показники бюджету (призведе до зміни показників доходів місцевих бюджетів від податку на доходи фізичних осіб: збільшення надходжень цього податку до одних місцевих бюджетів та зменшення таких </w:t>
      </w:r>
      <w:r w:rsidRPr="00C24823">
        <w:rPr>
          <w:sz w:val="28"/>
          <w:szCs w:val="27"/>
          <w:lang w:val="uk-UA"/>
        </w:rPr>
        <w:t xml:space="preserve">надходжень до інших місцевих бюджетів). </w:t>
      </w:r>
      <w:r w:rsidRPr="00C24823">
        <w:rPr>
          <w:rStyle w:val="a50"/>
          <w:sz w:val="28"/>
          <w:szCs w:val="27"/>
          <w:lang w:val="uk-UA"/>
        </w:rPr>
        <w:t>У разі прийняття відповідного закону до 15 липня 2021 року він має вводитися в дію не раніше 1 січня 2022 року, а після 15 липня 2021 року – не раніше 1 січня 2023 року (або 1 січня наступного за цим року залежно від часу прийняття закону);</w:t>
      </w:r>
    </w:p>
    <w:p w:rsidR="00B579CD" w:rsidRPr="00C24823" w:rsidRDefault="00B42F8B" w:rsidP="00491DD2">
      <w:pPr>
        <w:ind w:firstLine="720"/>
        <w:jc w:val="both"/>
        <w:rPr>
          <w:rStyle w:val="a50"/>
          <w:sz w:val="28"/>
          <w:szCs w:val="27"/>
          <w:lang w:val="uk-UA"/>
        </w:rPr>
      </w:pPr>
      <w:r w:rsidRPr="00C24823">
        <w:rPr>
          <w:rStyle w:val="a50"/>
          <w:sz w:val="28"/>
          <w:szCs w:val="27"/>
          <w:lang w:val="uk-UA"/>
        </w:rPr>
        <w:t>2) положення законопроекту потребують узгодження з відповідними нормами частини другої статті 64 Бюджетного кодексу України.</w:t>
      </w:r>
    </w:p>
    <w:p w:rsidR="00FC6C6F" w:rsidRPr="0043434A" w:rsidRDefault="00B932F6" w:rsidP="004F05ED">
      <w:pPr>
        <w:spacing w:before="840"/>
        <w:ind w:right="51"/>
        <w:rPr>
          <w:b/>
          <w:sz w:val="28"/>
          <w:szCs w:val="28"/>
          <w:lang w:val="uk-UA"/>
        </w:rPr>
      </w:pPr>
      <w:r w:rsidRPr="0044297B">
        <w:rPr>
          <w:b/>
          <w:bCs/>
          <w:sz w:val="28"/>
          <w:szCs w:val="28"/>
          <w:lang w:val="uk-UA"/>
        </w:rPr>
        <w:t xml:space="preserve">Голова Комітету   </w:t>
      </w:r>
      <w:r w:rsidR="004F05ED">
        <w:rPr>
          <w:b/>
          <w:bCs/>
          <w:sz w:val="28"/>
          <w:szCs w:val="28"/>
          <w:lang w:val="uk-UA"/>
        </w:rPr>
        <w:t xml:space="preserve">   </w:t>
      </w:r>
      <w:r w:rsidRPr="0044297B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515229">
        <w:rPr>
          <w:b/>
          <w:bCs/>
          <w:sz w:val="28"/>
          <w:szCs w:val="28"/>
          <w:lang w:val="uk-UA"/>
        </w:rPr>
        <w:t xml:space="preserve">         </w:t>
      </w:r>
      <w:r w:rsidRPr="0044297B">
        <w:rPr>
          <w:b/>
          <w:bCs/>
          <w:sz w:val="28"/>
          <w:szCs w:val="28"/>
          <w:lang w:val="uk-UA"/>
        </w:rPr>
        <w:t xml:space="preserve">              </w:t>
      </w:r>
      <w:r w:rsidRPr="0044297B">
        <w:rPr>
          <w:b/>
          <w:sz w:val="28"/>
          <w:szCs w:val="28"/>
          <w:lang w:val="uk-UA"/>
        </w:rPr>
        <w:t>Ю. Арістов</w:t>
      </w:r>
    </w:p>
    <w:sectPr w:rsidR="00FC6C6F" w:rsidRPr="0043434A" w:rsidSect="00491DD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6" w:bottom="42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03" w:rsidRDefault="00FF3203">
      <w:r>
        <w:separator/>
      </w:r>
    </w:p>
  </w:endnote>
  <w:endnote w:type="continuationSeparator" w:id="0">
    <w:p w:rsidR="00FF3203" w:rsidRDefault="00FF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BE7AF5">
    <w:pPr>
      <w:pStyle w:val="af0"/>
      <w:jc w:val="center"/>
    </w:pPr>
    <w:r>
      <w:fldChar w:fldCharType="begin"/>
    </w:r>
    <w:r w:rsidR="00FB0527">
      <w:instrText>PAGE   \* MERGEFORMAT</w:instrText>
    </w:r>
    <w:r>
      <w:fldChar w:fldCharType="separate"/>
    </w:r>
    <w:r w:rsidR="004947BD" w:rsidRPr="004947BD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03" w:rsidRDefault="00FF3203">
      <w:r>
        <w:separator/>
      </w:r>
    </w:p>
  </w:footnote>
  <w:footnote w:type="continuationSeparator" w:id="0">
    <w:p w:rsidR="00FF3203" w:rsidRDefault="00FF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BE7AF5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D9299A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8327EF">
      <w:rPr>
        <w:b w:val="0"/>
        <w:bCs w:val="0"/>
        <w:sz w:val="20"/>
      </w:rPr>
      <w:t xml:space="preserve"> </w:t>
    </w:r>
    <w:r w:rsidR="003700B8" w:rsidRPr="003700B8">
      <w:rPr>
        <w:b w:val="0"/>
        <w:bCs w:val="0"/>
        <w:sz w:val="20"/>
      </w:rPr>
      <w:t>№ </w:t>
    </w:r>
    <w:r w:rsidR="00A97AFA" w:rsidRPr="00A97AFA">
      <w:rPr>
        <w:b w:val="0"/>
        <w:bCs w:val="0"/>
        <w:sz w:val="20"/>
      </w:rPr>
      <w:t>5364 від 12.04.2021</w:t>
    </w:r>
  </w:p>
  <w:p w:rsidR="00FB0527" w:rsidRPr="00491DD2" w:rsidRDefault="00FB0527" w:rsidP="0062423B">
    <w:pPr>
      <w:pStyle w:val="ac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07C0D"/>
    <w:rsid w:val="00010AFE"/>
    <w:rsid w:val="000134EA"/>
    <w:rsid w:val="000158CC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461AB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399D"/>
    <w:rsid w:val="00064DD5"/>
    <w:rsid w:val="00070AED"/>
    <w:rsid w:val="00071901"/>
    <w:rsid w:val="00077F97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07D0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A10"/>
    <w:rsid w:val="000D0526"/>
    <w:rsid w:val="000D156A"/>
    <w:rsid w:val="000D2F77"/>
    <w:rsid w:val="000D46BF"/>
    <w:rsid w:val="000D55B4"/>
    <w:rsid w:val="000E009D"/>
    <w:rsid w:val="000E0FC3"/>
    <w:rsid w:val="000E3FEC"/>
    <w:rsid w:val="000E5DC5"/>
    <w:rsid w:val="000E6EC7"/>
    <w:rsid w:val="000F2080"/>
    <w:rsid w:val="000F486E"/>
    <w:rsid w:val="000F58B5"/>
    <w:rsid w:val="000F694D"/>
    <w:rsid w:val="00101855"/>
    <w:rsid w:val="00104030"/>
    <w:rsid w:val="00105EE6"/>
    <w:rsid w:val="00112EF0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74CA"/>
    <w:rsid w:val="001471EC"/>
    <w:rsid w:val="0014793F"/>
    <w:rsid w:val="00156819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84B77"/>
    <w:rsid w:val="00191832"/>
    <w:rsid w:val="0019260D"/>
    <w:rsid w:val="001957DF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68D5"/>
    <w:rsid w:val="001D192D"/>
    <w:rsid w:val="001D2620"/>
    <w:rsid w:val="001D3DFD"/>
    <w:rsid w:val="001D486B"/>
    <w:rsid w:val="001D507B"/>
    <w:rsid w:val="001D5DBB"/>
    <w:rsid w:val="001D7CD1"/>
    <w:rsid w:val="001E0A31"/>
    <w:rsid w:val="001E0CCD"/>
    <w:rsid w:val="001E47E1"/>
    <w:rsid w:val="001E4F6E"/>
    <w:rsid w:val="001F22DE"/>
    <w:rsid w:val="001F2900"/>
    <w:rsid w:val="001F55BF"/>
    <w:rsid w:val="002034B5"/>
    <w:rsid w:val="00205838"/>
    <w:rsid w:val="00207C89"/>
    <w:rsid w:val="002120A6"/>
    <w:rsid w:val="00212F32"/>
    <w:rsid w:val="00214058"/>
    <w:rsid w:val="002219C7"/>
    <w:rsid w:val="00222F8A"/>
    <w:rsid w:val="00225BF7"/>
    <w:rsid w:val="00232FA4"/>
    <w:rsid w:val="00241116"/>
    <w:rsid w:val="002415AB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65C8D"/>
    <w:rsid w:val="002667BA"/>
    <w:rsid w:val="00267733"/>
    <w:rsid w:val="0026779E"/>
    <w:rsid w:val="00273AF8"/>
    <w:rsid w:val="00274244"/>
    <w:rsid w:val="00275BA7"/>
    <w:rsid w:val="002815D4"/>
    <w:rsid w:val="00281BDD"/>
    <w:rsid w:val="002827C5"/>
    <w:rsid w:val="00283495"/>
    <w:rsid w:val="002853DA"/>
    <w:rsid w:val="002859C5"/>
    <w:rsid w:val="002864BE"/>
    <w:rsid w:val="00291077"/>
    <w:rsid w:val="00291DCD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57FFE"/>
    <w:rsid w:val="00361C6B"/>
    <w:rsid w:val="00362618"/>
    <w:rsid w:val="00363B18"/>
    <w:rsid w:val="003649EB"/>
    <w:rsid w:val="003669E2"/>
    <w:rsid w:val="00366ADD"/>
    <w:rsid w:val="00366E4E"/>
    <w:rsid w:val="003700B8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A710D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1E91"/>
    <w:rsid w:val="003D31E0"/>
    <w:rsid w:val="003D4F9E"/>
    <w:rsid w:val="003E05D5"/>
    <w:rsid w:val="003E1858"/>
    <w:rsid w:val="003E2442"/>
    <w:rsid w:val="003E7FF6"/>
    <w:rsid w:val="003F1CCB"/>
    <w:rsid w:val="003F25E9"/>
    <w:rsid w:val="003F31FE"/>
    <w:rsid w:val="003F68AF"/>
    <w:rsid w:val="00400C13"/>
    <w:rsid w:val="004074D0"/>
    <w:rsid w:val="00407A7B"/>
    <w:rsid w:val="004122B1"/>
    <w:rsid w:val="00414ACA"/>
    <w:rsid w:val="004151B1"/>
    <w:rsid w:val="0042109E"/>
    <w:rsid w:val="004214A5"/>
    <w:rsid w:val="00422985"/>
    <w:rsid w:val="00422DA5"/>
    <w:rsid w:val="00424839"/>
    <w:rsid w:val="00425B4E"/>
    <w:rsid w:val="0042672C"/>
    <w:rsid w:val="00431534"/>
    <w:rsid w:val="00431F4F"/>
    <w:rsid w:val="00433D4B"/>
    <w:rsid w:val="0043434A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1DD2"/>
    <w:rsid w:val="004947BD"/>
    <w:rsid w:val="00496E48"/>
    <w:rsid w:val="004A1733"/>
    <w:rsid w:val="004A373F"/>
    <w:rsid w:val="004A5201"/>
    <w:rsid w:val="004B1587"/>
    <w:rsid w:val="004B3B93"/>
    <w:rsid w:val="004B4BF7"/>
    <w:rsid w:val="004B4D5A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D7F6D"/>
    <w:rsid w:val="004E0920"/>
    <w:rsid w:val="004E0E82"/>
    <w:rsid w:val="004E150B"/>
    <w:rsid w:val="004E3D4F"/>
    <w:rsid w:val="004E567E"/>
    <w:rsid w:val="004E59DD"/>
    <w:rsid w:val="004E63CD"/>
    <w:rsid w:val="004E665B"/>
    <w:rsid w:val="004E7486"/>
    <w:rsid w:val="004E79D1"/>
    <w:rsid w:val="004F05ED"/>
    <w:rsid w:val="004F1AB1"/>
    <w:rsid w:val="004F4DF4"/>
    <w:rsid w:val="00501A89"/>
    <w:rsid w:val="00502D95"/>
    <w:rsid w:val="00504002"/>
    <w:rsid w:val="005044F7"/>
    <w:rsid w:val="00515229"/>
    <w:rsid w:val="00517CEF"/>
    <w:rsid w:val="00521A1D"/>
    <w:rsid w:val="00526A75"/>
    <w:rsid w:val="00527DB4"/>
    <w:rsid w:val="0053217F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5D56"/>
    <w:rsid w:val="0055777F"/>
    <w:rsid w:val="00561D7E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01F2"/>
    <w:rsid w:val="005C2C23"/>
    <w:rsid w:val="005C6338"/>
    <w:rsid w:val="005C7150"/>
    <w:rsid w:val="005C7674"/>
    <w:rsid w:val="005C76C5"/>
    <w:rsid w:val="005D28D9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A4"/>
    <w:rsid w:val="00631CC4"/>
    <w:rsid w:val="00632126"/>
    <w:rsid w:val="00640374"/>
    <w:rsid w:val="0064066E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1FD5"/>
    <w:rsid w:val="006722AF"/>
    <w:rsid w:val="006726A8"/>
    <w:rsid w:val="00680345"/>
    <w:rsid w:val="00680D14"/>
    <w:rsid w:val="00685017"/>
    <w:rsid w:val="00685251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24DB"/>
    <w:rsid w:val="006C5974"/>
    <w:rsid w:val="006C7759"/>
    <w:rsid w:val="006D0A8F"/>
    <w:rsid w:val="006D0D5D"/>
    <w:rsid w:val="006D28F5"/>
    <w:rsid w:val="006D5B94"/>
    <w:rsid w:val="006D6524"/>
    <w:rsid w:val="006E0241"/>
    <w:rsid w:val="006E23DD"/>
    <w:rsid w:val="006E3689"/>
    <w:rsid w:val="006E3A96"/>
    <w:rsid w:val="006F4F72"/>
    <w:rsid w:val="006F6B05"/>
    <w:rsid w:val="00702D7D"/>
    <w:rsid w:val="007059C2"/>
    <w:rsid w:val="007062EB"/>
    <w:rsid w:val="0070668D"/>
    <w:rsid w:val="007126DE"/>
    <w:rsid w:val="00713DDF"/>
    <w:rsid w:val="00714117"/>
    <w:rsid w:val="00717034"/>
    <w:rsid w:val="00720339"/>
    <w:rsid w:val="00721368"/>
    <w:rsid w:val="007225EC"/>
    <w:rsid w:val="007331C8"/>
    <w:rsid w:val="00735E92"/>
    <w:rsid w:val="007462BC"/>
    <w:rsid w:val="0075026F"/>
    <w:rsid w:val="00752D5C"/>
    <w:rsid w:val="007625CC"/>
    <w:rsid w:val="00767C6C"/>
    <w:rsid w:val="0077232C"/>
    <w:rsid w:val="00772737"/>
    <w:rsid w:val="00774AE8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42BD"/>
    <w:rsid w:val="007C2690"/>
    <w:rsid w:val="007C4CEA"/>
    <w:rsid w:val="007C56A3"/>
    <w:rsid w:val="007D0F19"/>
    <w:rsid w:val="007D0FDA"/>
    <w:rsid w:val="007D1692"/>
    <w:rsid w:val="007D4D72"/>
    <w:rsid w:val="007E09F3"/>
    <w:rsid w:val="007E1E4D"/>
    <w:rsid w:val="007E2A0D"/>
    <w:rsid w:val="007E66B9"/>
    <w:rsid w:val="007E7330"/>
    <w:rsid w:val="007E7DEB"/>
    <w:rsid w:val="007F1178"/>
    <w:rsid w:val="007F4996"/>
    <w:rsid w:val="00806637"/>
    <w:rsid w:val="00807409"/>
    <w:rsid w:val="0081092E"/>
    <w:rsid w:val="00812082"/>
    <w:rsid w:val="008137E3"/>
    <w:rsid w:val="00813A52"/>
    <w:rsid w:val="00814046"/>
    <w:rsid w:val="008155DA"/>
    <w:rsid w:val="00816069"/>
    <w:rsid w:val="00822D63"/>
    <w:rsid w:val="00823DA9"/>
    <w:rsid w:val="00825AF8"/>
    <w:rsid w:val="008302CF"/>
    <w:rsid w:val="008327EF"/>
    <w:rsid w:val="00832A61"/>
    <w:rsid w:val="008340AE"/>
    <w:rsid w:val="00835674"/>
    <w:rsid w:val="00835E6A"/>
    <w:rsid w:val="00836BF1"/>
    <w:rsid w:val="008458F7"/>
    <w:rsid w:val="008508F6"/>
    <w:rsid w:val="00852FE2"/>
    <w:rsid w:val="0085771E"/>
    <w:rsid w:val="00860323"/>
    <w:rsid w:val="008626D9"/>
    <w:rsid w:val="00864D75"/>
    <w:rsid w:val="0086585E"/>
    <w:rsid w:val="00866CFE"/>
    <w:rsid w:val="00867F83"/>
    <w:rsid w:val="0087122F"/>
    <w:rsid w:val="008738DF"/>
    <w:rsid w:val="008743D2"/>
    <w:rsid w:val="008747CE"/>
    <w:rsid w:val="00880084"/>
    <w:rsid w:val="00887609"/>
    <w:rsid w:val="00897760"/>
    <w:rsid w:val="008A12D0"/>
    <w:rsid w:val="008A1BB4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904F66"/>
    <w:rsid w:val="00905009"/>
    <w:rsid w:val="00907BC3"/>
    <w:rsid w:val="00911AD4"/>
    <w:rsid w:val="0091227C"/>
    <w:rsid w:val="00912A7F"/>
    <w:rsid w:val="00913733"/>
    <w:rsid w:val="00913D5E"/>
    <w:rsid w:val="00914E3B"/>
    <w:rsid w:val="009169D3"/>
    <w:rsid w:val="00916F1D"/>
    <w:rsid w:val="00917928"/>
    <w:rsid w:val="00917D02"/>
    <w:rsid w:val="009201D9"/>
    <w:rsid w:val="00920818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1018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5408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1495"/>
    <w:rsid w:val="009D3C28"/>
    <w:rsid w:val="009E1CC4"/>
    <w:rsid w:val="009E1F37"/>
    <w:rsid w:val="009E4C25"/>
    <w:rsid w:val="009E60D0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BE1"/>
    <w:rsid w:val="00A16F3B"/>
    <w:rsid w:val="00A2574B"/>
    <w:rsid w:val="00A35C65"/>
    <w:rsid w:val="00A37514"/>
    <w:rsid w:val="00A41D3F"/>
    <w:rsid w:val="00A46647"/>
    <w:rsid w:val="00A46950"/>
    <w:rsid w:val="00A50077"/>
    <w:rsid w:val="00A50133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7D2B"/>
    <w:rsid w:val="00A80407"/>
    <w:rsid w:val="00A82428"/>
    <w:rsid w:val="00A83009"/>
    <w:rsid w:val="00A92128"/>
    <w:rsid w:val="00A94136"/>
    <w:rsid w:val="00A97AFA"/>
    <w:rsid w:val="00AA0B01"/>
    <w:rsid w:val="00AA2956"/>
    <w:rsid w:val="00AA7ED8"/>
    <w:rsid w:val="00AB2483"/>
    <w:rsid w:val="00AB5D7F"/>
    <w:rsid w:val="00AC3B6A"/>
    <w:rsid w:val="00AC5389"/>
    <w:rsid w:val="00AC5A26"/>
    <w:rsid w:val="00AC6C16"/>
    <w:rsid w:val="00AC7E81"/>
    <w:rsid w:val="00AD0B96"/>
    <w:rsid w:val="00AD24B2"/>
    <w:rsid w:val="00AD4BC2"/>
    <w:rsid w:val="00AE2758"/>
    <w:rsid w:val="00AE4A27"/>
    <w:rsid w:val="00AE6183"/>
    <w:rsid w:val="00AE7F40"/>
    <w:rsid w:val="00AF0869"/>
    <w:rsid w:val="00AF09D2"/>
    <w:rsid w:val="00AF20D6"/>
    <w:rsid w:val="00B01AA4"/>
    <w:rsid w:val="00B045CA"/>
    <w:rsid w:val="00B12C7D"/>
    <w:rsid w:val="00B16C98"/>
    <w:rsid w:val="00B32040"/>
    <w:rsid w:val="00B3343A"/>
    <w:rsid w:val="00B42F8B"/>
    <w:rsid w:val="00B43914"/>
    <w:rsid w:val="00B45A02"/>
    <w:rsid w:val="00B465A8"/>
    <w:rsid w:val="00B46A8B"/>
    <w:rsid w:val="00B50585"/>
    <w:rsid w:val="00B5291A"/>
    <w:rsid w:val="00B53C06"/>
    <w:rsid w:val="00B579CD"/>
    <w:rsid w:val="00B60039"/>
    <w:rsid w:val="00B61FAE"/>
    <w:rsid w:val="00B62672"/>
    <w:rsid w:val="00B659FA"/>
    <w:rsid w:val="00B67935"/>
    <w:rsid w:val="00B715A3"/>
    <w:rsid w:val="00B71B13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E7AF5"/>
    <w:rsid w:val="00BF0FD4"/>
    <w:rsid w:val="00BF3870"/>
    <w:rsid w:val="00BF6D1B"/>
    <w:rsid w:val="00BF6EE9"/>
    <w:rsid w:val="00C0131E"/>
    <w:rsid w:val="00C03855"/>
    <w:rsid w:val="00C0598A"/>
    <w:rsid w:val="00C07FF0"/>
    <w:rsid w:val="00C1182F"/>
    <w:rsid w:val="00C16BC1"/>
    <w:rsid w:val="00C16BC7"/>
    <w:rsid w:val="00C213A0"/>
    <w:rsid w:val="00C24823"/>
    <w:rsid w:val="00C315F5"/>
    <w:rsid w:val="00C33D24"/>
    <w:rsid w:val="00C36D73"/>
    <w:rsid w:val="00C402BA"/>
    <w:rsid w:val="00C40650"/>
    <w:rsid w:val="00C40C67"/>
    <w:rsid w:val="00C42B53"/>
    <w:rsid w:val="00C4316C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1025"/>
    <w:rsid w:val="00C85337"/>
    <w:rsid w:val="00C85A9D"/>
    <w:rsid w:val="00C9319A"/>
    <w:rsid w:val="00C973EF"/>
    <w:rsid w:val="00CA13FD"/>
    <w:rsid w:val="00CA258E"/>
    <w:rsid w:val="00CA291E"/>
    <w:rsid w:val="00CA2DAC"/>
    <w:rsid w:val="00CA3638"/>
    <w:rsid w:val="00CA37C1"/>
    <w:rsid w:val="00CA4150"/>
    <w:rsid w:val="00CB2356"/>
    <w:rsid w:val="00CB2490"/>
    <w:rsid w:val="00CB366E"/>
    <w:rsid w:val="00CB5868"/>
    <w:rsid w:val="00CB7B66"/>
    <w:rsid w:val="00CC4241"/>
    <w:rsid w:val="00CC5D6B"/>
    <w:rsid w:val="00CC789C"/>
    <w:rsid w:val="00CD19E4"/>
    <w:rsid w:val="00CD1F11"/>
    <w:rsid w:val="00CD3278"/>
    <w:rsid w:val="00CD7FDF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44A1E"/>
    <w:rsid w:val="00D52D63"/>
    <w:rsid w:val="00D565DC"/>
    <w:rsid w:val="00D57561"/>
    <w:rsid w:val="00D61B1F"/>
    <w:rsid w:val="00D70715"/>
    <w:rsid w:val="00D72005"/>
    <w:rsid w:val="00D7227D"/>
    <w:rsid w:val="00D73014"/>
    <w:rsid w:val="00D73D73"/>
    <w:rsid w:val="00D75502"/>
    <w:rsid w:val="00D814C0"/>
    <w:rsid w:val="00D83A00"/>
    <w:rsid w:val="00D854B8"/>
    <w:rsid w:val="00D85AC2"/>
    <w:rsid w:val="00D86BE3"/>
    <w:rsid w:val="00D9033F"/>
    <w:rsid w:val="00D908DE"/>
    <w:rsid w:val="00D9299A"/>
    <w:rsid w:val="00D94311"/>
    <w:rsid w:val="00D96B98"/>
    <w:rsid w:val="00DA2775"/>
    <w:rsid w:val="00DA5609"/>
    <w:rsid w:val="00DB5DD7"/>
    <w:rsid w:val="00DC014F"/>
    <w:rsid w:val="00DC015D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02B2"/>
    <w:rsid w:val="00DE4C48"/>
    <w:rsid w:val="00DE60DE"/>
    <w:rsid w:val="00DF3B59"/>
    <w:rsid w:val="00DF3C7B"/>
    <w:rsid w:val="00DF4844"/>
    <w:rsid w:val="00DF7B6F"/>
    <w:rsid w:val="00E05E61"/>
    <w:rsid w:val="00E06F3C"/>
    <w:rsid w:val="00E07391"/>
    <w:rsid w:val="00E100D6"/>
    <w:rsid w:val="00E1121D"/>
    <w:rsid w:val="00E11FBF"/>
    <w:rsid w:val="00E131FA"/>
    <w:rsid w:val="00E1339C"/>
    <w:rsid w:val="00E139C3"/>
    <w:rsid w:val="00E13FC1"/>
    <w:rsid w:val="00E14662"/>
    <w:rsid w:val="00E1752B"/>
    <w:rsid w:val="00E227F2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4F88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0435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414B"/>
    <w:rsid w:val="00F061EC"/>
    <w:rsid w:val="00F069E0"/>
    <w:rsid w:val="00F07B7A"/>
    <w:rsid w:val="00F117CC"/>
    <w:rsid w:val="00F14A7D"/>
    <w:rsid w:val="00F2103F"/>
    <w:rsid w:val="00F21059"/>
    <w:rsid w:val="00F24BE0"/>
    <w:rsid w:val="00F2500A"/>
    <w:rsid w:val="00F26408"/>
    <w:rsid w:val="00F26867"/>
    <w:rsid w:val="00F26F1E"/>
    <w:rsid w:val="00F30202"/>
    <w:rsid w:val="00F31043"/>
    <w:rsid w:val="00F32B8E"/>
    <w:rsid w:val="00F37FB4"/>
    <w:rsid w:val="00F4049F"/>
    <w:rsid w:val="00F408F5"/>
    <w:rsid w:val="00F429A4"/>
    <w:rsid w:val="00F461E5"/>
    <w:rsid w:val="00F52844"/>
    <w:rsid w:val="00F52C66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6E00"/>
    <w:rsid w:val="00F8713A"/>
    <w:rsid w:val="00F90714"/>
    <w:rsid w:val="00F90EF2"/>
    <w:rsid w:val="00F91542"/>
    <w:rsid w:val="00F9622B"/>
    <w:rsid w:val="00FA4B60"/>
    <w:rsid w:val="00FA7113"/>
    <w:rsid w:val="00FB0527"/>
    <w:rsid w:val="00FB06DC"/>
    <w:rsid w:val="00FC0F1A"/>
    <w:rsid w:val="00FC0FBC"/>
    <w:rsid w:val="00FC20AE"/>
    <w:rsid w:val="00FC2242"/>
    <w:rsid w:val="00FC416E"/>
    <w:rsid w:val="00FC6149"/>
    <w:rsid w:val="00FC6C6F"/>
    <w:rsid w:val="00FC6CE2"/>
    <w:rsid w:val="00FC7201"/>
    <w:rsid w:val="00FD1356"/>
    <w:rsid w:val="00FD1513"/>
    <w:rsid w:val="00FD267C"/>
    <w:rsid w:val="00FE1FA9"/>
    <w:rsid w:val="00FE591F"/>
    <w:rsid w:val="00FF104E"/>
    <w:rsid w:val="00FF3203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80476C-D06A-4254-9EA0-870A265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character" w:styleId="af4">
    <w:name w:val="Subtle Emphasis"/>
    <w:uiPriority w:val="19"/>
    <w:qFormat/>
    <w:rsid w:val="004E567E"/>
    <w:rPr>
      <w:i/>
      <w:iCs/>
      <w:color w:val="404040"/>
    </w:rPr>
  </w:style>
  <w:style w:type="paragraph" w:customStyle="1" w:styleId="Default">
    <w:name w:val="Default"/>
    <w:rsid w:val="003700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F19D-B12E-4E04-B6EF-BA83A18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8</cp:revision>
  <cp:lastPrinted>2020-04-16T11:11:00Z</cp:lastPrinted>
  <dcterms:created xsi:type="dcterms:W3CDTF">2021-05-20T14:03:00Z</dcterms:created>
  <dcterms:modified xsi:type="dcterms:W3CDTF">2021-06-01T11:52:00Z</dcterms:modified>
</cp:coreProperties>
</file>