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eastAsia="Times New Roman"/>
          <w:b/>
          <w:sz w:val="28"/>
          <w:szCs w:val="28"/>
          <w:lang w:eastAsia="uk-UA"/>
        </w:rPr>
      </w:pPr>
      <w:bookmarkStart w:id="0" w:name="_GoBack"/>
      <w:bookmarkEnd w:id="0"/>
      <w:r w:rsidRPr="00B213A6">
        <w:rPr>
          <w:rFonts w:eastAsia="Times New Roman"/>
          <w:b/>
          <w:sz w:val="28"/>
          <w:szCs w:val="28"/>
          <w:lang w:eastAsia="uk-UA"/>
        </w:rPr>
        <w:t>ПОЯСНЮВАЛЬНА ЗАПИСКА</w:t>
      </w:r>
      <w:r w:rsidRPr="00B213A6">
        <w:rPr>
          <w:rFonts w:eastAsia="Times New Roman"/>
          <w:b/>
          <w:sz w:val="28"/>
          <w:szCs w:val="28"/>
          <w:lang w:eastAsia="uk-UA"/>
        </w:rPr>
        <w:br/>
        <w:t>до </w:t>
      </w:r>
      <w:hyperlink r:id="rId9" w:tgtFrame="_top" w:history="1">
        <w:r w:rsidRPr="00B213A6">
          <w:rPr>
            <w:rFonts w:eastAsia="Times New Roman"/>
            <w:b/>
            <w:sz w:val="28"/>
            <w:szCs w:val="28"/>
            <w:lang w:eastAsia="uk-UA"/>
          </w:rPr>
          <w:t>проекту Закону України "Про внесення змін до деяких законів України (щодо дотримання прав профспілок)"</w:t>
        </w:r>
      </w:hyperlink>
    </w:p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eastAsia="Times New Roman"/>
          <w:b/>
          <w:sz w:val="28"/>
          <w:szCs w:val="28"/>
          <w:lang w:eastAsia="uk-UA"/>
        </w:rPr>
      </w:pPr>
    </w:p>
    <w:p w:rsidR="00B213A6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Обґрунтування необхідності прийняття законопроекту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Pr="00B213A6" w:rsidRDefault="004F6D21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В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ідповідно до </w:t>
      </w:r>
      <w:r w:rsidR="00BD18B7">
        <w:rPr>
          <w:rFonts w:eastAsia="Times New Roman"/>
          <w:sz w:val="28"/>
          <w:szCs w:val="28"/>
          <w:lang w:eastAsia="uk-UA"/>
        </w:rPr>
        <w:t>частин</w:t>
      </w:r>
      <w:r w:rsidRPr="00B213A6">
        <w:rPr>
          <w:rFonts w:eastAsia="Times New Roman"/>
          <w:sz w:val="28"/>
          <w:szCs w:val="28"/>
          <w:lang w:eastAsia="uk-UA"/>
        </w:rPr>
        <w:t xml:space="preserve"> </w:t>
      </w:r>
      <w:r w:rsidR="00BD18B7">
        <w:rPr>
          <w:rFonts w:eastAsia="Times New Roman"/>
          <w:sz w:val="28"/>
          <w:szCs w:val="28"/>
          <w:lang w:eastAsia="uk-UA"/>
        </w:rPr>
        <w:t xml:space="preserve">першої </w:t>
      </w:r>
      <w:r w:rsidRPr="00B213A6">
        <w:rPr>
          <w:rFonts w:eastAsia="Times New Roman"/>
          <w:sz w:val="28"/>
          <w:szCs w:val="28"/>
          <w:lang w:eastAsia="uk-UA"/>
        </w:rPr>
        <w:t> </w:t>
      </w:r>
      <w:r w:rsidR="00BD18B7">
        <w:rPr>
          <w:rFonts w:eastAsia="Times New Roman"/>
          <w:sz w:val="28"/>
          <w:szCs w:val="28"/>
          <w:lang w:eastAsia="uk-UA"/>
        </w:rPr>
        <w:t xml:space="preserve">і третьої </w:t>
      </w:r>
      <w:hyperlink r:id="rId10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статті 12</w:t>
        </w:r>
      </w:hyperlink>
      <w:r>
        <w:rPr>
          <w:rFonts w:eastAsia="Times New Roman"/>
          <w:sz w:val="28"/>
          <w:szCs w:val="28"/>
          <w:lang w:eastAsia="uk-UA"/>
        </w:rPr>
        <w:t xml:space="preserve"> </w:t>
      </w:r>
      <w:hyperlink r:id="rId11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Закону України "Про профспілки, їх права та гарантії діяльності"</w:t>
        </w:r>
      </w:hyperlink>
      <w:r>
        <w:rPr>
          <w:rFonts w:eastAsia="Times New Roman"/>
          <w:sz w:val="28"/>
          <w:szCs w:val="28"/>
          <w:lang w:eastAsia="uk-UA"/>
        </w:rPr>
        <w:t xml:space="preserve"> (далі </w:t>
      </w:r>
      <w:r w:rsidR="00BD18B7">
        <w:rPr>
          <w:rFonts w:eastAsia="Times New Roman"/>
          <w:sz w:val="28"/>
          <w:szCs w:val="28"/>
          <w:lang w:eastAsia="uk-UA"/>
        </w:rPr>
        <w:t>–</w:t>
      </w:r>
      <w:r>
        <w:rPr>
          <w:rFonts w:eastAsia="Times New Roman"/>
          <w:sz w:val="28"/>
          <w:szCs w:val="28"/>
          <w:lang w:eastAsia="uk-UA"/>
        </w:rPr>
        <w:t xml:space="preserve"> Закон про профспілки)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професійні спілки, їх об'єднання є неприбутковими організаціями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 та у своїй діяльності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незалежні від державних органів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 та органів місцевого самоврядування, роботодавців, інших громадських організацій, політичних партій, їм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не підзвітні і не підконтрольні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.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Забороняється втручання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 державних органів, органів місцевого самоврядування, їх посадових осіб, роботодавців, їх об'єднань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у статутну діяльність профспілок</w:t>
      </w:r>
      <w:r w:rsidR="00B213A6" w:rsidRPr="00B213A6">
        <w:rPr>
          <w:rFonts w:eastAsia="Times New Roman"/>
          <w:sz w:val="28"/>
          <w:szCs w:val="28"/>
          <w:lang w:eastAsia="uk-UA"/>
        </w:rPr>
        <w:t>, їх організацій та об'єднань.</w:t>
      </w:r>
    </w:p>
    <w:p w:rsidR="00B213A6" w:rsidRDefault="00BA5AB8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С</w:t>
      </w:r>
      <w:hyperlink r:id="rId12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таттею 14 Закону про профспілки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 </w:t>
      </w:r>
      <w:r w:rsidR="004F6D21">
        <w:rPr>
          <w:rFonts w:eastAsia="Times New Roman"/>
          <w:sz w:val="28"/>
          <w:szCs w:val="28"/>
          <w:lang w:eastAsia="uk-UA"/>
        </w:rPr>
        <w:t xml:space="preserve">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профспілки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 діють згідно із законодавством та своїм статутом, яким і </w:t>
      </w:r>
      <w:r w:rsidR="00B213A6" w:rsidRPr="00B66159">
        <w:rPr>
          <w:rFonts w:eastAsia="Times New Roman"/>
          <w:b/>
          <w:sz w:val="28"/>
          <w:szCs w:val="28"/>
          <w:lang w:eastAsia="uk-UA"/>
        </w:rPr>
        <w:t>встановлюються порядок, терміни звітності та здійснення контролю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 за діяльністю виборних органів профспілки перед її членами.</w:t>
      </w:r>
    </w:p>
    <w:p w:rsidR="00BA5AB8" w:rsidRPr="00B213A6" w:rsidRDefault="00BA5AB8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66159">
        <w:rPr>
          <w:rFonts w:eastAsia="Times New Roman"/>
          <w:b/>
          <w:sz w:val="28"/>
          <w:szCs w:val="28"/>
          <w:lang w:eastAsia="uk-UA"/>
        </w:rPr>
        <w:t>Фінансовий контроль за коштами профспілок</w:t>
      </w:r>
      <w:r w:rsidRPr="00B213A6">
        <w:rPr>
          <w:rFonts w:eastAsia="Times New Roman"/>
          <w:sz w:val="28"/>
          <w:szCs w:val="28"/>
          <w:lang w:eastAsia="uk-UA"/>
        </w:rPr>
        <w:t xml:space="preserve"> та їх об'єднань </w:t>
      </w:r>
      <w:r w:rsidRPr="00B66159">
        <w:rPr>
          <w:rFonts w:eastAsia="Times New Roman"/>
          <w:b/>
          <w:sz w:val="28"/>
          <w:szCs w:val="28"/>
          <w:lang w:eastAsia="uk-UA"/>
        </w:rPr>
        <w:t>державними органами та органами місцевого самоврядування не здійснюється</w:t>
      </w:r>
      <w:r w:rsidRPr="00B213A6">
        <w:rPr>
          <w:rFonts w:eastAsia="Times New Roman"/>
          <w:sz w:val="28"/>
          <w:szCs w:val="28"/>
          <w:lang w:eastAsia="uk-UA"/>
        </w:rPr>
        <w:t xml:space="preserve">. </w:t>
      </w:r>
      <w:r w:rsidRPr="00B66159">
        <w:rPr>
          <w:rFonts w:eastAsia="Times New Roman"/>
          <w:b/>
          <w:sz w:val="28"/>
          <w:szCs w:val="28"/>
          <w:lang w:eastAsia="uk-UA"/>
        </w:rPr>
        <w:t>Контроль</w:t>
      </w:r>
      <w:r w:rsidRPr="00B213A6">
        <w:rPr>
          <w:rFonts w:eastAsia="Times New Roman"/>
          <w:sz w:val="28"/>
          <w:szCs w:val="28"/>
          <w:lang w:eastAsia="uk-UA"/>
        </w:rPr>
        <w:t xml:space="preserve"> за їх надходженням та витрачанням </w:t>
      </w:r>
      <w:r w:rsidRPr="00B66159">
        <w:rPr>
          <w:rFonts w:eastAsia="Times New Roman"/>
          <w:b/>
          <w:sz w:val="28"/>
          <w:szCs w:val="28"/>
          <w:lang w:eastAsia="uk-UA"/>
        </w:rPr>
        <w:t>здійснюють</w:t>
      </w:r>
      <w:r w:rsidRPr="00B213A6">
        <w:rPr>
          <w:rFonts w:eastAsia="Times New Roman"/>
          <w:sz w:val="28"/>
          <w:szCs w:val="28"/>
          <w:lang w:eastAsia="uk-UA"/>
        </w:rPr>
        <w:t xml:space="preserve"> </w:t>
      </w:r>
      <w:r w:rsidRPr="00B66159">
        <w:rPr>
          <w:rFonts w:eastAsia="Times New Roman"/>
          <w:b/>
          <w:sz w:val="28"/>
          <w:szCs w:val="28"/>
          <w:lang w:eastAsia="uk-UA"/>
        </w:rPr>
        <w:t>контрольно-ревізійні органи</w:t>
      </w:r>
      <w:r w:rsidRPr="00B213A6">
        <w:rPr>
          <w:rFonts w:eastAsia="Times New Roman"/>
          <w:sz w:val="28"/>
          <w:szCs w:val="28"/>
          <w:lang w:eastAsia="uk-UA"/>
        </w:rPr>
        <w:t>, обрані відповідно до статутів (положень) профспілок, їх об'єднань (</w:t>
      </w:r>
      <w:hyperlink r:id="rId13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стаття 34 Закону про профспілки</w:t>
        </w:r>
      </w:hyperlink>
      <w:r w:rsidRPr="00B213A6">
        <w:rPr>
          <w:rFonts w:eastAsia="Times New Roman"/>
          <w:sz w:val="28"/>
          <w:szCs w:val="28"/>
          <w:lang w:eastAsia="uk-UA"/>
        </w:rPr>
        <w:t>).</w:t>
      </w:r>
    </w:p>
    <w:p w:rsidR="00BA5AB8" w:rsidRPr="00B213A6" w:rsidRDefault="00BA5AB8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Відповідно до </w:t>
      </w:r>
      <w:r w:rsidR="00B66159">
        <w:rPr>
          <w:rFonts w:eastAsia="Times New Roman"/>
          <w:sz w:val="28"/>
          <w:szCs w:val="28"/>
          <w:lang w:eastAsia="uk-UA"/>
        </w:rPr>
        <w:t xml:space="preserve"> </w:t>
      </w:r>
      <w:r w:rsidR="00B66159">
        <w:rPr>
          <w:rFonts w:eastAsia="Times New Roman"/>
          <w:sz w:val="28"/>
          <w:szCs w:val="28"/>
          <w:lang w:val="en-US" w:eastAsia="uk-UA"/>
        </w:rPr>
        <w:t>c</w:t>
      </w:r>
      <w:r w:rsidR="00B66159">
        <w:rPr>
          <w:rFonts w:eastAsia="Times New Roman"/>
          <w:sz w:val="28"/>
          <w:szCs w:val="28"/>
          <w:lang w:eastAsia="uk-UA"/>
        </w:rPr>
        <w:t>таті</w:t>
      </w:r>
      <w:r w:rsidR="00B66159" w:rsidRPr="00B66159">
        <w:rPr>
          <w:rFonts w:eastAsia="Times New Roman"/>
          <w:sz w:val="28"/>
          <w:szCs w:val="28"/>
          <w:lang w:eastAsia="uk-UA"/>
        </w:rPr>
        <w:t xml:space="preserve"> 2 </w:t>
      </w:r>
      <w:hyperlink r:id="rId14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Закону України "Про бухгалтерський облік та фінансову звітність в Україні"</w:t>
        </w:r>
      </w:hyperlink>
      <w:r w:rsidRPr="00B213A6">
        <w:rPr>
          <w:rFonts w:eastAsia="Times New Roman"/>
          <w:sz w:val="28"/>
          <w:szCs w:val="28"/>
          <w:lang w:eastAsia="uk-UA"/>
        </w:rPr>
        <w:t xml:space="preserve"> (далі - Закон про бухгалтерський облік) всі юридичні особи, створені відповідно до законодавства України, незалежно від їх організаційно-правових форм і форм власності, зобов'язані вести бухгалтерський облік та </w:t>
      </w:r>
      <w:r w:rsidRPr="00117B7B">
        <w:rPr>
          <w:rFonts w:eastAsia="Times New Roman"/>
          <w:sz w:val="28"/>
          <w:szCs w:val="28"/>
          <w:u w:val="single"/>
          <w:lang w:eastAsia="uk-UA"/>
        </w:rPr>
        <w:t>подавати органам статистики фінансову звітність</w:t>
      </w:r>
      <w:r w:rsidRPr="00B213A6">
        <w:rPr>
          <w:rFonts w:eastAsia="Times New Roman"/>
          <w:sz w:val="28"/>
          <w:szCs w:val="28"/>
          <w:lang w:eastAsia="uk-UA"/>
        </w:rPr>
        <w:t>.</w:t>
      </w:r>
    </w:p>
    <w:p w:rsidR="0077194F" w:rsidRPr="0077194F" w:rsidRDefault="00D96237" w:rsidP="0077194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BA5AB8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Подання фінансової звітності для різних угрупувань юридичних осіб визначається </w:t>
      </w:r>
      <w:r w:rsidR="00411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статтею 2 </w:t>
      </w:r>
      <w:hyperlink r:id="rId15" w:tgtFrame="_top" w:history="1">
        <w:r w:rsidR="00BA5AB8" w:rsidRPr="00D96237">
          <w:rPr>
            <w:rFonts w:ascii="Times New Roman" w:hAnsi="Times New Roman" w:cs="Times New Roman"/>
            <w:sz w:val="28"/>
            <w:szCs w:val="28"/>
            <w:lang w:val="uk-UA" w:eastAsia="uk-UA"/>
          </w:rPr>
          <w:t>Закон</w:t>
        </w:r>
        <w:r w:rsidR="00411AF3">
          <w:rPr>
            <w:rFonts w:ascii="Times New Roman" w:hAnsi="Times New Roman" w:cs="Times New Roman"/>
            <w:sz w:val="28"/>
            <w:szCs w:val="28"/>
            <w:lang w:val="uk-UA" w:eastAsia="uk-UA"/>
          </w:rPr>
          <w:t>у</w:t>
        </w:r>
      </w:hyperlink>
      <w:r w:rsidR="00411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11AF3" w:rsidRPr="00411AF3">
        <w:rPr>
          <w:rFonts w:ascii="Times New Roman" w:hAnsi="Times New Roman" w:cs="Times New Roman"/>
          <w:sz w:val="28"/>
          <w:szCs w:val="28"/>
          <w:lang w:val="uk-UA" w:eastAsia="uk-UA"/>
        </w:rPr>
        <w:t>про бухгалтерський облік</w:t>
      </w:r>
      <w:r w:rsidR="00BA5AB8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675DA7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шістнадцятим пункту 2 </w:t>
      </w:r>
      <w:r w:rsidR="00BA5AB8" w:rsidRPr="00D96237">
        <w:rPr>
          <w:rFonts w:ascii="Times New Roman" w:hAnsi="Times New Roman" w:cs="Times New Roman"/>
          <w:sz w:val="28"/>
          <w:szCs w:val="28"/>
          <w:lang w:val="uk-UA" w:eastAsia="uk-UA"/>
        </w:rPr>
        <w:t>Порядк</w:t>
      </w:r>
      <w:r w:rsidR="00675DA7" w:rsidRPr="00D9623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BA5AB8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подання фінансової звітності, затвердженим</w:t>
      </w:r>
      <w:r w:rsidR="00BA5AB8" w:rsidRPr="00D96237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16" w:tgtFrame="_top" w:history="1">
        <w:r w:rsidR="00BA5AB8" w:rsidRPr="00D96237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постановою Кабінету Міністрів України від 28.02.2000 </w:t>
        </w:r>
        <w:r w:rsidR="00411AF3">
          <w:rPr>
            <w:rFonts w:ascii="Times New Roman" w:hAnsi="Times New Roman" w:cs="Times New Roman"/>
            <w:sz w:val="28"/>
            <w:szCs w:val="28"/>
            <w:lang w:val="uk-UA" w:eastAsia="uk-UA"/>
          </w:rPr>
          <w:t>№</w:t>
        </w:r>
        <w:r w:rsidR="00BA5AB8" w:rsidRPr="00D96237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419</w:t>
        </w:r>
      </w:hyperlink>
      <w:r w:rsidR="00411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11AF3" w:rsidRPr="00117B7B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BA5AB8" w:rsidRPr="00117B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рофспілки як неприбуткові організації, мають подавати фінансову звітність, скорочену </w:t>
      </w:r>
      <w:r w:rsidR="00117B7B" w:rsidRPr="00117B7B">
        <w:rPr>
          <w:rFonts w:ascii="Times New Roman" w:hAnsi="Times New Roman" w:cs="Times New Roman"/>
          <w:sz w:val="28"/>
          <w:szCs w:val="28"/>
          <w:lang w:val="uk-UA" w:eastAsia="uk-UA"/>
        </w:rPr>
        <w:t>за</w:t>
      </w:r>
      <w:r w:rsidR="00BA5AB8" w:rsidRPr="00117B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показникам</w:t>
      </w:r>
      <w:r w:rsidR="00117B7B" w:rsidRPr="00117B7B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BA5AB8" w:rsidRPr="00117B7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A5AB8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складі балансу і звітності про фінансові результати відповідно до</w:t>
      </w:r>
      <w:r w:rsidR="00BA5AB8" w:rsidRPr="00D96237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675DA7" w:rsidRPr="00D962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17" w:tgtFrame="_top" w:history="1">
        <w:r w:rsidR="00BA5AB8" w:rsidRPr="00D96237">
          <w:rPr>
            <w:rFonts w:ascii="Times New Roman" w:hAnsi="Times New Roman" w:cs="Times New Roman"/>
            <w:sz w:val="28"/>
            <w:szCs w:val="28"/>
            <w:lang w:val="uk-UA" w:eastAsia="uk-UA"/>
          </w:rPr>
          <w:t>Положення (стандарту) бухгалтерського обліку - П(С)БО 25 "Фінансовий звіт суб'єкта малого підприємництва"</w:t>
        </w:r>
      </w:hyperlink>
      <w:r w:rsidRPr="00D96237">
        <w:rPr>
          <w:rFonts w:ascii="Times New Roman" w:hAnsi="Times New Roman" w:cs="Times New Roman"/>
          <w:sz w:val="28"/>
          <w:szCs w:val="28"/>
          <w:lang w:val="uk-UA" w:eastAsia="uk-UA"/>
        </w:rPr>
        <w:t>, затвердженого наказом Міністерства фінансів України</w:t>
      </w:r>
      <w:r w:rsidR="0077194F" w:rsidRPr="0077194F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18" w:tgtFrame="_top" w:history="1">
        <w:r w:rsidR="0077194F" w:rsidRPr="0077194F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від 25.02.2000 </w:t>
        </w:r>
        <w:r w:rsidR="00411AF3">
          <w:rPr>
            <w:rFonts w:ascii="Times New Roman" w:hAnsi="Times New Roman" w:cs="Times New Roman"/>
            <w:sz w:val="28"/>
            <w:szCs w:val="28"/>
            <w:lang w:val="uk-UA" w:eastAsia="uk-UA"/>
          </w:rPr>
          <w:t>№</w:t>
        </w:r>
        <w:r w:rsidR="0077194F" w:rsidRPr="0077194F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39</w:t>
        </w:r>
      </w:hyperlink>
      <w:r w:rsidR="0077194F" w:rsidRPr="0077194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A5AB8" w:rsidRPr="0077194F" w:rsidRDefault="00BA5AB8" w:rsidP="00117B7B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9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критеріями </w:t>
      </w:r>
      <w:hyperlink r:id="rId19" w:tgtFrame="_top" w:history="1">
        <w:r w:rsidRPr="0077194F">
          <w:rPr>
            <w:rFonts w:ascii="Times New Roman" w:hAnsi="Times New Roman" w:cs="Times New Roman"/>
            <w:sz w:val="28"/>
            <w:szCs w:val="28"/>
            <w:lang w:val="uk-UA" w:eastAsia="uk-UA"/>
          </w:rPr>
          <w:t>частини другої статті 2 Закону про бухгалтерський облік</w:t>
        </w:r>
      </w:hyperlink>
      <w:r w:rsidRPr="0077194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719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профспілки віднесені до суб'єктів малого підприємництва для складання та подання фінансової звітності, </w:t>
      </w:r>
      <w:r w:rsidRPr="0077194F">
        <w:rPr>
          <w:rFonts w:ascii="Times New Roman" w:hAnsi="Times New Roman" w:cs="Times New Roman"/>
          <w:sz w:val="28"/>
          <w:szCs w:val="28"/>
          <w:lang w:val="uk-UA"/>
        </w:rPr>
        <w:t xml:space="preserve">яка є доволі складною для членів профспілкових організацій, які не мають професійної бухгалтерської підготовки та займаються питаннями обліку та звітності на громадських засадах. </w:t>
      </w:r>
      <w:r w:rsidRPr="00FE6E9D">
        <w:rPr>
          <w:rFonts w:ascii="Times New Roman" w:hAnsi="Times New Roman" w:cs="Times New Roman"/>
          <w:sz w:val="28"/>
          <w:szCs w:val="28"/>
          <w:lang w:val="uk-UA"/>
        </w:rPr>
        <w:t xml:space="preserve">Це ускладнює діяльність профспілок та не відповідає </w:t>
      </w:r>
      <w:r w:rsidRPr="00FE6E9D">
        <w:rPr>
          <w:rFonts w:ascii="Times New Roman" w:hAnsi="Times New Roman" w:cs="Times New Roman"/>
          <w:sz w:val="28"/>
          <w:szCs w:val="28"/>
          <w:lang w:val="uk-UA" w:eastAsia="uk-UA"/>
        </w:rPr>
        <w:t>вимогам</w:t>
      </w:r>
      <w:r w:rsidRPr="0077194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E6E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статті </w:t>
      </w:r>
      <w:r w:rsidR="00FE6E9D">
        <w:rPr>
          <w:rFonts w:ascii="Times New Roman" w:hAnsi="Times New Roman" w:cs="Times New Roman"/>
          <w:sz w:val="28"/>
          <w:szCs w:val="28"/>
          <w:lang w:val="uk-UA" w:eastAsia="uk-UA"/>
        </w:rPr>
        <w:t>36</w:t>
      </w:r>
      <w:r w:rsidRPr="00FE6E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Конституції</w:t>
      </w:r>
      <w:r w:rsidR="00FE6E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</w:t>
      </w:r>
      <w:r w:rsidRPr="00FE6E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hyperlink r:id="rId20" w:tgtFrame="_top" w:history="1">
        <w:r w:rsidRPr="00FE6E9D">
          <w:rPr>
            <w:rFonts w:ascii="Times New Roman" w:hAnsi="Times New Roman" w:cs="Times New Roman"/>
            <w:sz w:val="28"/>
            <w:szCs w:val="28"/>
            <w:lang w:val="uk-UA" w:eastAsia="uk-UA"/>
          </w:rPr>
          <w:t>Закону України "Про профспілки, їх права та гарантії діяльності"</w:t>
        </w:r>
      </w:hyperlink>
      <w:r w:rsidRPr="00FE6E9D">
        <w:rPr>
          <w:rFonts w:ascii="Times New Roman" w:hAnsi="Times New Roman" w:cs="Times New Roman"/>
          <w:sz w:val="28"/>
          <w:szCs w:val="28"/>
          <w:lang w:val="uk-UA"/>
        </w:rPr>
        <w:t xml:space="preserve"> та досягненню цілей щодо посилення можливостей соціальних партнерів та сприяння соціальному діалогу, визначених в статті 420 (</w:t>
      </w:r>
      <w:r w:rsidRPr="0077194F">
        <w:rPr>
          <w:rFonts w:ascii="Times New Roman" w:hAnsi="Times New Roman" w:cs="Times New Roman"/>
          <w:sz w:val="28"/>
          <w:szCs w:val="28"/>
        </w:rPr>
        <w:t>n</w:t>
      </w:r>
      <w:r w:rsidRPr="00FE6E9D">
        <w:rPr>
          <w:rFonts w:ascii="Times New Roman" w:hAnsi="Times New Roman" w:cs="Times New Roman"/>
          <w:sz w:val="28"/>
          <w:szCs w:val="28"/>
          <w:lang w:val="uk-UA"/>
        </w:rPr>
        <w:t xml:space="preserve">) Угоди про асоціацію </w:t>
      </w:r>
      <w:r w:rsidRPr="0077194F">
        <w:rPr>
          <w:rFonts w:ascii="Times New Roman" w:hAnsi="Times New Roman" w:cs="Times New Roman"/>
          <w:sz w:val="28"/>
          <w:szCs w:val="28"/>
        </w:rPr>
        <w:t>України – ЄС.</w:t>
      </w:r>
    </w:p>
    <w:p w:rsidR="00B213A6" w:rsidRDefault="00B213A6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lastRenderedPageBreak/>
        <w:t xml:space="preserve">Отже, </w:t>
      </w:r>
      <w:r w:rsidRPr="00B66159">
        <w:rPr>
          <w:rFonts w:eastAsia="Times New Roman"/>
          <w:b/>
          <w:sz w:val="28"/>
          <w:szCs w:val="28"/>
          <w:lang w:eastAsia="uk-UA"/>
        </w:rPr>
        <w:t>вимоги до профспілок подавати фінансову звітність до органів статистики є прямим втручанням</w:t>
      </w:r>
      <w:r w:rsidRPr="00B213A6">
        <w:rPr>
          <w:rFonts w:eastAsia="Times New Roman"/>
          <w:sz w:val="28"/>
          <w:szCs w:val="28"/>
          <w:lang w:eastAsia="uk-UA"/>
        </w:rPr>
        <w:t xml:space="preserve"> органів державної влади у діяльність профспілок та порушенням їх прав. </w:t>
      </w:r>
      <w:r w:rsidRPr="00B66159">
        <w:rPr>
          <w:rFonts w:eastAsia="Times New Roman"/>
          <w:b/>
          <w:sz w:val="28"/>
          <w:szCs w:val="28"/>
          <w:lang w:eastAsia="uk-UA"/>
        </w:rPr>
        <w:t>Профспілки звітують виключно перед членами профспілок</w:t>
      </w:r>
      <w:r w:rsidRPr="00B213A6">
        <w:rPr>
          <w:rFonts w:eastAsia="Times New Roman"/>
          <w:sz w:val="28"/>
          <w:szCs w:val="28"/>
          <w:lang w:eastAsia="uk-UA"/>
        </w:rPr>
        <w:t>, які своїми внесками формують їх бюджети. Одночасно ці вимоги порушують і норми міжнародного права, зокрема </w:t>
      </w:r>
      <w:hyperlink r:id="rId21" w:tgtFrame="_top" w:history="1">
        <w:r w:rsidRPr="00B213A6">
          <w:rPr>
            <w:rFonts w:eastAsia="Times New Roman"/>
            <w:sz w:val="28"/>
            <w:szCs w:val="28"/>
            <w:lang w:eastAsia="uk-UA"/>
          </w:rPr>
          <w:t xml:space="preserve">статті 3 Конвенції МОП </w:t>
        </w:r>
        <w:r w:rsidR="00117B7B">
          <w:rPr>
            <w:rFonts w:eastAsia="Times New Roman"/>
            <w:sz w:val="28"/>
            <w:szCs w:val="28"/>
            <w:lang w:eastAsia="uk-UA"/>
          </w:rPr>
          <w:t xml:space="preserve">№ </w:t>
        </w:r>
        <w:r w:rsidRPr="00B213A6">
          <w:rPr>
            <w:rFonts w:eastAsia="Times New Roman"/>
            <w:sz w:val="28"/>
            <w:szCs w:val="28"/>
            <w:lang w:eastAsia="uk-UA"/>
          </w:rPr>
          <w:t>87 про свободу асоціації та захист права на організацію</w:t>
        </w:r>
      </w:hyperlink>
      <w:r w:rsidRPr="00B213A6">
        <w:rPr>
          <w:rFonts w:eastAsia="Times New Roman"/>
          <w:sz w:val="28"/>
          <w:szCs w:val="28"/>
          <w:lang w:eastAsia="uk-UA"/>
        </w:rPr>
        <w:t>. Крім того, відповідно до пункту 485 Збірника рішень, прийнятих Комітетом по свободі об'єднання Адміністративної ради МОП, і напрацьованих ним принципів, положення, які надають державній владі право обмежувати свободу профспілки в розпорядженні профспілковими коштами та їх використанні за їхнім розсудом для досягнення звичної і законної профспілкової мети, несумісні з принципами свободи об'єднання.</w:t>
      </w:r>
    </w:p>
    <w:p w:rsidR="00210F67" w:rsidRPr="00B213A6" w:rsidRDefault="00210F67" w:rsidP="00BA5AB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117B7B" w:rsidRPr="00117B7B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Мета і завдання законопроекту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Default="005678FE" w:rsidP="00117B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hyperlink r:id="rId22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Законопроект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 розроблено з метою приведення положень законодавства у відповідність до </w:t>
      </w:r>
      <w:hyperlink r:id="rId23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 xml:space="preserve">Конвенції Міжнародної організації праці </w:t>
        </w:r>
        <w:r w:rsidR="00FE6E9D">
          <w:rPr>
            <w:rFonts w:eastAsia="Times New Roman"/>
            <w:sz w:val="28"/>
            <w:szCs w:val="28"/>
            <w:lang w:eastAsia="uk-UA"/>
          </w:rPr>
          <w:t>№</w:t>
        </w:r>
        <w:r w:rsidR="00B213A6" w:rsidRPr="00B213A6">
          <w:rPr>
            <w:rFonts w:eastAsia="Times New Roman"/>
            <w:sz w:val="28"/>
            <w:szCs w:val="28"/>
            <w:lang w:eastAsia="uk-UA"/>
          </w:rPr>
          <w:t xml:space="preserve"> 87 про свободу асоціації та захист права на організацію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 в частині дотримання прав профспілок та усунення колізії між різними правовими нормами, що існують в законодавстві в частині подання профспілковими організаціями фінансової звітності до органів статистики та фіскальної служби.</w:t>
      </w:r>
    </w:p>
    <w:p w:rsidR="00210F67" w:rsidRPr="00B213A6" w:rsidRDefault="00210F67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B213A6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Загальна характеристика та основні положення законопроекту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Pr="00B213A6" w:rsidRDefault="005678FE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hyperlink r:id="rId24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Законопроект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 спрямований на дотримання прав профспілок та виконання Україною відповідних положень міжнародних зобов'язань.</w:t>
      </w:r>
    </w:p>
    <w:p w:rsid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Законопроектом передбачається внесення змін до </w:t>
      </w:r>
      <w:hyperlink r:id="rId25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законів України "Про бухгалтерський облік та фінансову звітність"</w:t>
        </w:r>
      </w:hyperlink>
      <w:r w:rsidRPr="00B213A6">
        <w:rPr>
          <w:rFonts w:eastAsia="Times New Roman"/>
          <w:sz w:val="28"/>
          <w:szCs w:val="28"/>
          <w:lang w:eastAsia="uk-UA"/>
        </w:rPr>
        <w:t> та </w:t>
      </w:r>
      <w:hyperlink r:id="rId26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"Про державну статистику"</w:t>
        </w:r>
      </w:hyperlink>
      <w:r w:rsidRPr="00B213A6">
        <w:rPr>
          <w:rFonts w:eastAsia="Times New Roman"/>
          <w:sz w:val="28"/>
          <w:szCs w:val="28"/>
          <w:lang w:eastAsia="uk-UA"/>
        </w:rPr>
        <w:t> в частині виключення профспілок, їх організацій та об'єднань профспілок з кола суб'єктів, які зобов'язані подавати до органів статистики фінансову звітність та бути респондентами цих органів.</w:t>
      </w:r>
    </w:p>
    <w:p w:rsidR="00210F67" w:rsidRPr="00B213A6" w:rsidRDefault="00210F67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B213A6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Стан нормативно-правової бази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Нормативно-правовою базою у цій сфері правового регулювання є:</w:t>
      </w:r>
    </w:p>
    <w:p w:rsidR="00B213A6" w:rsidRPr="00B213A6" w:rsidRDefault="00117B7B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стаття 36 </w:t>
      </w:r>
      <w:hyperlink r:id="rId27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Конституці</w:t>
        </w:r>
        <w:r>
          <w:rPr>
            <w:rFonts w:eastAsia="Times New Roman"/>
            <w:sz w:val="28"/>
            <w:szCs w:val="28"/>
            <w:lang w:eastAsia="uk-UA"/>
          </w:rPr>
          <w:t>ї</w:t>
        </w:r>
        <w:r w:rsidR="00B213A6" w:rsidRPr="00B213A6">
          <w:rPr>
            <w:rFonts w:eastAsia="Times New Roman"/>
            <w:sz w:val="28"/>
            <w:szCs w:val="28"/>
            <w:lang w:eastAsia="uk-UA"/>
          </w:rPr>
          <w:t xml:space="preserve"> України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,</w:t>
      </w:r>
    </w:p>
    <w:p w:rsidR="00B213A6" w:rsidRPr="00B213A6" w:rsidRDefault="005678FE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hyperlink r:id="rId28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 xml:space="preserve">Конвенція Міжнародної організації праці </w:t>
        </w:r>
        <w:r w:rsidR="00117B7B">
          <w:rPr>
            <w:rFonts w:eastAsia="Times New Roman"/>
            <w:sz w:val="28"/>
            <w:szCs w:val="28"/>
            <w:lang w:eastAsia="uk-UA"/>
          </w:rPr>
          <w:t>№</w:t>
        </w:r>
        <w:r w:rsidR="00B213A6" w:rsidRPr="00B213A6">
          <w:rPr>
            <w:rFonts w:eastAsia="Times New Roman"/>
            <w:sz w:val="28"/>
            <w:szCs w:val="28"/>
            <w:lang w:eastAsia="uk-UA"/>
          </w:rPr>
          <w:t xml:space="preserve"> 87 про свободу асоціації та захист права на організацію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,</w:t>
      </w:r>
    </w:p>
    <w:p w:rsidR="00B213A6" w:rsidRPr="00B213A6" w:rsidRDefault="005678FE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hyperlink r:id="rId29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закони України "Про бухгалтерських облік та фінансову звітність"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 та </w:t>
      </w:r>
      <w:hyperlink r:id="rId30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"Про державну статистику"</w:t>
        </w:r>
      </w:hyperlink>
      <w:r w:rsidR="00B213A6" w:rsidRPr="00B213A6">
        <w:rPr>
          <w:rFonts w:eastAsia="Times New Roman"/>
          <w:sz w:val="28"/>
          <w:szCs w:val="28"/>
          <w:lang w:eastAsia="uk-UA"/>
        </w:rPr>
        <w:t>,</w:t>
      </w:r>
    </w:p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Порядок подання фінансової звітності, затверджений </w:t>
      </w:r>
      <w:hyperlink r:id="rId31" w:tgtFrame="_top" w:history="1">
        <w:r w:rsidRPr="00B213A6">
          <w:rPr>
            <w:rFonts w:eastAsia="Times New Roman"/>
            <w:sz w:val="28"/>
            <w:szCs w:val="28"/>
            <w:lang w:eastAsia="uk-UA"/>
          </w:rPr>
          <w:t xml:space="preserve">постановою Кабінету Міністрів України від 28.02.2000 </w:t>
        </w:r>
        <w:r w:rsidR="00117B7B">
          <w:rPr>
            <w:rFonts w:eastAsia="Times New Roman"/>
            <w:sz w:val="28"/>
            <w:szCs w:val="28"/>
            <w:lang w:eastAsia="uk-UA"/>
          </w:rPr>
          <w:t>№</w:t>
        </w:r>
        <w:r w:rsidRPr="00B213A6">
          <w:rPr>
            <w:rFonts w:eastAsia="Times New Roman"/>
            <w:sz w:val="28"/>
            <w:szCs w:val="28"/>
            <w:lang w:eastAsia="uk-UA"/>
          </w:rPr>
          <w:t xml:space="preserve"> 419</w:t>
        </w:r>
      </w:hyperlink>
      <w:r w:rsidRPr="00B213A6">
        <w:rPr>
          <w:rFonts w:eastAsia="Times New Roman"/>
          <w:sz w:val="28"/>
          <w:szCs w:val="28"/>
          <w:lang w:eastAsia="uk-UA"/>
        </w:rPr>
        <w:t>,</w:t>
      </w:r>
    </w:p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Положення (стандарту) бухгалтерського обліку - П(С)БО 25 "Фінансовий звіт суб'єкта малого підприємництва", затвердженого </w:t>
      </w:r>
      <w:hyperlink r:id="rId32" w:tgtFrame="_top" w:history="1">
        <w:r w:rsidRPr="00B213A6">
          <w:rPr>
            <w:rFonts w:eastAsia="Times New Roman"/>
            <w:sz w:val="28"/>
            <w:szCs w:val="28"/>
            <w:lang w:eastAsia="uk-UA"/>
          </w:rPr>
          <w:t xml:space="preserve">наказом Мінфіну від 25.02.2000 </w:t>
        </w:r>
        <w:r w:rsidR="00117B7B">
          <w:rPr>
            <w:rFonts w:eastAsia="Times New Roman"/>
            <w:sz w:val="28"/>
            <w:szCs w:val="28"/>
            <w:lang w:eastAsia="uk-UA"/>
          </w:rPr>
          <w:t>№</w:t>
        </w:r>
        <w:r w:rsidRPr="00B213A6">
          <w:rPr>
            <w:rFonts w:eastAsia="Times New Roman"/>
            <w:sz w:val="28"/>
            <w:szCs w:val="28"/>
            <w:lang w:eastAsia="uk-UA"/>
          </w:rPr>
          <w:t xml:space="preserve"> 39</w:t>
        </w:r>
      </w:hyperlink>
      <w:r w:rsidRPr="00B213A6">
        <w:rPr>
          <w:rFonts w:eastAsia="Times New Roman"/>
          <w:sz w:val="28"/>
          <w:szCs w:val="28"/>
          <w:lang w:eastAsia="uk-UA"/>
        </w:rPr>
        <w:t xml:space="preserve">, зареєстрованого в Мінюсті 15.03.2000 за </w:t>
      </w:r>
      <w:r w:rsidR="00117B7B">
        <w:rPr>
          <w:rFonts w:eastAsia="Times New Roman"/>
          <w:sz w:val="28"/>
          <w:szCs w:val="28"/>
          <w:lang w:eastAsia="uk-UA"/>
        </w:rPr>
        <w:t xml:space="preserve">№ </w:t>
      </w:r>
      <w:r w:rsidRPr="00B213A6">
        <w:rPr>
          <w:rFonts w:eastAsia="Times New Roman"/>
          <w:sz w:val="28"/>
          <w:szCs w:val="28"/>
          <w:lang w:eastAsia="uk-UA"/>
        </w:rPr>
        <w:t>161/4382.</w:t>
      </w:r>
    </w:p>
    <w:p w:rsidR="00B213A6" w:rsidRDefault="00411AF3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Прийняття цього</w:t>
      </w:r>
      <w:r w:rsidR="0077194F">
        <w:rPr>
          <w:rFonts w:eastAsia="Times New Roman"/>
          <w:sz w:val="28"/>
          <w:szCs w:val="28"/>
          <w:lang w:eastAsia="uk-UA"/>
        </w:rPr>
        <w:t xml:space="preserve"> </w:t>
      </w:r>
      <w:hyperlink r:id="rId33" w:tgtFrame="_top" w:history="1">
        <w:r w:rsidR="00B213A6" w:rsidRPr="00B213A6">
          <w:rPr>
            <w:rFonts w:eastAsia="Times New Roman"/>
            <w:sz w:val="28"/>
            <w:szCs w:val="28"/>
            <w:lang w:eastAsia="uk-UA"/>
          </w:rPr>
          <w:t>законопроекту</w:t>
        </w:r>
      </w:hyperlink>
      <w:r>
        <w:rPr>
          <w:rFonts w:eastAsia="Times New Roman"/>
          <w:sz w:val="28"/>
          <w:szCs w:val="28"/>
          <w:lang w:eastAsia="uk-UA"/>
        </w:rPr>
        <w:t xml:space="preserve"> </w:t>
      </w:r>
      <w:r w:rsidR="00B213A6" w:rsidRPr="00B213A6">
        <w:rPr>
          <w:rFonts w:eastAsia="Times New Roman"/>
          <w:sz w:val="28"/>
          <w:szCs w:val="28"/>
          <w:lang w:eastAsia="uk-UA"/>
        </w:rPr>
        <w:t xml:space="preserve">потребує внесення змін до </w:t>
      </w:r>
      <w:r>
        <w:rPr>
          <w:sz w:val="28"/>
          <w:szCs w:val="28"/>
        </w:rPr>
        <w:t xml:space="preserve">пункту 46.2 статті 46 </w:t>
      </w:r>
      <w:r>
        <w:rPr>
          <w:rFonts w:eastAsia="Times New Roman"/>
          <w:sz w:val="28"/>
          <w:szCs w:val="28"/>
          <w:lang w:eastAsia="uk-UA"/>
        </w:rPr>
        <w:t>Податкового кодексу України</w:t>
      </w:r>
      <w:r w:rsidR="00882DBD">
        <w:rPr>
          <w:rFonts w:eastAsia="Times New Roman"/>
          <w:sz w:val="28"/>
          <w:szCs w:val="28"/>
          <w:lang w:eastAsia="uk-UA"/>
        </w:rPr>
        <w:t>. З</w:t>
      </w:r>
      <w:r>
        <w:rPr>
          <w:rFonts w:eastAsia="Times New Roman"/>
          <w:sz w:val="28"/>
          <w:szCs w:val="28"/>
          <w:lang w:eastAsia="uk-UA"/>
        </w:rPr>
        <w:t xml:space="preserve">азначені зміни передбачені </w:t>
      </w:r>
      <w:r w:rsidR="00FE6E9D">
        <w:rPr>
          <w:rFonts w:eastAsia="Times New Roman"/>
          <w:sz w:val="28"/>
          <w:szCs w:val="28"/>
          <w:lang w:eastAsia="uk-UA"/>
        </w:rPr>
        <w:t>у</w:t>
      </w:r>
      <w:r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uk-UA"/>
        </w:rPr>
        <w:t>законопро</w:t>
      </w:r>
      <w:r w:rsidR="00FE6E9D">
        <w:rPr>
          <w:rFonts w:eastAsia="Times New Roman"/>
          <w:sz w:val="28"/>
          <w:szCs w:val="28"/>
          <w:lang w:eastAsia="uk-UA"/>
        </w:rPr>
        <w:t>є</w:t>
      </w:r>
      <w:r>
        <w:rPr>
          <w:rFonts w:eastAsia="Times New Roman"/>
          <w:sz w:val="28"/>
          <w:szCs w:val="28"/>
          <w:lang w:eastAsia="uk-UA"/>
        </w:rPr>
        <w:t>кті</w:t>
      </w:r>
      <w:proofErr w:type="spellEnd"/>
      <w:r w:rsidR="00FE6E9D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="00FE6E9D">
        <w:rPr>
          <w:rFonts w:eastAsia="Times New Roman"/>
          <w:sz w:val="28"/>
          <w:szCs w:val="28"/>
          <w:lang w:eastAsia="uk-UA"/>
        </w:rPr>
        <w:t>реєст</w:t>
      </w:r>
      <w:r w:rsidR="009D5545">
        <w:rPr>
          <w:rFonts w:eastAsia="Times New Roman"/>
          <w:sz w:val="28"/>
          <w:szCs w:val="28"/>
          <w:lang w:eastAsia="uk-UA"/>
        </w:rPr>
        <w:t>р</w:t>
      </w:r>
      <w:r w:rsidR="00FE6E9D">
        <w:rPr>
          <w:rFonts w:eastAsia="Times New Roman"/>
          <w:sz w:val="28"/>
          <w:szCs w:val="28"/>
          <w:lang w:eastAsia="uk-UA"/>
        </w:rPr>
        <w:t>ац</w:t>
      </w:r>
      <w:proofErr w:type="spellEnd"/>
      <w:r w:rsidR="00FE6E9D">
        <w:rPr>
          <w:rFonts w:eastAsia="Times New Roman"/>
          <w:sz w:val="28"/>
          <w:szCs w:val="28"/>
          <w:lang w:eastAsia="uk-UA"/>
        </w:rPr>
        <w:t>.</w:t>
      </w:r>
      <w:r>
        <w:rPr>
          <w:rFonts w:eastAsia="Times New Roman"/>
          <w:sz w:val="28"/>
          <w:szCs w:val="28"/>
          <w:lang w:eastAsia="uk-UA"/>
        </w:rPr>
        <w:t xml:space="preserve"> № 4018</w:t>
      </w:r>
      <w:r w:rsidR="00FE6E9D" w:rsidRPr="00FE6E9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FE6E9D" w:rsidRPr="00FE6E9D">
        <w:rPr>
          <w:color w:val="333333"/>
          <w:sz w:val="28"/>
          <w:szCs w:val="28"/>
          <w:shd w:val="clear" w:color="auto" w:fill="FFFFFF"/>
        </w:rPr>
        <w:t>від 02.09.2020</w:t>
      </w:r>
      <w:r w:rsidR="00FE6E9D">
        <w:rPr>
          <w:rFonts w:eastAsia="Times New Roman"/>
          <w:sz w:val="28"/>
          <w:szCs w:val="28"/>
          <w:lang w:eastAsia="uk-UA"/>
        </w:rPr>
        <w:t>)</w:t>
      </w:r>
      <w:r w:rsidR="009D5545">
        <w:rPr>
          <w:rFonts w:eastAsia="Times New Roman"/>
          <w:sz w:val="28"/>
          <w:szCs w:val="28"/>
          <w:lang w:eastAsia="uk-UA"/>
        </w:rPr>
        <w:t>, внесеному</w:t>
      </w:r>
      <w:r>
        <w:rPr>
          <w:rFonts w:eastAsia="Times New Roman"/>
          <w:sz w:val="28"/>
          <w:szCs w:val="28"/>
          <w:lang w:eastAsia="uk-UA"/>
        </w:rPr>
        <w:t xml:space="preserve"> народними </w:t>
      </w:r>
      <w:r>
        <w:rPr>
          <w:rFonts w:eastAsia="Times New Roman"/>
          <w:sz w:val="28"/>
          <w:szCs w:val="28"/>
          <w:lang w:eastAsia="uk-UA"/>
        </w:rPr>
        <w:lastRenderedPageBreak/>
        <w:t>депутатами України М. Волинцем, В. Наливайченком та іншими</w:t>
      </w:r>
      <w:r w:rsidR="00882DBD">
        <w:rPr>
          <w:rFonts w:eastAsia="Times New Roman"/>
          <w:sz w:val="28"/>
          <w:szCs w:val="28"/>
          <w:lang w:eastAsia="uk-UA"/>
        </w:rPr>
        <w:t>, яким передбачено</w:t>
      </w:r>
      <w:r w:rsidR="00882DBD" w:rsidRPr="00882DBD">
        <w:rPr>
          <w:sz w:val="28"/>
        </w:rPr>
        <w:t xml:space="preserve"> </w:t>
      </w:r>
      <w:r w:rsidR="00882DBD">
        <w:rPr>
          <w:sz w:val="28"/>
        </w:rPr>
        <w:t xml:space="preserve">відновлення норми у редакції Закону України </w:t>
      </w:r>
      <w:r w:rsidR="00882DBD" w:rsidRPr="00C923A1">
        <w:rPr>
          <w:sz w:val="28"/>
        </w:rPr>
        <w:t xml:space="preserve">від 21.12.2016 </w:t>
      </w:r>
      <w:r w:rsidR="00882DBD">
        <w:rPr>
          <w:sz w:val="28"/>
        </w:rPr>
        <w:t xml:space="preserve">                  </w:t>
      </w:r>
      <w:r w:rsidR="00882DBD" w:rsidRPr="00C923A1">
        <w:rPr>
          <w:sz w:val="28"/>
        </w:rPr>
        <w:t xml:space="preserve">№ 1797-VIII, що діяла до набрання чинності Законом України від 16.01.2020 </w:t>
      </w:r>
      <w:r w:rsidR="00882DBD">
        <w:rPr>
          <w:sz w:val="28"/>
        </w:rPr>
        <w:t xml:space="preserve">               </w:t>
      </w:r>
      <w:r w:rsidR="00882DBD" w:rsidRPr="00C923A1">
        <w:rPr>
          <w:sz w:val="28"/>
        </w:rPr>
        <w:t>№ 466-IX</w:t>
      </w:r>
      <w:r>
        <w:rPr>
          <w:rFonts w:eastAsia="Times New Roman"/>
          <w:sz w:val="28"/>
          <w:szCs w:val="28"/>
          <w:lang w:eastAsia="uk-UA"/>
        </w:rPr>
        <w:t xml:space="preserve">. </w:t>
      </w:r>
      <w:r w:rsidR="001E1A22">
        <w:rPr>
          <w:rFonts w:eastAsia="Times New Roman"/>
          <w:sz w:val="28"/>
          <w:szCs w:val="28"/>
          <w:lang w:eastAsia="uk-UA"/>
        </w:rPr>
        <w:t xml:space="preserve"> </w:t>
      </w:r>
    </w:p>
    <w:p w:rsidR="000B3D4B" w:rsidRPr="000B3D4B" w:rsidRDefault="000B3D4B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Реалізація законопроекту змін до інших законів не потребує.</w:t>
      </w:r>
    </w:p>
    <w:p w:rsidR="00210F67" w:rsidRPr="00B213A6" w:rsidRDefault="00210F67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B213A6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Фінансово-економічне обґрунтування законопроекту</w:t>
      </w:r>
      <w:r w:rsidR="00117B7B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Реалізація положень цього </w:t>
      </w:r>
      <w:hyperlink r:id="rId34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законопроекту</w:t>
        </w:r>
      </w:hyperlink>
      <w:r w:rsidRPr="00B213A6">
        <w:rPr>
          <w:rFonts w:eastAsia="Times New Roman"/>
          <w:sz w:val="28"/>
          <w:szCs w:val="28"/>
          <w:lang w:eastAsia="uk-UA"/>
        </w:rPr>
        <w:t> не потребує збільшення бюджетних видатків.</w:t>
      </w:r>
    </w:p>
    <w:p w:rsidR="00117B7B" w:rsidRPr="00B213A6" w:rsidRDefault="00117B7B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B213A6" w:rsidRDefault="00B213A6" w:rsidP="00117B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B213A6">
        <w:rPr>
          <w:rFonts w:eastAsia="Times New Roman"/>
          <w:b/>
          <w:bCs/>
          <w:sz w:val="28"/>
          <w:szCs w:val="28"/>
          <w:lang w:eastAsia="uk-UA"/>
        </w:rPr>
        <w:t>Прогноз соціально-економічних та інших наслідків</w:t>
      </w:r>
      <w:r w:rsidR="000B3D4B">
        <w:rPr>
          <w:rFonts w:eastAsia="Times New Roman"/>
          <w:b/>
          <w:bCs/>
          <w:sz w:val="28"/>
          <w:szCs w:val="28"/>
          <w:lang w:eastAsia="uk-UA"/>
        </w:rPr>
        <w:t xml:space="preserve"> прийняття законопроекту</w:t>
      </w:r>
    </w:p>
    <w:p w:rsidR="00117B7B" w:rsidRPr="00117B7B" w:rsidRDefault="00117B7B" w:rsidP="00117B7B">
      <w:pPr>
        <w:shd w:val="clear" w:color="auto" w:fill="FFFFFF"/>
        <w:spacing w:after="0" w:line="240" w:lineRule="auto"/>
        <w:ind w:left="927"/>
        <w:jc w:val="both"/>
        <w:rPr>
          <w:rFonts w:eastAsia="Times New Roman"/>
          <w:sz w:val="16"/>
          <w:szCs w:val="16"/>
          <w:lang w:eastAsia="uk-UA"/>
        </w:rPr>
      </w:pPr>
    </w:p>
    <w:p w:rsidR="00B213A6" w:rsidRPr="00B213A6" w:rsidRDefault="00B213A6" w:rsidP="00B21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213A6">
        <w:rPr>
          <w:rFonts w:eastAsia="Times New Roman"/>
          <w:sz w:val="28"/>
          <w:szCs w:val="28"/>
          <w:lang w:eastAsia="uk-UA"/>
        </w:rPr>
        <w:t>Прийняття </w:t>
      </w:r>
      <w:hyperlink r:id="rId35" w:tgtFrame="_top" w:history="1">
        <w:r w:rsidRPr="00B213A6">
          <w:rPr>
            <w:rFonts w:eastAsia="Times New Roman"/>
            <w:sz w:val="28"/>
            <w:szCs w:val="28"/>
            <w:lang w:eastAsia="uk-UA"/>
          </w:rPr>
          <w:t>законопроекту</w:t>
        </w:r>
      </w:hyperlink>
      <w:r w:rsidRPr="00B213A6">
        <w:rPr>
          <w:rFonts w:eastAsia="Times New Roman"/>
          <w:sz w:val="28"/>
          <w:szCs w:val="28"/>
          <w:lang w:eastAsia="uk-UA"/>
        </w:rPr>
        <w:t> сприятиме реалізації державою своїх міжнародних зобов'язань та обов'язку щодо дотримання прав профспілок.</w:t>
      </w:r>
    </w:p>
    <w:p w:rsidR="00FB0E86" w:rsidRDefault="00FB0E86"/>
    <w:p w:rsidR="000B3D4B" w:rsidRPr="000B3D4B" w:rsidRDefault="000B3D4B">
      <w:pPr>
        <w:rPr>
          <w:b/>
          <w:sz w:val="28"/>
          <w:szCs w:val="28"/>
        </w:rPr>
      </w:pPr>
    </w:p>
    <w:p w:rsidR="000B3D4B" w:rsidRPr="00D06518" w:rsidRDefault="000B3D4B">
      <w:pPr>
        <w:rPr>
          <w:b/>
          <w:sz w:val="28"/>
          <w:szCs w:val="28"/>
        </w:rPr>
      </w:pPr>
      <w:r w:rsidRPr="000B3D4B">
        <w:rPr>
          <w:b/>
          <w:sz w:val="28"/>
          <w:szCs w:val="28"/>
        </w:rPr>
        <w:t xml:space="preserve">Народний депутат України </w:t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proofErr w:type="spellStart"/>
      <w:r w:rsidRPr="000B3D4B">
        <w:rPr>
          <w:b/>
          <w:sz w:val="28"/>
          <w:szCs w:val="28"/>
        </w:rPr>
        <w:t>В.Івченко</w:t>
      </w:r>
      <w:proofErr w:type="spellEnd"/>
      <w:r w:rsidR="00D06518">
        <w:rPr>
          <w:b/>
          <w:sz w:val="28"/>
          <w:szCs w:val="28"/>
        </w:rPr>
        <w:t xml:space="preserve"> (посв.№185) та інші</w:t>
      </w:r>
    </w:p>
    <w:p w:rsidR="000B3D4B" w:rsidRPr="000B3D4B" w:rsidRDefault="000B3D4B">
      <w:pPr>
        <w:rPr>
          <w:b/>
          <w:sz w:val="28"/>
          <w:szCs w:val="28"/>
        </w:rPr>
      </w:pP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  <w:r w:rsidRPr="000B3D4B">
        <w:rPr>
          <w:b/>
          <w:sz w:val="28"/>
          <w:szCs w:val="28"/>
        </w:rPr>
        <w:tab/>
      </w:r>
    </w:p>
    <w:sectPr w:rsidR="000B3D4B" w:rsidRPr="000B3D4B" w:rsidSect="00FB0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25B"/>
    <w:multiLevelType w:val="hybridMultilevel"/>
    <w:tmpl w:val="84F8972A"/>
    <w:lvl w:ilvl="0" w:tplc="851CE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6"/>
    <w:rsid w:val="000B3D4B"/>
    <w:rsid w:val="00117B7B"/>
    <w:rsid w:val="001E1A22"/>
    <w:rsid w:val="00210F67"/>
    <w:rsid w:val="002D2442"/>
    <w:rsid w:val="00411AF3"/>
    <w:rsid w:val="004F6D21"/>
    <w:rsid w:val="005678FE"/>
    <w:rsid w:val="00675DA7"/>
    <w:rsid w:val="006A64F3"/>
    <w:rsid w:val="006C6E38"/>
    <w:rsid w:val="0077194F"/>
    <w:rsid w:val="007F4A72"/>
    <w:rsid w:val="00882DBD"/>
    <w:rsid w:val="009D5545"/>
    <w:rsid w:val="00B213A6"/>
    <w:rsid w:val="00B66159"/>
    <w:rsid w:val="00BA5AB8"/>
    <w:rsid w:val="00BB514C"/>
    <w:rsid w:val="00BD18B7"/>
    <w:rsid w:val="00D01AE1"/>
    <w:rsid w:val="00D06518"/>
    <w:rsid w:val="00D96237"/>
    <w:rsid w:val="00ED2C29"/>
    <w:rsid w:val="00FB0E86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1BFA-33F9-4843-8E9F-5A3E5A2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86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B213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3A6"/>
    <w:rPr>
      <w:rFonts w:eastAsia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213A6"/>
    <w:rPr>
      <w:color w:val="0000FF"/>
      <w:u w:val="single"/>
    </w:rPr>
  </w:style>
  <w:style w:type="paragraph" w:customStyle="1" w:styleId="tj">
    <w:name w:val="tj"/>
    <w:basedOn w:val="a"/>
    <w:rsid w:val="00B213A6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9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962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T991045.html" TargetMode="External"/><Relationship Id="rId18" Type="http://schemas.openxmlformats.org/officeDocument/2006/relationships/hyperlink" Target="http://search.ligazakon.ua/l_doc2.nsf/link1/REG4382.html" TargetMode="External"/><Relationship Id="rId26" Type="http://schemas.openxmlformats.org/officeDocument/2006/relationships/hyperlink" Target="http://search.ligazakon.ua/l_doc2.nsf/link1/T261400.html" TargetMode="External"/><Relationship Id="rId21" Type="http://schemas.openxmlformats.org/officeDocument/2006/relationships/hyperlink" Target="http://search.ligazakon.ua/l_doc2.nsf/link1/MU48K06U.html" TargetMode="External"/><Relationship Id="rId34" Type="http://schemas.openxmlformats.org/officeDocument/2006/relationships/hyperlink" Target="http://search.ligazakon.ua/l_doc2.nsf/link1/JH79200I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earch.ligazakon.ua/l_doc2.nsf/link1/T991045.html" TargetMode="External"/><Relationship Id="rId17" Type="http://schemas.openxmlformats.org/officeDocument/2006/relationships/hyperlink" Target="http://search.ligazakon.ua/l_doc2.nsf/link1/REG4382.html" TargetMode="External"/><Relationship Id="rId25" Type="http://schemas.openxmlformats.org/officeDocument/2006/relationships/hyperlink" Target="http://search.ligazakon.ua/l_doc2.nsf/link1/T990996.html" TargetMode="External"/><Relationship Id="rId33" Type="http://schemas.openxmlformats.org/officeDocument/2006/relationships/hyperlink" Target="http://search.ligazakon.ua/l_doc2.nsf/link1/JH79200I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arch.ligazakon.ua/l_doc2.nsf/link1/KP000419.html" TargetMode="External"/><Relationship Id="rId20" Type="http://schemas.openxmlformats.org/officeDocument/2006/relationships/hyperlink" Target="http://search.ligazakon.ua/l_doc2.nsf/link1/T991045.html" TargetMode="External"/><Relationship Id="rId29" Type="http://schemas.openxmlformats.org/officeDocument/2006/relationships/hyperlink" Target="http://search.ligazakon.ua/l_doc2.nsf/link1/T99099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arch.ligazakon.ua/l_doc2.nsf/link1/T991045.html" TargetMode="External"/><Relationship Id="rId24" Type="http://schemas.openxmlformats.org/officeDocument/2006/relationships/hyperlink" Target="http://search.ligazakon.ua/l_doc2.nsf/link1/JH79200I.html" TargetMode="External"/><Relationship Id="rId32" Type="http://schemas.openxmlformats.org/officeDocument/2006/relationships/hyperlink" Target="http://search.ligazakon.ua/l_doc2.nsf/link1/REG4382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earch.ligazakon.ua/l_doc2.nsf/link1/T990996.html" TargetMode="External"/><Relationship Id="rId23" Type="http://schemas.openxmlformats.org/officeDocument/2006/relationships/hyperlink" Target="http://search.ligazakon.ua/l_doc2.nsf/link1/MU48K06U.html" TargetMode="External"/><Relationship Id="rId28" Type="http://schemas.openxmlformats.org/officeDocument/2006/relationships/hyperlink" Target="http://search.ligazakon.ua/l_doc2.nsf/link1/MU48K06U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earch.ligazakon.ua/l_doc2.nsf/link1/T991045.html" TargetMode="External"/><Relationship Id="rId19" Type="http://schemas.openxmlformats.org/officeDocument/2006/relationships/hyperlink" Target="http://search.ligazakon.ua/l_doc2.nsf/link1/T990996.html" TargetMode="External"/><Relationship Id="rId31" Type="http://schemas.openxmlformats.org/officeDocument/2006/relationships/hyperlink" Target="http://search.ligazakon.ua/l_doc2.nsf/link1/KP000419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earch.ligazakon.ua/l_doc2.nsf/link1/JH79200I.html" TargetMode="External"/><Relationship Id="rId14" Type="http://schemas.openxmlformats.org/officeDocument/2006/relationships/hyperlink" Target="http://search.ligazakon.ua/l_doc2.nsf/link1/T990996.html" TargetMode="External"/><Relationship Id="rId22" Type="http://schemas.openxmlformats.org/officeDocument/2006/relationships/hyperlink" Target="http://search.ligazakon.ua/l_doc2.nsf/link1/JH79200I.html" TargetMode="External"/><Relationship Id="rId27" Type="http://schemas.openxmlformats.org/officeDocument/2006/relationships/hyperlink" Target="http://search.ligazakon.ua/l_doc2.nsf/link1/Z960254K.html" TargetMode="External"/><Relationship Id="rId30" Type="http://schemas.openxmlformats.org/officeDocument/2006/relationships/hyperlink" Target="http://search.ligazakon.ua/l_doc2.nsf/link1/T261400.html" TargetMode="External"/><Relationship Id="rId35" Type="http://schemas.openxmlformats.org/officeDocument/2006/relationships/hyperlink" Target="http://search.ligazakon.ua/l_doc2.nsf/link1/JH79200I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8670-4A8F-41C5-AC97-B25A4780B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88AB-F007-4445-832B-5BA4A12FC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719DC-E8D4-417C-AD24-6510A885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4CB74-08B5-4C79-A5C0-FB09A00E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5452</Words>
  <Characters>3108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Links>
    <vt:vector size="162" baseType="variant">
      <vt:variant>
        <vt:i4>262244</vt:i4>
      </vt:variant>
      <vt:variant>
        <vt:i4>78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  <vt:variant>
        <vt:i4>262244</vt:i4>
      </vt:variant>
      <vt:variant>
        <vt:i4>75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  <vt:variant>
        <vt:i4>262244</vt:i4>
      </vt:variant>
      <vt:variant>
        <vt:i4>72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  <vt:variant>
        <vt:i4>5636208</vt:i4>
      </vt:variant>
      <vt:variant>
        <vt:i4>69</vt:i4>
      </vt:variant>
      <vt:variant>
        <vt:i4>0</vt:i4>
      </vt:variant>
      <vt:variant>
        <vt:i4>5</vt:i4>
      </vt:variant>
      <vt:variant>
        <vt:lpwstr>http://search.ligazakon.ua/l_doc2.nsf/link1/REG4382.html</vt:lpwstr>
      </vt:variant>
      <vt:variant>
        <vt:lpwstr/>
      </vt:variant>
      <vt:variant>
        <vt:i4>4259937</vt:i4>
      </vt:variant>
      <vt:variant>
        <vt:i4>66</vt:i4>
      </vt:variant>
      <vt:variant>
        <vt:i4>0</vt:i4>
      </vt:variant>
      <vt:variant>
        <vt:i4>5</vt:i4>
      </vt:variant>
      <vt:variant>
        <vt:lpwstr>http://search.ligazakon.ua/l_doc2.nsf/link1/KP000419.html</vt:lpwstr>
      </vt:variant>
      <vt:variant>
        <vt:lpwstr/>
      </vt:variant>
      <vt:variant>
        <vt:i4>786466</vt:i4>
      </vt:variant>
      <vt:variant>
        <vt:i4>63</vt:i4>
      </vt:variant>
      <vt:variant>
        <vt:i4>0</vt:i4>
      </vt:variant>
      <vt:variant>
        <vt:i4>5</vt:i4>
      </vt:variant>
      <vt:variant>
        <vt:lpwstr>http://search.ligazakon.ua/l_doc2.nsf/link1/T261400.html</vt:lpwstr>
      </vt:variant>
      <vt:variant>
        <vt:lpwstr/>
      </vt:variant>
      <vt:variant>
        <vt:i4>983078</vt:i4>
      </vt:variant>
      <vt:variant>
        <vt:i4>60</vt:i4>
      </vt:variant>
      <vt:variant>
        <vt:i4>0</vt:i4>
      </vt:variant>
      <vt:variant>
        <vt:i4>5</vt:i4>
      </vt:variant>
      <vt:variant>
        <vt:lpwstr>http://search.ligazakon.ua/l_doc2.nsf/link1/T990996.html</vt:lpwstr>
      </vt:variant>
      <vt:variant>
        <vt:lpwstr/>
      </vt:variant>
      <vt:variant>
        <vt:i4>262207</vt:i4>
      </vt:variant>
      <vt:variant>
        <vt:i4>57</vt:i4>
      </vt:variant>
      <vt:variant>
        <vt:i4>0</vt:i4>
      </vt:variant>
      <vt:variant>
        <vt:i4>5</vt:i4>
      </vt:variant>
      <vt:variant>
        <vt:lpwstr>http://search.ligazakon.ua/l_doc2.nsf/link1/MU48K06U.html</vt:lpwstr>
      </vt:variant>
      <vt:variant>
        <vt:lpwstr/>
      </vt:variant>
      <vt:variant>
        <vt:i4>5963889</vt:i4>
      </vt:variant>
      <vt:variant>
        <vt:i4>54</vt:i4>
      </vt:variant>
      <vt:variant>
        <vt:i4>0</vt:i4>
      </vt:variant>
      <vt:variant>
        <vt:i4>5</vt:i4>
      </vt:variant>
      <vt:variant>
        <vt:lpwstr>http://search.ligazakon.ua/l_doc2.nsf/link1/Z960254K.html</vt:lpwstr>
      </vt:variant>
      <vt:variant>
        <vt:lpwstr/>
      </vt:variant>
      <vt:variant>
        <vt:i4>786466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http://search.ligazakon.ua/l_doc2.nsf/link1/T261400.html</vt:lpwstr>
      </vt:variant>
      <vt:variant>
        <vt:lpwstr/>
      </vt:variant>
      <vt:variant>
        <vt:i4>983078</vt:i4>
      </vt:variant>
      <vt:variant>
        <vt:i4>48</vt:i4>
      </vt:variant>
      <vt:variant>
        <vt:i4>0</vt:i4>
      </vt:variant>
      <vt:variant>
        <vt:i4>5</vt:i4>
      </vt:variant>
      <vt:variant>
        <vt:lpwstr>http://search.ligazakon.ua/l_doc2.nsf/link1/T990996.html</vt:lpwstr>
      </vt:variant>
      <vt:variant>
        <vt:lpwstr/>
      </vt:variant>
      <vt:variant>
        <vt:i4>262244</vt:i4>
      </vt:variant>
      <vt:variant>
        <vt:i4>45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  <vt:variant>
        <vt:i4>262207</vt:i4>
      </vt:variant>
      <vt:variant>
        <vt:i4>42</vt:i4>
      </vt:variant>
      <vt:variant>
        <vt:i4>0</vt:i4>
      </vt:variant>
      <vt:variant>
        <vt:i4>5</vt:i4>
      </vt:variant>
      <vt:variant>
        <vt:lpwstr>http://search.ligazakon.ua/l_doc2.nsf/link1/MU48K06U.html</vt:lpwstr>
      </vt:variant>
      <vt:variant>
        <vt:lpwstr/>
      </vt:variant>
      <vt:variant>
        <vt:i4>262244</vt:i4>
      </vt:variant>
      <vt:variant>
        <vt:i4>39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  <vt:variant>
        <vt:i4>262207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http://search.ligazakon.ua/l_doc2.nsf/link1/MU48K06U.html</vt:lpwstr>
      </vt:variant>
      <vt:variant>
        <vt:lpwstr/>
      </vt:variant>
      <vt:variant>
        <vt:i4>196652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http://search.ligazakon.ua/l_doc2.nsf/link1/T991045.html</vt:lpwstr>
      </vt:variant>
      <vt:variant>
        <vt:lpwstr/>
      </vt:variant>
      <vt:variant>
        <vt:i4>983078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http://search.ligazakon.ua/l_doc2.nsf/link1/T990996.html</vt:lpwstr>
      </vt:variant>
      <vt:variant>
        <vt:lpwstr/>
      </vt:variant>
      <vt:variant>
        <vt:i4>5636208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http://search.ligazakon.ua/l_doc2.nsf/link1/REG4382.html</vt:lpwstr>
      </vt:variant>
      <vt:variant>
        <vt:lpwstr/>
      </vt:variant>
      <vt:variant>
        <vt:i4>5636208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http://search.ligazakon.ua/l_doc2.nsf/link1/REG4382.html</vt:lpwstr>
      </vt:variant>
      <vt:variant>
        <vt:lpwstr/>
      </vt:variant>
      <vt:variant>
        <vt:i4>4259937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http://search.ligazakon.ua/l_doc2.nsf/link1/KP000419.html</vt:lpwstr>
      </vt:variant>
      <vt:variant>
        <vt:lpwstr/>
      </vt:variant>
      <vt:variant>
        <vt:i4>983078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http://search.ligazakon.ua/l_doc2.nsf/link1/T990996.html</vt:lpwstr>
      </vt:variant>
      <vt:variant>
        <vt:lpwstr/>
      </vt:variant>
      <vt:variant>
        <vt:i4>983078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http://search.ligazakon.ua/l_doc2.nsf/link1/T990996.html</vt:lpwstr>
      </vt:variant>
      <vt:variant>
        <vt:lpwstr/>
      </vt:variant>
      <vt:variant>
        <vt:i4>196652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http://search.ligazakon.ua/l_doc2.nsf/link1/T991045.html</vt:lpwstr>
      </vt:variant>
      <vt:variant>
        <vt:lpwstr/>
      </vt:variant>
      <vt:variant>
        <vt:i4>196652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http://search.ligazakon.ua/l_doc2.nsf/link1/T991045.html</vt:lpwstr>
      </vt:variant>
      <vt:variant>
        <vt:lpwstr/>
      </vt:variant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http://search.ligazakon.ua/l_doc2.nsf/link1/T991045.html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http://search.ligazakon.ua/l_doc2.nsf/link1/T991045.html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http://search.ligazakon.ua/l_doc2.nsf/link1/JH79200I.html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2021-04-26T11:29:00Z</dcterms:created>
  <dcterms:modified xsi:type="dcterms:W3CDTF">2021-04-26T11:29:00Z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